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B840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76100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33270" w:rsidRPr="00676100" w:rsidRDefault="00B33270" w:rsidP="00B840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33270" w:rsidRDefault="00B16987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33270" w:rsidRDefault="00271D7B" w:rsidP="008A4F79">
      <w:pPr>
        <w:wordWrap w:val="0"/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蜂巢卓睿灵活配置混合型证券投资基金、</w:t>
      </w:r>
      <w:r w:rsidR="00DD0143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蜂巢添鑫纯债债券型证券投资基金、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蜂巢添汇纯债债券型证券投资基金、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蜂巢添幂中短债债券型证券投资基金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蜂巢丰业纯债一年定期开放债券型发起式证券投资基金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、蜂巢添盈纯债债券型证券投资基金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蜂巢丰鑫纯债一年定期开放债券型发起式证券投资基金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、蜂巢添禧87个月定期开放债券型证券投资基金、蜂巢添益纯债债券型证券投资基金、蜂巢恒利债券型证券投资基金、蜂巢添元纯债债券型证券投资基金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蜂巢添跃66个月定期开放债券型证券投资基金</w:t>
      </w:r>
      <w:r w:rsidR="00B332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蜂巢丰瑞债券型证券投资基金</w:t>
      </w:r>
      <w:r w:rsidR="00C37EFB">
        <w:rPr>
          <w:rFonts w:ascii="仿宋" w:eastAsia="仿宋" w:hAnsi="仿宋" w:hint="eastAsia"/>
          <w:color w:val="000000" w:themeColor="text1"/>
          <w:sz w:val="28"/>
          <w:szCs w:val="28"/>
        </w:rPr>
        <w:t>、蜂巢丰远债券型证券投资基金、</w:t>
      </w:r>
      <w:r w:rsidR="005F138F">
        <w:rPr>
          <w:rFonts w:ascii="仿宋" w:eastAsia="仿宋" w:hAnsi="仿宋" w:hint="eastAsia"/>
          <w:color w:val="000000" w:themeColor="text1"/>
          <w:sz w:val="28"/>
          <w:szCs w:val="28"/>
        </w:rPr>
        <w:t>蜂巢丰华债券型证券投资基金</w:t>
      </w:r>
      <w:r w:rsidR="00C37EF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37EFB" w:rsidRPr="00C37EFB">
        <w:rPr>
          <w:rFonts w:ascii="仿宋" w:eastAsia="仿宋" w:hAnsi="仿宋" w:hint="eastAsia"/>
          <w:color w:val="000000" w:themeColor="text1"/>
          <w:sz w:val="28"/>
          <w:szCs w:val="28"/>
        </w:rPr>
        <w:t>蜂巢丰吉纯债债券型证券投资基金</w:t>
      </w:r>
      <w:r w:rsidR="00C37EFB">
        <w:rPr>
          <w:rFonts w:ascii="仿宋" w:eastAsia="仿宋" w:hAnsi="仿宋"/>
          <w:color w:val="000000" w:themeColor="text1"/>
          <w:sz w:val="28"/>
          <w:szCs w:val="28"/>
        </w:rPr>
        <w:t>和</w:t>
      </w:r>
      <w:r w:rsidR="00C37EFB" w:rsidRPr="00C37EFB">
        <w:rPr>
          <w:rFonts w:ascii="仿宋" w:eastAsia="仿宋" w:hAnsi="仿宋" w:hint="eastAsia"/>
          <w:color w:val="000000" w:themeColor="text1"/>
          <w:sz w:val="28"/>
          <w:szCs w:val="28"/>
        </w:rPr>
        <w:t>蜂巢丰颐债券型证券投资基金</w:t>
      </w:r>
      <w:r w:rsidR="00C37EF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C37EFB" w:rsidRPr="00B33270">
        <w:rPr>
          <w:rFonts w:ascii="仿宋" w:eastAsia="仿宋" w:hAnsi="仿宋"/>
          <w:color w:val="000000" w:themeColor="text1"/>
          <w:sz w:val="28"/>
          <w:szCs w:val="28"/>
        </w:rPr>
        <w:t>报告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022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37EFB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A6AEB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B33270">
        <w:rPr>
          <w:rFonts w:ascii="仿宋" w:eastAsia="仿宋" w:hAnsi="仿宋"/>
          <w:color w:val="000000" w:themeColor="text1"/>
          <w:sz w:val="28"/>
          <w:szCs w:val="28"/>
          <w:u w:val="single"/>
        </w:rPr>
        <w:t>www.hexaamc.com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B33270">
          <w:rPr>
            <w:rStyle w:val="a7"/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B33270">
        <w:rPr>
          <w:rFonts w:ascii="仿宋" w:eastAsia="仿宋" w:hAnsi="仿宋"/>
          <w:color w:val="000000" w:themeColor="text1"/>
          <w:sz w:val="28"/>
          <w:szCs w:val="28"/>
        </w:rPr>
        <w:t>400-100-3783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B33270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33270" w:rsidRPr="00B33270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022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C37EFB">
        <w:rPr>
          <w:rFonts w:ascii="仿宋" w:eastAsia="仿宋" w:hAnsi="仿宋"/>
          <w:color w:val="000000" w:themeColor="text1"/>
          <w:sz w:val="28"/>
          <w:szCs w:val="28"/>
        </w:rPr>
        <w:t>4</w:t>
      </w:r>
      <w:bookmarkStart w:id="0" w:name="_GoBack"/>
      <w:bookmarkEnd w:id="0"/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DD0143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B3327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50D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7EFB" w:rsidRPr="00C37EF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50D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409B" w:rsidRPr="00B840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5F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D04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38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09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37EF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3300-68F5-477F-8F08-F9BB366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2022-04-21T16:05:00Z</dcterms:created>
  <dcterms:modified xsi:type="dcterms:W3CDTF">2022-04-21T16:05:00Z</dcterms:modified>
</cp:coreProperties>
</file>