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2F" w:rsidRDefault="0014049C" w:rsidP="0014049C">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安信基金</w:t>
      </w:r>
      <w:r>
        <w:rPr>
          <w:rFonts w:ascii="仿宋" w:eastAsia="仿宋" w:hAnsi="仿宋"/>
          <w:b/>
          <w:color w:val="000000" w:themeColor="text1"/>
          <w:sz w:val="32"/>
          <w:szCs w:val="32"/>
        </w:rPr>
        <w:t>管理有限责任</w:t>
      </w:r>
      <w:r>
        <w:rPr>
          <w:rFonts w:ascii="仿宋" w:eastAsia="仿宋" w:hAnsi="仿宋" w:hint="eastAsia"/>
          <w:b/>
          <w:color w:val="000000" w:themeColor="text1"/>
          <w:sz w:val="32"/>
          <w:szCs w:val="32"/>
        </w:rPr>
        <w:t>公司旗下</w:t>
      </w:r>
      <w:r>
        <w:rPr>
          <w:rFonts w:ascii="仿宋" w:eastAsia="仿宋" w:hAnsi="仿宋" w:hint="eastAsia"/>
          <w:b/>
          <w:color w:val="000000" w:themeColor="text1"/>
          <w:sz w:val="32"/>
          <w:szCs w:val="32"/>
        </w:rPr>
        <w:t>79</w:t>
      </w:r>
      <w:r>
        <w:rPr>
          <w:rFonts w:ascii="仿宋" w:eastAsia="仿宋" w:hAnsi="仿宋" w:hint="eastAsia"/>
          <w:b/>
          <w:color w:val="000000" w:themeColor="text1"/>
          <w:sz w:val="32"/>
          <w:szCs w:val="32"/>
        </w:rPr>
        <w:t>只</w:t>
      </w:r>
      <w:r>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季</w:t>
      </w:r>
      <w:r>
        <w:rPr>
          <w:rFonts w:ascii="仿宋" w:eastAsia="仿宋" w:hAnsi="仿宋" w:hint="eastAsia"/>
          <w:b/>
          <w:color w:val="000000" w:themeColor="text1"/>
          <w:sz w:val="32"/>
          <w:szCs w:val="32"/>
        </w:rPr>
        <w:t>度报告</w:t>
      </w:r>
    </w:p>
    <w:p w:rsidR="004D092F" w:rsidRDefault="0014049C" w:rsidP="0014049C">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提示性公告</w:t>
      </w:r>
    </w:p>
    <w:p w:rsidR="004D092F" w:rsidRDefault="004D092F" w:rsidP="0014049C">
      <w:pPr>
        <w:spacing w:line="540" w:lineRule="exact"/>
        <w:ind w:firstLineChars="50" w:firstLine="160"/>
        <w:jc w:val="center"/>
        <w:rPr>
          <w:rFonts w:ascii="仿宋" w:eastAsia="仿宋" w:hAnsi="仿宋"/>
          <w:b/>
          <w:color w:val="000000" w:themeColor="text1"/>
          <w:sz w:val="32"/>
          <w:szCs w:val="32"/>
        </w:rPr>
      </w:pP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本公司董事会及董事保证基金年度报告所载资料不存在虚假记载、误导性陈述或重大遗漏，并对其内容的真实性、准确性和完整性承担个别及连带责任。</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安信基金</w:t>
      </w:r>
      <w:r>
        <w:rPr>
          <w:rFonts w:ascii="仿宋" w:eastAsia="仿宋" w:hAnsi="仿宋"/>
          <w:color w:val="000000" w:themeColor="text1"/>
          <w:sz w:val="32"/>
          <w:szCs w:val="32"/>
        </w:rPr>
        <w:t>管理有限责任公司</w:t>
      </w:r>
      <w:r>
        <w:rPr>
          <w:rFonts w:ascii="仿宋" w:eastAsia="仿宋" w:hAnsi="仿宋" w:hint="eastAsia"/>
          <w:color w:val="000000" w:themeColor="text1"/>
          <w:sz w:val="32"/>
          <w:szCs w:val="32"/>
        </w:rPr>
        <w:t>旗下</w:t>
      </w:r>
      <w:r>
        <w:rPr>
          <w:rFonts w:ascii="仿宋" w:eastAsia="仿宋" w:hAnsi="仿宋" w:hint="eastAsia"/>
          <w:color w:val="000000" w:themeColor="text1"/>
          <w:sz w:val="32"/>
          <w:szCs w:val="32"/>
        </w:rPr>
        <w:t>:</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安信宝利债券型证券投资基金（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安信比较优势灵活配置混合型证券投资基金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安信策略精选灵活配置混合型证券投资基金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安信成长动力一年持有期混合型证券投资基金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安信成长精选混合型证券投资基金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安信创新先锋混合型发起式证券投资基金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安信动态策略灵活配置混合型证券投资基金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安信丰泽</w:t>
      </w:r>
      <w:r>
        <w:rPr>
          <w:rFonts w:ascii="仿宋" w:eastAsia="仿宋" w:hAnsi="仿宋" w:hint="eastAsia"/>
          <w:color w:val="000000" w:themeColor="text1"/>
          <w:sz w:val="32"/>
          <w:szCs w:val="32"/>
        </w:rPr>
        <w:t>39</w:t>
      </w:r>
      <w:r>
        <w:rPr>
          <w:rFonts w:ascii="仿宋" w:eastAsia="仿宋" w:hAnsi="仿宋" w:hint="eastAsia"/>
          <w:color w:val="000000" w:themeColor="text1"/>
          <w:sz w:val="32"/>
          <w:szCs w:val="32"/>
        </w:rPr>
        <w:t>个月定期开放债券型证券投资基金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安信工业</w:t>
      </w:r>
      <w:r>
        <w:rPr>
          <w:rFonts w:ascii="仿宋" w:eastAsia="仿宋" w:hAnsi="仿宋" w:hint="eastAsia"/>
          <w:color w:val="000000" w:themeColor="text1"/>
          <w:sz w:val="32"/>
          <w:szCs w:val="32"/>
        </w:rPr>
        <w:t>4.0</w:t>
      </w:r>
      <w:r>
        <w:rPr>
          <w:rFonts w:ascii="仿宋" w:eastAsia="仿宋" w:hAnsi="仿宋" w:hint="eastAsia"/>
          <w:color w:val="000000" w:themeColor="text1"/>
          <w:sz w:val="32"/>
          <w:szCs w:val="32"/>
        </w:rPr>
        <w:t>主题沪港深精选灵活配置混合型证券投资基金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安信合作创新主题沪港深灵活配置混合型证券投资基金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安信核心竞争力灵活配置混合型证券投资基金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安信恒利增强债券型证券投资基金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安信活期宝货币市场基金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安信价值成长混合型证券投资基金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安信价值发现两年定期开放混合型证券投资基金（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安信价值回报三年持有期混合型证券投资基金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安信价值精选股票型证券投资基金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安信价值驱动三年持有期混合型发起式证券投资基金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安信聚利增强债券型证券投资基金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安信量化精选沪深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指数增强型证券投资基金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安信量化优选股票型发起式证券投资基金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安信民稳增长混合型证券投资基金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安信目标收益债券型证券投资基金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安信平稳双利</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个月持有期混合型证券投资基金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安信平稳增长混合型发起式证券投资基金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安信稳健阿尔法定期开放混合型发起式证券投资基金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安信稳健聚申一年持有期混合型证券投资基金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安信禧悦稳健养老目标一年持有期混合型基金中基金（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安信现金管理货币市场基金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安信现金增利货币市场基金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安信消费医药主题股票型证券投资基金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安信新常态沪港深精选股票型证券投资基金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安信新成长灵活配置混合型证券投资基金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安信新动力灵活配置混合型证券投资基金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安信新回报灵活配置混合型证券投资基金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安信新价值灵活配置混合型证券投资基金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安信新目标灵活配置混合型证券投资基金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安信新优选灵活配置混合型证券投资基金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安信鑫安得利灵活配置混合型证券投资基金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安信鑫发优选灵活配置混合型证券投资基金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安信鑫日享中短债债券型证券投资基金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安信盈利驱动股票型证券投资基金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安信永丰定期开放债券型证券投资基金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安信永利信用定期开放债券型证券投资基金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安信永瑞定期开放债券型发起式证券投资基金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安信永盛定期开放债</w:t>
      </w:r>
      <w:r>
        <w:rPr>
          <w:rFonts w:ascii="仿宋" w:eastAsia="仿宋" w:hAnsi="仿宋" w:hint="eastAsia"/>
          <w:color w:val="000000" w:themeColor="text1"/>
          <w:sz w:val="32"/>
          <w:szCs w:val="32"/>
        </w:rPr>
        <w:t>券型发起式证券投资基金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安信永顺一年定期开放债券型发起式证券投资基金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安信永泰定期开放债券型发起式证券投资基金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安信永鑫增强债券型证券投资基金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安信优势增长灵活配置混合型证券投资基金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安信中短利率债债券型证券投资基金（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安信中国制造</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沪港深灵活配置混合型证券投资基金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指数增强型证券投资基金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安信中证深圳科技创新主题指数型证券投资基金（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w:t>
      </w:r>
      <w:r>
        <w:rPr>
          <w:rFonts w:ascii="仿宋" w:eastAsia="仿宋" w:hAnsi="仿宋" w:hint="eastAsia"/>
          <w:color w:val="000000" w:themeColor="text1"/>
          <w:sz w:val="32"/>
          <w:szCs w:val="32"/>
        </w:rPr>
        <w:t>信中证一带一路主题指数</w:t>
      </w:r>
      <w:r>
        <w:rPr>
          <w:rFonts w:ascii="仿宋" w:eastAsia="仿宋" w:hAnsi="仿宋" w:hint="eastAsia"/>
          <w:color w:val="000000" w:themeColor="text1"/>
          <w:sz w:val="32"/>
          <w:szCs w:val="32"/>
        </w:rPr>
        <w:t>型</w:t>
      </w:r>
      <w:r>
        <w:rPr>
          <w:rFonts w:ascii="仿宋" w:eastAsia="仿宋" w:hAnsi="仿宋" w:hint="eastAsia"/>
          <w:color w:val="000000" w:themeColor="text1"/>
          <w:sz w:val="32"/>
          <w:szCs w:val="32"/>
        </w:rPr>
        <w:t>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安信尊享纯债债券型证券投资基金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安信尊享添利利率债债券型证券投资基金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安信尊享添益债券型证券投资基金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年政策性金融债指数证券投资基金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安信浩盈</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安信平稳合盈一年持有期混合型证券投资基金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安信稳健回报</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安信永盈一年定期开放债券型发起式证券投资基金</w:t>
      </w:r>
    </w:p>
    <w:p w:rsidR="004D092F" w:rsidRDefault="0014049C">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安信稳健增利混合型证券投资基金</w:t>
      </w:r>
    </w:p>
    <w:p w:rsidR="004D092F" w:rsidRDefault="0014049C">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安信稳健增值灵活配置混合型证券投资基金</w:t>
      </w:r>
    </w:p>
    <w:p w:rsidR="004D092F" w:rsidRDefault="0014049C">
      <w:pPr>
        <w:ind w:firstLineChars="200" w:firstLine="640"/>
        <w:rPr>
          <w:rFonts w:ascii="仿宋" w:eastAsia="仿宋" w:hAnsi="仿宋"/>
          <w:color w:val="000000" w:themeColor="text1"/>
          <w:sz w:val="32"/>
          <w:szCs w:val="32"/>
        </w:rPr>
      </w:pPr>
      <w:r>
        <w:rPr>
          <w:rFonts w:ascii="仿宋" w:eastAsia="仿宋" w:hAnsi="仿宋" w:hint="eastAsia"/>
          <w:color w:val="000000" w:themeColor="text1"/>
          <w:kern w:val="0"/>
          <w:sz w:val="32"/>
          <w:szCs w:val="32"/>
        </w:rPr>
        <w:t>安信新趋势灵活配置混合型证券投资基金</w:t>
      </w:r>
    </w:p>
    <w:p w:rsidR="004D092F" w:rsidRDefault="0014049C">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安信均衡成长</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个月持有期混合型证券投资基金</w:t>
      </w:r>
    </w:p>
    <w:p w:rsidR="004D092F" w:rsidRDefault="0014049C">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安信招信一年持有期混合型证券投资基金</w:t>
      </w:r>
    </w:p>
    <w:p w:rsidR="004D092F" w:rsidRDefault="0014049C">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安信消费升级一年持有期混合型发起式证券投资基金</w:t>
      </w:r>
    </w:p>
    <w:p w:rsidR="004D092F" w:rsidRDefault="0014049C">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安信宏盈</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个月持有</w:t>
      </w:r>
      <w:r>
        <w:rPr>
          <w:rFonts w:ascii="仿宋" w:eastAsia="仿宋" w:hAnsi="仿宋" w:hint="eastAsia"/>
          <w:color w:val="000000" w:themeColor="text1"/>
          <w:sz w:val="32"/>
          <w:szCs w:val="32"/>
        </w:rPr>
        <w:t>期混合型证券投资基金</w:t>
      </w:r>
    </w:p>
    <w:p w:rsidR="004D092F" w:rsidRDefault="0014049C">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安信稳健汇利一年持有期混合型证券投资基金</w:t>
      </w:r>
    </w:p>
    <w:p w:rsidR="004D092F" w:rsidRDefault="0014049C">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安信价值启航混合型证券投资基金</w:t>
      </w:r>
    </w:p>
    <w:p w:rsidR="004D092F" w:rsidRDefault="0014049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安信民安回报一年持有期混合型证券投资基金</w:t>
      </w:r>
    </w:p>
    <w:p w:rsidR="004D092F" w:rsidRDefault="0014049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w:t>
      </w:r>
      <w:r>
        <w:rPr>
          <w:rFonts w:ascii="仿宋" w:eastAsia="仿宋" w:hAnsi="仿宋" w:hint="eastAsia"/>
          <w:color w:val="000000" w:themeColor="text1"/>
          <w:sz w:val="32"/>
          <w:szCs w:val="32"/>
        </w:rPr>
        <w:t>医药健康主题股票型发起式</w:t>
      </w:r>
      <w:r>
        <w:rPr>
          <w:rFonts w:ascii="仿宋" w:eastAsia="仿宋" w:hAnsi="仿宋" w:hint="eastAsia"/>
          <w:color w:val="000000" w:themeColor="text1"/>
          <w:sz w:val="32"/>
          <w:szCs w:val="32"/>
        </w:rPr>
        <w:t>证券投资</w:t>
      </w:r>
      <w:r>
        <w:rPr>
          <w:rFonts w:ascii="仿宋" w:eastAsia="仿宋" w:hAnsi="仿宋" w:hint="eastAsia"/>
          <w:color w:val="000000" w:themeColor="text1"/>
          <w:sz w:val="32"/>
          <w:szCs w:val="32"/>
        </w:rPr>
        <w:t>基金</w:t>
      </w:r>
    </w:p>
    <w:p w:rsidR="004D092F" w:rsidRDefault="0014049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安信优质企业三年持有期混合型证券投资基金</w:t>
      </w:r>
    </w:p>
    <w:p w:rsidR="004D092F" w:rsidRDefault="0014049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安信平衡增利混合型证券投资基金</w:t>
      </w:r>
    </w:p>
    <w:p w:rsidR="004D092F" w:rsidRDefault="0014049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安信永宁一年定期开放债券型发起式证券投资基金</w:t>
      </w:r>
    </w:p>
    <w:p w:rsidR="004D092F" w:rsidRDefault="0014049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安信丰穗一年持有期混合型证券投资基金和安信楚盈一年持有期混合型证券投资基金</w:t>
      </w:r>
      <w:r>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季度</w:t>
      </w:r>
      <w:bookmarkStart w:id="0" w:name="_GoBack"/>
      <w:bookmarkEnd w:id="0"/>
      <w:r>
        <w:rPr>
          <w:rFonts w:ascii="仿宋" w:eastAsia="仿宋" w:hAnsi="仿宋"/>
          <w:color w:val="000000" w:themeColor="text1"/>
          <w:sz w:val="32"/>
          <w:szCs w:val="32"/>
        </w:rPr>
        <w:t>报告全文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w:t>
      </w:r>
      <w:r>
        <w:rPr>
          <w:rFonts w:ascii="仿宋" w:eastAsia="仿宋" w:hAnsi="仿宋"/>
          <w:color w:val="000000" w:themeColor="text1"/>
          <w:sz w:val="32"/>
          <w:szCs w:val="32"/>
        </w:rPr>
        <w:t>02</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21</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8" w:history="1">
        <w:r>
          <w:rPr>
            <w:rStyle w:val="aa"/>
            <w:rFonts w:ascii="仿宋" w:eastAsia="仿宋" w:hAnsi="仿宋"/>
            <w:sz w:val="32"/>
            <w:szCs w:val="32"/>
          </w:rPr>
          <w:t>https://www.essencefund.com</w:t>
        </w:r>
      </w:hyperlink>
      <w:r>
        <w:rPr>
          <w:rFonts w:ascii="仿宋" w:eastAsia="仿宋" w:hAnsi="仿宋"/>
          <w:color w:val="000000" w:themeColor="text1"/>
          <w:sz w:val="32"/>
          <w:szCs w:val="32"/>
        </w:rPr>
        <w:t>)</w:t>
      </w:r>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9" w:history="1">
        <w:r>
          <w:rPr>
            <w:rStyle w:val="aa"/>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4008-088-088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4D092F" w:rsidRDefault="0014049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4D092F" w:rsidRDefault="0014049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安信基金</w:t>
      </w:r>
      <w:r>
        <w:rPr>
          <w:rFonts w:ascii="仿宋" w:eastAsia="仿宋" w:hAnsi="仿宋"/>
          <w:color w:val="000000" w:themeColor="text1"/>
          <w:sz w:val="32"/>
          <w:szCs w:val="32"/>
        </w:rPr>
        <w:t>管理有限责任公司</w:t>
      </w:r>
    </w:p>
    <w:p w:rsidR="004D092F" w:rsidRDefault="0014049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w:t>
      </w:r>
      <w:r>
        <w:rPr>
          <w:rFonts w:ascii="仿宋" w:eastAsia="仿宋" w:hAnsi="仿宋"/>
          <w:color w:val="000000" w:themeColor="text1"/>
          <w:sz w:val="32"/>
          <w:szCs w:val="32"/>
        </w:rPr>
        <w:t>02</w:t>
      </w:r>
      <w:r>
        <w:rPr>
          <w:rFonts w:ascii="仿宋" w:eastAsia="仿宋" w:hAnsi="仿宋" w:hint="eastAsia"/>
          <w:color w:val="000000" w:themeColor="text1"/>
          <w:sz w:val="32"/>
          <w:szCs w:val="32"/>
        </w:rPr>
        <w:t>2</w:t>
      </w:r>
      <w:r>
        <w:rPr>
          <w:rFonts w:ascii="仿宋" w:eastAsia="仿宋" w:hAnsi="仿宋"/>
          <w:color w:val="000000" w:themeColor="text1"/>
          <w:sz w:val="32"/>
          <w:szCs w:val="32"/>
        </w:rPr>
        <w:t>年</w:t>
      </w:r>
      <w:r>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4</w:t>
      </w:r>
      <w:r>
        <w:rPr>
          <w:rFonts w:ascii="仿宋" w:eastAsia="仿宋" w:hAnsi="仿宋"/>
          <w:color w:val="000000" w:themeColor="text1"/>
          <w:sz w:val="32"/>
          <w:szCs w:val="32"/>
        </w:rPr>
        <w:t>月</w:t>
      </w:r>
      <w:r>
        <w:rPr>
          <w:rFonts w:ascii="仿宋" w:eastAsia="仿宋" w:hAnsi="仿宋" w:hint="eastAsia"/>
          <w:color w:val="000000" w:themeColor="text1"/>
          <w:sz w:val="32"/>
          <w:szCs w:val="32"/>
        </w:rPr>
        <w:t>21</w:t>
      </w:r>
      <w:r>
        <w:rPr>
          <w:rFonts w:ascii="仿宋" w:eastAsia="仿宋" w:hAnsi="仿宋"/>
          <w:color w:val="000000" w:themeColor="text1"/>
          <w:sz w:val="32"/>
          <w:szCs w:val="32"/>
        </w:rPr>
        <w:t>日</w:t>
      </w:r>
    </w:p>
    <w:sectPr w:rsidR="004D092F" w:rsidSect="004D092F">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92F" w:rsidRDefault="004D092F" w:rsidP="004D092F">
      <w:r>
        <w:separator/>
      </w:r>
    </w:p>
  </w:endnote>
  <w:endnote w:type="continuationSeparator" w:id="0">
    <w:p w:rsidR="004D092F" w:rsidRDefault="004D092F" w:rsidP="004D0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4D092F" w:rsidRDefault="004D092F">
        <w:pPr>
          <w:pStyle w:val="a5"/>
          <w:jc w:val="center"/>
        </w:pPr>
        <w:r>
          <w:fldChar w:fldCharType="begin"/>
        </w:r>
        <w:r w:rsidR="0014049C">
          <w:instrText>PAGE   \* MERGEFORMAT</w:instrText>
        </w:r>
        <w:r>
          <w:fldChar w:fldCharType="separate"/>
        </w:r>
        <w:r w:rsidR="0014049C" w:rsidRPr="0014049C">
          <w:rPr>
            <w:noProof/>
            <w:lang w:val="zh-CN"/>
          </w:rPr>
          <w:t>2</w:t>
        </w:r>
        <w:r>
          <w:fldChar w:fldCharType="end"/>
        </w:r>
      </w:p>
    </w:sdtContent>
  </w:sdt>
  <w:p w:rsidR="004D092F" w:rsidRDefault="004D092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4D092F" w:rsidRDefault="004D092F">
        <w:pPr>
          <w:pStyle w:val="a5"/>
          <w:jc w:val="center"/>
        </w:pPr>
        <w:r>
          <w:fldChar w:fldCharType="begin"/>
        </w:r>
        <w:r w:rsidR="0014049C">
          <w:instrText>PAGE   \* MERGEFORMAT</w:instrText>
        </w:r>
        <w:r>
          <w:fldChar w:fldCharType="separate"/>
        </w:r>
        <w:r w:rsidR="0014049C" w:rsidRPr="0014049C">
          <w:rPr>
            <w:noProof/>
            <w:lang w:val="zh-CN"/>
          </w:rPr>
          <w:t>1</w:t>
        </w:r>
        <w:r>
          <w:fldChar w:fldCharType="end"/>
        </w:r>
      </w:p>
    </w:sdtContent>
  </w:sdt>
  <w:p w:rsidR="004D092F" w:rsidRDefault="004D09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92F" w:rsidRDefault="004D092F" w:rsidP="004D092F">
      <w:r>
        <w:separator/>
      </w:r>
    </w:p>
  </w:footnote>
  <w:footnote w:type="continuationSeparator" w:id="0">
    <w:p w:rsidR="004D092F" w:rsidRDefault="004D092F" w:rsidP="004D0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65F96"/>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04B9"/>
    <w:rsid w:val="000E13E9"/>
    <w:rsid w:val="000E7D66"/>
    <w:rsid w:val="000F07E6"/>
    <w:rsid w:val="000F407E"/>
    <w:rsid w:val="000F6458"/>
    <w:rsid w:val="001039BC"/>
    <w:rsid w:val="001146C5"/>
    <w:rsid w:val="001279BE"/>
    <w:rsid w:val="0013251E"/>
    <w:rsid w:val="0014049C"/>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0796C"/>
    <w:rsid w:val="0021172E"/>
    <w:rsid w:val="00221DE2"/>
    <w:rsid w:val="002252A3"/>
    <w:rsid w:val="00233E65"/>
    <w:rsid w:val="00234298"/>
    <w:rsid w:val="002343BD"/>
    <w:rsid w:val="002471D4"/>
    <w:rsid w:val="00253326"/>
    <w:rsid w:val="00261CDE"/>
    <w:rsid w:val="0026276F"/>
    <w:rsid w:val="00275E0C"/>
    <w:rsid w:val="00276CA4"/>
    <w:rsid w:val="002823E9"/>
    <w:rsid w:val="00282A7F"/>
    <w:rsid w:val="00284E14"/>
    <w:rsid w:val="00293DE4"/>
    <w:rsid w:val="002941EC"/>
    <w:rsid w:val="00296096"/>
    <w:rsid w:val="00296303"/>
    <w:rsid w:val="002968AB"/>
    <w:rsid w:val="002970F7"/>
    <w:rsid w:val="002A0F46"/>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2EA5"/>
    <w:rsid w:val="003F4E13"/>
    <w:rsid w:val="003F6960"/>
    <w:rsid w:val="0040020D"/>
    <w:rsid w:val="00405ADB"/>
    <w:rsid w:val="00422C2C"/>
    <w:rsid w:val="004254EE"/>
    <w:rsid w:val="00430D19"/>
    <w:rsid w:val="00433480"/>
    <w:rsid w:val="0043655D"/>
    <w:rsid w:val="00437D86"/>
    <w:rsid w:val="00441246"/>
    <w:rsid w:val="00441E0B"/>
    <w:rsid w:val="00446187"/>
    <w:rsid w:val="00452A46"/>
    <w:rsid w:val="00454581"/>
    <w:rsid w:val="00454978"/>
    <w:rsid w:val="00467E81"/>
    <w:rsid w:val="004744B6"/>
    <w:rsid w:val="004748B9"/>
    <w:rsid w:val="00475223"/>
    <w:rsid w:val="00477BA8"/>
    <w:rsid w:val="00477EB2"/>
    <w:rsid w:val="0048111A"/>
    <w:rsid w:val="00487BF1"/>
    <w:rsid w:val="004907D7"/>
    <w:rsid w:val="00491FCB"/>
    <w:rsid w:val="00497943"/>
    <w:rsid w:val="00497A8B"/>
    <w:rsid w:val="004A0E45"/>
    <w:rsid w:val="004A54A6"/>
    <w:rsid w:val="004B1105"/>
    <w:rsid w:val="004C3109"/>
    <w:rsid w:val="004C44C4"/>
    <w:rsid w:val="004C625A"/>
    <w:rsid w:val="004C6355"/>
    <w:rsid w:val="004D092F"/>
    <w:rsid w:val="004E1D5E"/>
    <w:rsid w:val="004E630B"/>
    <w:rsid w:val="004E7D27"/>
    <w:rsid w:val="004F7313"/>
    <w:rsid w:val="005158A6"/>
    <w:rsid w:val="0052094C"/>
    <w:rsid w:val="00530DC0"/>
    <w:rsid w:val="00534A41"/>
    <w:rsid w:val="0053650E"/>
    <w:rsid w:val="00542535"/>
    <w:rsid w:val="00544E6E"/>
    <w:rsid w:val="00547910"/>
    <w:rsid w:val="00551033"/>
    <w:rsid w:val="00552E8B"/>
    <w:rsid w:val="00560AC4"/>
    <w:rsid w:val="00563FE4"/>
    <w:rsid w:val="00567A02"/>
    <w:rsid w:val="005711D9"/>
    <w:rsid w:val="005751C6"/>
    <w:rsid w:val="00582D8F"/>
    <w:rsid w:val="005837B0"/>
    <w:rsid w:val="00596AC1"/>
    <w:rsid w:val="005A408B"/>
    <w:rsid w:val="005A46AE"/>
    <w:rsid w:val="005A5D91"/>
    <w:rsid w:val="005A77EA"/>
    <w:rsid w:val="005B0EC4"/>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20E1"/>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636DC"/>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41A7"/>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4896"/>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0C93"/>
    <w:rsid w:val="00A62B15"/>
    <w:rsid w:val="00A63901"/>
    <w:rsid w:val="00A63F21"/>
    <w:rsid w:val="00A7247E"/>
    <w:rsid w:val="00A72BFA"/>
    <w:rsid w:val="00A72FCD"/>
    <w:rsid w:val="00A74844"/>
    <w:rsid w:val="00A81D7B"/>
    <w:rsid w:val="00A87DCB"/>
    <w:rsid w:val="00AB49A1"/>
    <w:rsid w:val="00AC1161"/>
    <w:rsid w:val="00AD18DD"/>
    <w:rsid w:val="00AD562B"/>
    <w:rsid w:val="00AD6A53"/>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4AB"/>
    <w:rsid w:val="00CB4DE3"/>
    <w:rsid w:val="00CC2F35"/>
    <w:rsid w:val="00CC40C3"/>
    <w:rsid w:val="00CD3E0F"/>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E78C6"/>
    <w:rsid w:val="00EF043C"/>
    <w:rsid w:val="00EF49B3"/>
    <w:rsid w:val="00EF56E1"/>
    <w:rsid w:val="00EF73FD"/>
    <w:rsid w:val="00F00561"/>
    <w:rsid w:val="00F01150"/>
    <w:rsid w:val="00F01E3D"/>
    <w:rsid w:val="00F04DC2"/>
    <w:rsid w:val="00F066D9"/>
    <w:rsid w:val="00F239C6"/>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F410B"/>
    <w:rsid w:val="191C07DB"/>
    <w:rsid w:val="1D7F3328"/>
    <w:rsid w:val="2F32660F"/>
    <w:rsid w:val="31E206D8"/>
    <w:rsid w:val="42B5263C"/>
    <w:rsid w:val="467F4013"/>
    <w:rsid w:val="7DAC30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D092F"/>
    <w:pPr>
      <w:jc w:val="left"/>
    </w:pPr>
  </w:style>
  <w:style w:type="paragraph" w:styleId="a4">
    <w:name w:val="Balloon Text"/>
    <w:basedOn w:val="a"/>
    <w:link w:val="Char0"/>
    <w:uiPriority w:val="99"/>
    <w:semiHidden/>
    <w:unhideWhenUsed/>
    <w:qFormat/>
    <w:rsid w:val="004D092F"/>
    <w:rPr>
      <w:sz w:val="18"/>
      <w:szCs w:val="18"/>
    </w:rPr>
  </w:style>
  <w:style w:type="paragraph" w:styleId="a5">
    <w:name w:val="footer"/>
    <w:basedOn w:val="a"/>
    <w:link w:val="Char1"/>
    <w:uiPriority w:val="99"/>
    <w:unhideWhenUsed/>
    <w:rsid w:val="004D092F"/>
    <w:pPr>
      <w:tabs>
        <w:tab w:val="center" w:pos="4153"/>
        <w:tab w:val="right" w:pos="8306"/>
      </w:tabs>
      <w:snapToGrid w:val="0"/>
      <w:jc w:val="left"/>
    </w:pPr>
    <w:rPr>
      <w:sz w:val="18"/>
      <w:szCs w:val="18"/>
    </w:rPr>
  </w:style>
  <w:style w:type="paragraph" w:styleId="a6">
    <w:name w:val="header"/>
    <w:basedOn w:val="a"/>
    <w:link w:val="Char2"/>
    <w:uiPriority w:val="99"/>
    <w:unhideWhenUsed/>
    <w:rsid w:val="004D092F"/>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4D092F"/>
    <w:pPr>
      <w:snapToGrid w:val="0"/>
      <w:jc w:val="left"/>
    </w:pPr>
    <w:rPr>
      <w:sz w:val="18"/>
      <w:szCs w:val="18"/>
    </w:rPr>
  </w:style>
  <w:style w:type="paragraph" w:styleId="a8">
    <w:name w:val="annotation subject"/>
    <w:basedOn w:val="a3"/>
    <w:next w:val="a3"/>
    <w:link w:val="Char4"/>
    <w:uiPriority w:val="99"/>
    <w:semiHidden/>
    <w:unhideWhenUsed/>
    <w:qFormat/>
    <w:rsid w:val="004D092F"/>
    <w:rPr>
      <w:b/>
      <w:bCs/>
    </w:rPr>
  </w:style>
  <w:style w:type="character" w:styleId="a9">
    <w:name w:val="FollowedHyperlink"/>
    <w:basedOn w:val="a0"/>
    <w:uiPriority w:val="99"/>
    <w:semiHidden/>
    <w:unhideWhenUsed/>
    <w:qFormat/>
    <w:rsid w:val="004D092F"/>
    <w:rPr>
      <w:color w:val="800080" w:themeColor="followedHyperlink"/>
      <w:u w:val="single"/>
    </w:rPr>
  </w:style>
  <w:style w:type="character" w:styleId="aa">
    <w:name w:val="Hyperlink"/>
    <w:basedOn w:val="a0"/>
    <w:uiPriority w:val="99"/>
    <w:unhideWhenUsed/>
    <w:qFormat/>
    <w:rsid w:val="004D092F"/>
    <w:rPr>
      <w:color w:val="0000FF" w:themeColor="hyperlink"/>
      <w:u w:val="single"/>
    </w:rPr>
  </w:style>
  <w:style w:type="character" w:styleId="ab">
    <w:name w:val="annotation reference"/>
    <w:basedOn w:val="a0"/>
    <w:uiPriority w:val="99"/>
    <w:semiHidden/>
    <w:unhideWhenUsed/>
    <w:qFormat/>
    <w:rsid w:val="004D092F"/>
    <w:rPr>
      <w:sz w:val="21"/>
      <w:szCs w:val="21"/>
    </w:rPr>
  </w:style>
  <w:style w:type="character" w:styleId="ac">
    <w:name w:val="footnote reference"/>
    <w:basedOn w:val="a0"/>
    <w:uiPriority w:val="99"/>
    <w:semiHidden/>
    <w:unhideWhenUsed/>
    <w:qFormat/>
    <w:rsid w:val="004D092F"/>
    <w:rPr>
      <w:vertAlign w:val="superscript"/>
    </w:rPr>
  </w:style>
  <w:style w:type="character" w:customStyle="1" w:styleId="Char2">
    <w:name w:val="页眉 Char"/>
    <w:basedOn w:val="a0"/>
    <w:link w:val="a6"/>
    <w:uiPriority w:val="99"/>
    <w:qFormat/>
    <w:rsid w:val="004D092F"/>
    <w:rPr>
      <w:sz w:val="18"/>
      <w:szCs w:val="18"/>
    </w:rPr>
  </w:style>
  <w:style w:type="character" w:customStyle="1" w:styleId="Char1">
    <w:name w:val="页脚 Char"/>
    <w:basedOn w:val="a0"/>
    <w:link w:val="a5"/>
    <w:uiPriority w:val="99"/>
    <w:rsid w:val="004D092F"/>
    <w:rPr>
      <w:sz w:val="18"/>
      <w:szCs w:val="18"/>
    </w:rPr>
  </w:style>
  <w:style w:type="paragraph" w:styleId="ad">
    <w:name w:val="List Paragraph"/>
    <w:basedOn w:val="a"/>
    <w:uiPriority w:val="34"/>
    <w:qFormat/>
    <w:rsid w:val="004D092F"/>
    <w:pPr>
      <w:ind w:firstLineChars="200" w:firstLine="420"/>
    </w:pPr>
  </w:style>
  <w:style w:type="character" w:customStyle="1" w:styleId="Char0">
    <w:name w:val="批注框文本 Char"/>
    <w:basedOn w:val="a0"/>
    <w:link w:val="a4"/>
    <w:uiPriority w:val="99"/>
    <w:semiHidden/>
    <w:qFormat/>
    <w:rsid w:val="004D092F"/>
    <w:rPr>
      <w:sz w:val="18"/>
      <w:szCs w:val="18"/>
    </w:rPr>
  </w:style>
  <w:style w:type="character" w:customStyle="1" w:styleId="Char">
    <w:name w:val="批注文字 Char"/>
    <w:basedOn w:val="a0"/>
    <w:link w:val="a3"/>
    <w:uiPriority w:val="99"/>
    <w:semiHidden/>
    <w:qFormat/>
    <w:rsid w:val="004D092F"/>
  </w:style>
  <w:style w:type="character" w:customStyle="1" w:styleId="Char4">
    <w:name w:val="批注主题 Char"/>
    <w:basedOn w:val="Char"/>
    <w:link w:val="a8"/>
    <w:uiPriority w:val="99"/>
    <w:semiHidden/>
    <w:qFormat/>
    <w:rsid w:val="004D092F"/>
    <w:rPr>
      <w:b/>
      <w:bCs/>
    </w:rPr>
  </w:style>
  <w:style w:type="character" w:customStyle="1" w:styleId="Char3">
    <w:name w:val="脚注文本 Char"/>
    <w:basedOn w:val="a0"/>
    <w:link w:val="a7"/>
    <w:uiPriority w:val="99"/>
    <w:semiHidden/>
    <w:qFormat/>
    <w:rsid w:val="004D092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ssencefu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DD514A-76F6-4319-9473-1008CCCF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1766</Characters>
  <Application>Microsoft Office Word</Application>
  <DocSecurity>4</DocSecurity>
  <Lines>14</Lines>
  <Paragraphs>4</Paragraphs>
  <ScaleCrop>false</ScaleCrop>
  <Company>CNSTOCK</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微信用户</dc:creator>
  <cp:lastModifiedBy>ZHONGM</cp:lastModifiedBy>
  <cp:revision>2</cp:revision>
  <cp:lastPrinted>2019-08-07T06:37:00Z</cp:lastPrinted>
  <dcterms:created xsi:type="dcterms:W3CDTF">2022-04-20T16:01:00Z</dcterms:created>
  <dcterms:modified xsi:type="dcterms:W3CDTF">2022-04-20T16:01:00Z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4C9C065854314F93969097F4CE7C00C3</vt:lpwstr>
  </property>
</Properties>
</file>