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w:t>
      </w:r>
      <w:r w:rsidR="000B007E">
        <w:rPr>
          <w:rFonts w:asciiTheme="majorEastAsia" w:eastAsiaTheme="majorEastAsia" w:hAnsiTheme="majorEastAsia" w:cs="Calibri"/>
          <w:b/>
          <w:bCs/>
          <w:color w:val="000000"/>
          <w:kern w:val="0"/>
          <w:sz w:val="28"/>
          <w:szCs w:val="28"/>
          <w:shd w:val="clear" w:color="auto" w:fill="FFFFFF"/>
        </w:rPr>
        <w:t>在</w:t>
      </w:r>
      <w:r w:rsidR="001032FD" w:rsidRPr="001032FD">
        <w:rPr>
          <w:rFonts w:asciiTheme="majorEastAsia" w:eastAsiaTheme="majorEastAsia" w:hAnsiTheme="majorEastAsia" w:cs="Calibri" w:hint="eastAsia"/>
          <w:b/>
          <w:bCs/>
          <w:color w:val="000000"/>
          <w:kern w:val="0"/>
          <w:sz w:val="28"/>
          <w:szCs w:val="28"/>
          <w:shd w:val="clear" w:color="auto" w:fill="FFFFFF"/>
        </w:rPr>
        <w:t>上海利得基金销售有限公司</w:t>
      </w:r>
      <w:r w:rsidR="00010AD2">
        <w:rPr>
          <w:rFonts w:asciiTheme="majorEastAsia" w:eastAsiaTheme="majorEastAsia" w:hAnsiTheme="majorEastAsia" w:cs="Calibri" w:hint="eastAsia"/>
          <w:b/>
          <w:bCs/>
          <w:color w:val="000000"/>
          <w:kern w:val="0"/>
          <w:sz w:val="28"/>
          <w:szCs w:val="28"/>
          <w:shd w:val="clear" w:color="auto" w:fill="FFFFFF"/>
        </w:rPr>
        <w:t>开展费率优惠活动</w:t>
      </w:r>
      <w:r w:rsidRPr="004403B8">
        <w:rPr>
          <w:rFonts w:asciiTheme="majorEastAsia" w:eastAsiaTheme="majorEastAsia" w:hAnsiTheme="majorEastAsia" w:cs="Calibri"/>
          <w:b/>
          <w:bCs/>
          <w:color w:val="000000"/>
          <w:kern w:val="0"/>
          <w:sz w:val="28"/>
          <w:szCs w:val="28"/>
          <w:shd w:val="clear" w:color="auto" w:fill="FFFFFF"/>
        </w:rPr>
        <w:t>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4D7C7C">
        <w:rPr>
          <w:rFonts w:asciiTheme="minorEastAsia" w:hAnsiTheme="minorEastAsia" w:cs="Calibri"/>
          <w:color w:val="000000"/>
          <w:kern w:val="0"/>
          <w:sz w:val="22"/>
        </w:rPr>
        <w:t>2</w:t>
      </w:r>
      <w:r w:rsidRPr="003A5DEC">
        <w:rPr>
          <w:rFonts w:asciiTheme="minorEastAsia" w:hAnsiTheme="minorEastAsia" w:cs="Calibri" w:hint="eastAsia"/>
          <w:color w:val="000000"/>
          <w:kern w:val="0"/>
          <w:sz w:val="22"/>
        </w:rPr>
        <w:t>年</w:t>
      </w:r>
      <w:r w:rsidR="004D7C7C">
        <w:rPr>
          <w:rFonts w:asciiTheme="minorEastAsia" w:hAnsiTheme="minorEastAsia" w:cs="Calibri"/>
          <w:color w:val="000000"/>
          <w:kern w:val="0"/>
          <w:sz w:val="22"/>
        </w:rPr>
        <w:t>4</w:t>
      </w:r>
      <w:r w:rsidRPr="003A5DEC">
        <w:rPr>
          <w:rFonts w:asciiTheme="minorEastAsia" w:hAnsiTheme="minorEastAsia" w:cs="Calibri" w:hint="eastAsia"/>
          <w:color w:val="000000"/>
          <w:kern w:val="0"/>
          <w:sz w:val="22"/>
        </w:rPr>
        <w:t>月</w:t>
      </w:r>
      <w:r w:rsidR="004D7C7C">
        <w:rPr>
          <w:rFonts w:asciiTheme="minorEastAsia" w:hAnsiTheme="minorEastAsia" w:cs="Calibri"/>
          <w:color w:val="000000"/>
          <w:kern w:val="0"/>
          <w:sz w:val="22"/>
        </w:rPr>
        <w:t>15</w:t>
      </w:r>
      <w:r w:rsidRPr="003A5DEC">
        <w:rPr>
          <w:rFonts w:asciiTheme="minorEastAsia" w:hAnsiTheme="minorEastAsia" w:cs="Calibri" w:hint="eastAsia"/>
          <w:color w:val="000000"/>
          <w:kern w:val="0"/>
          <w:sz w:val="22"/>
        </w:rPr>
        <w:t>日</w:t>
      </w:r>
    </w:p>
    <w:p w:rsidR="00C829B2" w:rsidRPr="00FB02CA"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0510BE" w:rsidRPr="000510BE">
        <w:rPr>
          <w:rFonts w:asciiTheme="minorEastAsia" w:hAnsiTheme="minorEastAsia" w:cs="Calibri" w:hint="eastAsia"/>
          <w:color w:val="000000"/>
          <w:kern w:val="0"/>
          <w:sz w:val="24"/>
          <w:szCs w:val="24"/>
        </w:rPr>
        <w:t>上海利得基金销售有限公司</w:t>
      </w:r>
      <w:r w:rsidRPr="009B2C4B">
        <w:rPr>
          <w:rFonts w:asciiTheme="minorEastAsia" w:hAnsiTheme="minorEastAsia" w:cs="Calibri" w:hint="eastAsia"/>
          <w:color w:val="000000"/>
          <w:kern w:val="0"/>
          <w:sz w:val="24"/>
          <w:szCs w:val="24"/>
        </w:rPr>
        <w:t>（以下简称“</w:t>
      </w:r>
      <w:r w:rsidR="000510BE">
        <w:rPr>
          <w:rFonts w:asciiTheme="minorEastAsia" w:hAnsiTheme="minorEastAsia" w:cs="Calibri"/>
          <w:color w:val="000000"/>
          <w:kern w:val="0"/>
          <w:sz w:val="24"/>
          <w:szCs w:val="24"/>
        </w:rPr>
        <w:t>利得基金</w:t>
      </w:r>
      <w:r w:rsidRPr="009B2C4B">
        <w:rPr>
          <w:rFonts w:asciiTheme="minorEastAsia" w:hAnsiTheme="minorEastAsia" w:cs="Calibri" w:hint="eastAsia"/>
          <w:color w:val="000000"/>
          <w:kern w:val="0"/>
          <w:sz w:val="24"/>
          <w:szCs w:val="24"/>
        </w:rPr>
        <w:t>”）签署的销售协议</w:t>
      </w:r>
      <w:r w:rsidR="00B53F9E">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为满足广大投资者的理财需求，经本公司与</w:t>
      </w:r>
      <w:r w:rsidR="000510BE">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协商一致，自</w:t>
      </w:r>
      <w:r w:rsidR="008F77A0" w:rsidRPr="009B2C4B">
        <w:rPr>
          <w:rFonts w:asciiTheme="minorEastAsia" w:hAnsiTheme="minorEastAsia" w:cs="Calibri"/>
          <w:color w:val="000000"/>
          <w:kern w:val="0"/>
          <w:sz w:val="24"/>
          <w:szCs w:val="24"/>
        </w:rPr>
        <w:t>202</w:t>
      </w:r>
      <w:r w:rsidR="004D7C7C">
        <w:rPr>
          <w:rFonts w:asciiTheme="minorEastAsia" w:hAnsiTheme="minorEastAsia" w:cs="Calibri"/>
          <w:color w:val="000000"/>
          <w:kern w:val="0"/>
          <w:sz w:val="24"/>
          <w:szCs w:val="24"/>
        </w:rPr>
        <w:t>2</w:t>
      </w:r>
      <w:r w:rsidR="008F77A0" w:rsidRPr="009B2C4B">
        <w:rPr>
          <w:rFonts w:asciiTheme="minorEastAsia" w:hAnsiTheme="minorEastAsia" w:cs="Calibri" w:hint="eastAsia"/>
          <w:color w:val="000000"/>
          <w:kern w:val="0"/>
          <w:sz w:val="24"/>
          <w:szCs w:val="24"/>
        </w:rPr>
        <w:t>年</w:t>
      </w:r>
      <w:r w:rsidR="004D7C7C">
        <w:rPr>
          <w:rFonts w:asciiTheme="minorEastAsia" w:hAnsiTheme="minorEastAsia" w:cs="Calibri"/>
          <w:color w:val="000000"/>
          <w:kern w:val="0"/>
          <w:sz w:val="24"/>
          <w:szCs w:val="24"/>
        </w:rPr>
        <w:t>4</w:t>
      </w:r>
      <w:r w:rsidR="008F77A0" w:rsidRPr="009B2C4B">
        <w:rPr>
          <w:rFonts w:asciiTheme="minorEastAsia" w:hAnsiTheme="minorEastAsia" w:cs="Calibri" w:hint="eastAsia"/>
          <w:color w:val="000000"/>
          <w:kern w:val="0"/>
          <w:sz w:val="24"/>
          <w:szCs w:val="24"/>
        </w:rPr>
        <w:t>月</w:t>
      </w:r>
      <w:r w:rsidR="00226EBE">
        <w:rPr>
          <w:rFonts w:asciiTheme="minorEastAsia" w:hAnsiTheme="minorEastAsia" w:cs="Calibri" w:hint="eastAsia"/>
          <w:color w:val="000000"/>
          <w:kern w:val="0"/>
          <w:sz w:val="24"/>
          <w:szCs w:val="24"/>
        </w:rPr>
        <w:t>1</w:t>
      </w:r>
      <w:r w:rsidR="004D7C7C">
        <w:rPr>
          <w:rFonts w:asciiTheme="minorEastAsia" w:hAnsiTheme="minorEastAsia" w:cs="Calibri"/>
          <w:color w:val="000000"/>
          <w:kern w:val="0"/>
          <w:sz w:val="24"/>
          <w:szCs w:val="24"/>
        </w:rPr>
        <w:t>8</w:t>
      </w:r>
      <w:r w:rsidRPr="009B2C4B">
        <w:rPr>
          <w:rFonts w:asciiTheme="minorEastAsia" w:hAnsiTheme="minorEastAsia" w:cs="Calibri" w:hint="eastAsia"/>
          <w:color w:val="000000"/>
          <w:kern w:val="0"/>
          <w:sz w:val="24"/>
          <w:szCs w:val="24"/>
        </w:rPr>
        <w:t>日起，本公司旗下部分基金参加</w:t>
      </w:r>
      <w:r w:rsidR="000510BE">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sidRPr="00FB02CA">
        <w:rPr>
          <w:rFonts w:asciiTheme="minorEastAsia" w:hAnsiTheme="minorEastAsia" w:cs="Calibri" w:hint="eastAsia"/>
          <w:b/>
          <w:color w:val="000000"/>
          <w:kern w:val="0"/>
          <w:sz w:val="24"/>
          <w:szCs w:val="24"/>
        </w:rPr>
        <w:t>一、</w:t>
      </w:r>
      <w:r w:rsidR="004403B8" w:rsidRPr="00FB02CA">
        <w:rPr>
          <w:rFonts w:asciiTheme="minorEastAsia" w:hAnsiTheme="minorEastAsia" w:cs="Calibri" w:hint="eastAsia"/>
          <w:b/>
          <w:color w:val="000000"/>
          <w:kern w:val="0"/>
          <w:sz w:val="24"/>
          <w:szCs w:val="24"/>
        </w:rPr>
        <w:t>适用基金如下</w:t>
      </w:r>
      <w:r w:rsidR="004403B8" w:rsidRPr="004403B8">
        <w:rPr>
          <w:rFonts w:asciiTheme="minorEastAsia" w:hAnsiTheme="minorEastAsia" w:cs="Calibri" w:hint="eastAsia"/>
          <w:color w:val="000000"/>
          <w:kern w:val="0"/>
          <w:sz w:val="24"/>
          <w:szCs w:val="24"/>
        </w:rPr>
        <w:t>：</w:t>
      </w:r>
    </w:p>
    <w:tbl>
      <w:tblPr>
        <w:tblpPr w:leftFromText="180" w:rightFromText="180" w:vertAnchor="text" w:tblpY="1"/>
        <w:tblOverlap w:val="never"/>
        <w:tblW w:w="8639" w:type="dxa"/>
        <w:tblCellMar>
          <w:left w:w="0" w:type="dxa"/>
          <w:right w:w="0" w:type="dxa"/>
        </w:tblCellMar>
        <w:tblLook w:val="04A0"/>
      </w:tblPr>
      <w:tblGrid>
        <w:gridCol w:w="843"/>
        <w:gridCol w:w="1392"/>
        <w:gridCol w:w="4136"/>
        <w:gridCol w:w="2268"/>
      </w:tblGrid>
      <w:tr w:rsidR="004A2780" w:rsidRPr="004133EB" w:rsidTr="00AD74F0">
        <w:trPr>
          <w:trHeight w:val="705"/>
        </w:trPr>
        <w:tc>
          <w:tcPr>
            <w:tcW w:w="843"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392"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107B41" w:rsidP="00AD74F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代码</w:t>
            </w:r>
          </w:p>
        </w:tc>
        <w:tc>
          <w:tcPr>
            <w:tcW w:w="413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107B41"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全称</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519160</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新华安享惠金定期开放债券型证券投资基金A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519152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新华纯债添利债券型发起式证券投资基金A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519153</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新华纯债添利债券型发起式证券投资基金C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001040</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新华策略精选股票型证券投资基金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519091</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新华泛资源优势灵活配置混合型证券投资基金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519095</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新华行业周期轮换混合型证券投资基金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7</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164304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新华中证环保产业指数证券投资基金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8</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001681</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新华积极价值灵活配置混合型证券投资基金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lastRenderedPageBreak/>
              <w:t>9</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002272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新华科技创新主题灵活配置混合型证券投资基金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10</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001682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新华鑫回报混合型证券投资基金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11</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519165</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新华鑫利灵活配置混合型证券投资基金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12</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000584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新华鑫益灵活配置混合型证券投资基金C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13</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519093</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新华钻石品质企业混合型证券投资基金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14</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002421</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新华增强债券型证券投资基金A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15</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002422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新华增强债券型证券投资基金C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16</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001004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新华稳健回报灵活配置混合型发起式证券投资基金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17</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519157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新华行业轮换灵活配置混合型证券投资基金C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18</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000903</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新华活期添利货币市场基金A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19</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519163</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新华增怡债券型证券投资基金C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20</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519089</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新华优选成长混合型证券投资基金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21</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519087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新华优选分红混合型证券投资基金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22</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519150</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新华优选消费混合型证券投资基金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23</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000973</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新华增盈回报债券型证券投资基金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24</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001294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新华战略新兴产业灵活配置混合型证券</w:t>
            </w:r>
            <w:bookmarkStart w:id="0" w:name="_GoBack"/>
            <w:bookmarkEnd w:id="0"/>
            <w:r w:rsidRPr="00C21F1B">
              <w:rPr>
                <w:rFonts w:asciiTheme="minorEastAsia" w:hAnsiTheme="minorEastAsia" w:cs="宋体" w:hint="eastAsia"/>
                <w:color w:val="000000"/>
                <w:sz w:val="24"/>
                <w:szCs w:val="24"/>
              </w:rPr>
              <w:t>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25</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519162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新华增怡债券型证券投资基金</w:t>
            </w:r>
            <w:r w:rsidR="00F84DC8">
              <w:rPr>
                <w:rFonts w:asciiTheme="minorEastAsia" w:hAnsiTheme="minorEastAsia" w:cs="宋体" w:hint="eastAsia"/>
                <w:color w:val="000000"/>
                <w:sz w:val="24"/>
                <w:szCs w:val="24"/>
              </w:rPr>
              <w:t>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26</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002765</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新华双利债券型证券投资基金A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27</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002766</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新华双利债券型证券投资基金C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lastRenderedPageBreak/>
              <w:t>28</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002084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新华鑫动力灵活配置混合型证券投资基金A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29</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002083</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新华鑫动力灵活配置混合型证券投资基金C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30</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003222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新华丰利债券型证券投资基金C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31</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003221</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新华丰利债券型证券投资基金A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32</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003267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新华壹诺宝货币市场基金B</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33</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003238</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新华外延增长主题灵活配置混合型证券投资基金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34</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004647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新华鼎利债券型证券投资基金A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35</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006892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Del="004A2780"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新华鼎利债券型证券投资基金C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36</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003025</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新华红利回报混合型证券投资基金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37</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005248</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新华沪深300指数增强型证券投资基金A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38</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008184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新华沪深300指数增强型证券投资基金C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39</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009885</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新华景气行业混合型证券投资基金A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40</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009886</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新华景气行业混合型证券投资基金C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41</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006896</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新华聚利债券型证券投资基金A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42</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006897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新华聚利债券型证券投资基金C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43</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011038</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新华利率债债券型证券投资基金A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44</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011039</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新华利率债债券型证券投资基金C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45</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000972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新华万银多元策略灵活配置混合型证券投资基金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46</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003739</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新华鑫弘灵活配置混合型证券投资基金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47</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004981</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新华鑫日享中短债债券型证券投资基金A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48</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006695</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新华鑫日享中短债债券型证券投资基金C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49</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004573</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新华鑫泰灵活配置混合型证券投资基金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50</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519099</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新华灵活主题混合型证券投资基金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51</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004982</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新华安享多裕定期开放灵活配置混合型证券投资基金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52</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004567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新华安享惠泽39个月定期开放债券型证券投资基金A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53</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008808</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新华安享惠泽39个月定期开放债券型证券投资基金C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54</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011457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新华行业龙头主题股票型证券投资基金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55</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519161</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新华安享惠金定期开放债券型证券投资基金C</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56</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519156</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新华行业轮换灵活配置混合型证券投资基金A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57</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003264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新华活期添利货币市场基金B</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58</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519097</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新华中小市值优选混合型证券投资基金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59</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519158</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新华趋势领航混合型证券投资基金</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60</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000434</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新华壹诺宝货币市场基金A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r w:rsidR="00107623" w:rsidRPr="004133EB" w:rsidTr="001B07A2">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AD74F0">
              <w:rPr>
                <w:rFonts w:asciiTheme="minorEastAsia" w:hAnsiTheme="minorEastAsia" w:cs="宋体"/>
                <w:color w:val="000000"/>
                <w:sz w:val="24"/>
                <w:szCs w:val="24"/>
              </w:rPr>
              <w:t>61</w:t>
            </w:r>
          </w:p>
        </w:tc>
        <w:tc>
          <w:tcPr>
            <w:tcW w:w="13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1B07A2">
              <w:rPr>
                <w:rFonts w:asciiTheme="minorEastAsia" w:hAnsiTheme="minorEastAsia" w:cs="宋体" w:hint="eastAsia"/>
                <w:color w:val="000000"/>
                <w:sz w:val="24"/>
                <w:szCs w:val="24"/>
              </w:rPr>
              <w:t>014150</w:t>
            </w:r>
            <w:r>
              <w:rPr>
                <w:rFonts w:asciiTheme="minorEastAsia" w:hAnsiTheme="minorEastAsia" w:cs="宋体" w:hint="eastAsia"/>
                <w:color w:val="000000"/>
                <w:sz w:val="24"/>
                <w:szCs w:val="24"/>
              </w:rPr>
              <w:t xml:space="preserve"> </w:t>
            </w:r>
          </w:p>
        </w:tc>
        <w:tc>
          <w:tcPr>
            <w:tcW w:w="41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21F1B">
              <w:rPr>
                <w:rFonts w:asciiTheme="minorEastAsia" w:hAnsiTheme="minorEastAsia" w:cs="宋体" w:hint="eastAsia"/>
                <w:color w:val="000000"/>
                <w:sz w:val="24"/>
                <w:szCs w:val="24"/>
              </w:rPr>
              <w:t>新华鑫益灵活配置混合型证券投资基金A</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107623" w:rsidRPr="00132B58" w:rsidRDefault="00107623" w:rsidP="00107623">
            <w:pPr>
              <w:widowControl/>
              <w:spacing w:line="510" w:lineRule="atLeast"/>
              <w:jc w:val="center"/>
              <w:rPr>
                <w:rFonts w:asciiTheme="minorEastAsia" w:hAnsiTheme="minorEastAsia" w:cs="宋体"/>
                <w:color w:val="000000"/>
                <w:sz w:val="24"/>
                <w:szCs w:val="24"/>
              </w:rPr>
            </w:pPr>
            <w:r w:rsidRPr="00C8174C">
              <w:rPr>
                <w:rFonts w:asciiTheme="minorEastAsia" w:hAnsiTheme="minorEastAsia" w:cs="宋体" w:hint="eastAsia"/>
                <w:color w:val="000000"/>
                <w:sz w:val="24"/>
                <w:szCs w:val="24"/>
              </w:rPr>
              <w:t>参加</w:t>
            </w:r>
          </w:p>
        </w:tc>
      </w:tr>
    </w:tbl>
    <w:p w:rsidR="00552E16" w:rsidRDefault="00552E16" w:rsidP="004763FC">
      <w:pPr>
        <w:widowControl/>
        <w:spacing w:line="460" w:lineRule="exact"/>
        <w:rPr>
          <w:rFonts w:asciiTheme="minorEastAsia" w:hAnsiTheme="minorEastAsia" w:cs="Calibri"/>
          <w:b/>
          <w:color w:val="000000"/>
          <w:kern w:val="0"/>
          <w:sz w:val="24"/>
          <w:szCs w:val="24"/>
        </w:rPr>
      </w:pPr>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二</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00D20923" w:rsidRPr="00C5090B">
        <w:rPr>
          <w:rFonts w:asciiTheme="minorEastAsia" w:hAnsiTheme="minorEastAsia"/>
          <w:sz w:val="24"/>
          <w:szCs w:val="24"/>
        </w:rPr>
        <w:t>202</w:t>
      </w:r>
      <w:r w:rsidR="004D7C7C">
        <w:rPr>
          <w:rFonts w:asciiTheme="minorEastAsia" w:hAnsiTheme="minorEastAsia"/>
          <w:sz w:val="24"/>
          <w:szCs w:val="24"/>
        </w:rPr>
        <w:t>2</w:t>
      </w:r>
      <w:r w:rsidR="00D20923" w:rsidRPr="00C5090B">
        <w:rPr>
          <w:rFonts w:asciiTheme="minorEastAsia" w:hAnsiTheme="minorEastAsia" w:hint="eastAsia"/>
          <w:sz w:val="24"/>
          <w:szCs w:val="24"/>
        </w:rPr>
        <w:t>年</w:t>
      </w:r>
      <w:r w:rsidR="004D7C7C">
        <w:rPr>
          <w:rFonts w:asciiTheme="minorEastAsia" w:hAnsiTheme="minorEastAsia"/>
          <w:sz w:val="24"/>
          <w:szCs w:val="24"/>
        </w:rPr>
        <w:t>4</w:t>
      </w:r>
      <w:r w:rsidRPr="00C5090B">
        <w:rPr>
          <w:rFonts w:asciiTheme="minorEastAsia" w:hAnsiTheme="minorEastAsia" w:hint="eastAsia"/>
          <w:sz w:val="24"/>
          <w:szCs w:val="24"/>
        </w:rPr>
        <w:t>月</w:t>
      </w:r>
      <w:r w:rsidR="00D20923">
        <w:rPr>
          <w:rFonts w:asciiTheme="minorEastAsia" w:hAnsiTheme="minorEastAsia"/>
          <w:sz w:val="24"/>
          <w:szCs w:val="24"/>
        </w:rPr>
        <w:t>1</w:t>
      </w:r>
      <w:r w:rsidR="004D7C7C">
        <w:rPr>
          <w:rFonts w:asciiTheme="minorEastAsia" w:hAnsiTheme="minorEastAsia"/>
          <w:sz w:val="24"/>
          <w:szCs w:val="24"/>
        </w:rPr>
        <w:t>8</w:t>
      </w:r>
      <w:r w:rsidRPr="00C5090B">
        <w:rPr>
          <w:rFonts w:asciiTheme="minorEastAsia" w:hAnsiTheme="minorEastAsia" w:hint="eastAsia"/>
          <w:sz w:val="24"/>
          <w:szCs w:val="24"/>
        </w:rPr>
        <w:t>日起开展，暂不设截止日期，若有变动，以</w:t>
      </w:r>
      <w:r w:rsidR="000510BE">
        <w:rPr>
          <w:rFonts w:asciiTheme="minorEastAsia" w:hAnsiTheme="minorEastAsia" w:hint="eastAsia"/>
          <w:sz w:val="24"/>
          <w:szCs w:val="24"/>
        </w:rPr>
        <w:t>利得基金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0510BE">
        <w:rPr>
          <w:rFonts w:asciiTheme="minorEastAsia" w:hAnsiTheme="minorEastAsia" w:hint="eastAsia"/>
          <w:sz w:val="24"/>
          <w:szCs w:val="24"/>
        </w:rPr>
        <w:t>利得基金</w:t>
      </w:r>
      <w:r w:rsidRPr="00C5090B">
        <w:rPr>
          <w:rFonts w:asciiTheme="minorEastAsia" w:hAnsiTheme="minorEastAsia" w:hint="eastAsia"/>
          <w:sz w:val="24"/>
          <w:szCs w:val="24"/>
        </w:rPr>
        <w:t>申购</w:t>
      </w:r>
      <w:r w:rsidR="001A090A">
        <w:rPr>
          <w:rFonts w:asciiTheme="minorEastAsia" w:hAnsiTheme="minorEastAsia"/>
          <w:sz w:val="24"/>
          <w:szCs w:val="24"/>
        </w:rPr>
        <w:t>本公</w:t>
      </w:r>
      <w:r w:rsidRPr="00C5090B">
        <w:rPr>
          <w:rFonts w:asciiTheme="minorEastAsia" w:hAnsiTheme="minorEastAsia" w:hint="eastAsia"/>
          <w:sz w:val="24"/>
          <w:szCs w:val="24"/>
        </w:rPr>
        <w:t>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250149" w:rsidRPr="00250149">
        <w:rPr>
          <w:rFonts w:asciiTheme="minorEastAsia" w:hAnsiTheme="minorEastAsia" w:hint="eastAsia"/>
          <w:sz w:val="24"/>
          <w:szCs w:val="24"/>
        </w:rPr>
        <w:t>折扣费率以</w:t>
      </w:r>
      <w:r w:rsidR="000510BE">
        <w:rPr>
          <w:rFonts w:asciiTheme="minorEastAsia" w:hAnsiTheme="minorEastAsia" w:hint="eastAsia"/>
          <w:sz w:val="24"/>
          <w:szCs w:val="24"/>
        </w:rPr>
        <w:t>利得基金</w:t>
      </w:r>
      <w:r w:rsidR="00250149" w:rsidRPr="00250149">
        <w:rPr>
          <w:rFonts w:asciiTheme="minorEastAsia" w:hAnsiTheme="minorEastAsia" w:hint="eastAsia"/>
          <w:sz w:val="24"/>
          <w:szCs w:val="24"/>
        </w:rPr>
        <w:t>网站活动公告为准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三</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0510BE">
        <w:rPr>
          <w:rFonts w:asciiTheme="minorEastAsia" w:hAnsiTheme="minorEastAsia" w:hint="eastAsia"/>
          <w:sz w:val="24"/>
          <w:szCs w:val="24"/>
        </w:rPr>
        <w:t>利得基金</w:t>
      </w:r>
      <w:r w:rsidRPr="00AC7EC4">
        <w:rPr>
          <w:rFonts w:asciiTheme="minorEastAsia" w:hAnsiTheme="minorEastAsia" w:hint="eastAsia"/>
          <w:sz w:val="24"/>
          <w:szCs w:val="24"/>
        </w:rPr>
        <w:t>办理上述基金的申购（包括定期定额投资）、赎回等业务，具体办理规则请遵循</w:t>
      </w:r>
      <w:r w:rsidR="000510BE">
        <w:rPr>
          <w:rFonts w:asciiTheme="minorEastAsia" w:hAnsiTheme="minorEastAsia" w:hint="eastAsia"/>
          <w:sz w:val="24"/>
          <w:szCs w:val="24"/>
        </w:rPr>
        <w:t>利得基金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0510BE">
        <w:rPr>
          <w:rFonts w:asciiTheme="minorEastAsia" w:hAnsiTheme="minorEastAsia" w:hint="eastAsia"/>
          <w:sz w:val="24"/>
          <w:szCs w:val="24"/>
        </w:rPr>
        <w:t>利得基金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0510BE">
        <w:rPr>
          <w:rFonts w:asciiTheme="minorEastAsia" w:hAnsiTheme="minorEastAsia" w:hint="eastAsia"/>
          <w:sz w:val="24"/>
          <w:szCs w:val="24"/>
        </w:rPr>
        <w:t>利得基金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w:t>
      </w:r>
      <w:r w:rsidR="00503E21">
        <w:rPr>
          <w:rFonts w:asciiTheme="minorEastAsia" w:hAnsiTheme="minorEastAsia" w:hint="eastAsia"/>
          <w:sz w:val="24"/>
          <w:szCs w:val="24"/>
        </w:rPr>
        <w:t>投资者欲了解上述基金产品的详细情况，请仔细阅读刊登于本公司网站（www.ncfund.com.cn）的上述基金《基金合同》、《招募说明书》、《产品资料概要》等文件，以及相关业务公告</w:t>
      </w:r>
      <w:r w:rsidR="00F84DC8">
        <w:rPr>
          <w:rFonts w:asciiTheme="minorEastAsia" w:hAnsiTheme="minorEastAsia" w:hint="eastAsia"/>
          <w:sz w:val="24"/>
          <w:szCs w:val="24"/>
        </w:rPr>
        <w:t>。</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4D7C7C" w:rsidRPr="00BE1A18" w:rsidRDefault="004D7C7C" w:rsidP="004D7C7C">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Pr="00BE1A18">
        <w:rPr>
          <w:rFonts w:asciiTheme="minorEastAsia" w:hAnsiTheme="minorEastAsia" w:hint="eastAsia"/>
          <w:sz w:val="24"/>
          <w:szCs w:val="24"/>
        </w:rPr>
        <w:t>上海利得基金销售有限公司</w:t>
      </w:r>
    </w:p>
    <w:p w:rsidR="004D7C7C" w:rsidRPr="00BE1A18" w:rsidRDefault="004D7C7C" w:rsidP="004D7C7C">
      <w:pPr>
        <w:widowControl/>
        <w:spacing w:line="460" w:lineRule="exact"/>
        <w:ind w:firstLine="442"/>
        <w:rPr>
          <w:rFonts w:asciiTheme="minorEastAsia" w:hAnsiTheme="minorEastAsia"/>
          <w:sz w:val="24"/>
          <w:szCs w:val="24"/>
        </w:rPr>
      </w:pPr>
      <w:r w:rsidRPr="00BE1A18">
        <w:rPr>
          <w:rFonts w:asciiTheme="minorEastAsia" w:hAnsiTheme="minorEastAsia" w:hint="eastAsia"/>
          <w:sz w:val="24"/>
          <w:szCs w:val="24"/>
        </w:rPr>
        <w:t>客服电话：</w:t>
      </w:r>
      <w:r w:rsidRPr="00BE1A18">
        <w:rPr>
          <w:rFonts w:asciiTheme="minorEastAsia" w:hAnsiTheme="minorEastAsia"/>
          <w:sz w:val="24"/>
          <w:szCs w:val="24"/>
        </w:rPr>
        <w:t>400-067-6266</w:t>
      </w:r>
    </w:p>
    <w:p w:rsidR="004D7C7C" w:rsidRPr="00BE1A18" w:rsidRDefault="004D7C7C" w:rsidP="004D7C7C">
      <w:pPr>
        <w:widowControl/>
        <w:spacing w:line="460" w:lineRule="exact"/>
        <w:ind w:firstLine="442"/>
        <w:rPr>
          <w:rFonts w:asciiTheme="minorEastAsia" w:hAnsiTheme="minorEastAsia"/>
          <w:sz w:val="24"/>
          <w:szCs w:val="24"/>
        </w:rPr>
      </w:pPr>
      <w:r w:rsidRPr="00BE1A18">
        <w:rPr>
          <w:rFonts w:asciiTheme="minorEastAsia" w:hAnsiTheme="minorEastAsia" w:hint="eastAsia"/>
          <w:sz w:val="24"/>
          <w:szCs w:val="24"/>
        </w:rPr>
        <w:t>网址：</w:t>
      </w:r>
      <w:hyperlink r:id="rId7" w:history="1">
        <w:r w:rsidRPr="00BE1A18">
          <w:rPr>
            <w:rFonts w:asciiTheme="minorEastAsia" w:hAnsiTheme="minorEastAsia" w:hint="eastAsia"/>
            <w:sz w:val="24"/>
            <w:szCs w:val="24"/>
          </w:rPr>
          <w:t>http://a.leadfund.com.cn/</w:t>
        </w:r>
      </w:hyperlink>
    </w:p>
    <w:p w:rsidR="00E31154" w:rsidRPr="00203266" w:rsidRDefault="00E31154" w:rsidP="00565EA0">
      <w:pPr>
        <w:spacing w:line="360" w:lineRule="auto"/>
        <w:ind w:firstLineChars="200" w:firstLine="480"/>
        <w:rPr>
          <w:rFonts w:asciiTheme="minorEastAsia" w:hAnsiTheme="minorEastAsia"/>
          <w:sz w:val="24"/>
          <w:szCs w:val="24"/>
        </w:rPr>
      </w:pP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8"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BE46AB"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D9751D"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4D7C7C">
        <w:rPr>
          <w:rFonts w:asciiTheme="minorEastAsia" w:hAnsiTheme="minorEastAsia"/>
          <w:sz w:val="24"/>
          <w:szCs w:val="24"/>
        </w:rPr>
        <w:t>2</w:t>
      </w:r>
      <w:r>
        <w:rPr>
          <w:rFonts w:asciiTheme="minorEastAsia" w:hAnsiTheme="minorEastAsia" w:hint="eastAsia"/>
          <w:sz w:val="24"/>
          <w:szCs w:val="24"/>
        </w:rPr>
        <w:t>年</w:t>
      </w:r>
      <w:r w:rsidR="004D7C7C">
        <w:rPr>
          <w:rFonts w:asciiTheme="minorEastAsia" w:hAnsiTheme="minorEastAsia"/>
          <w:sz w:val="24"/>
          <w:szCs w:val="24"/>
        </w:rPr>
        <w:t>4</w:t>
      </w:r>
      <w:r w:rsidR="006E60AA">
        <w:rPr>
          <w:rFonts w:asciiTheme="minorEastAsia" w:hAnsiTheme="minorEastAsia" w:hint="eastAsia"/>
          <w:sz w:val="24"/>
          <w:szCs w:val="24"/>
        </w:rPr>
        <w:t>月</w:t>
      </w:r>
      <w:r w:rsidR="004D7C7C">
        <w:rPr>
          <w:rFonts w:asciiTheme="minorEastAsia" w:hAnsiTheme="minorEastAsia"/>
          <w:sz w:val="24"/>
          <w:szCs w:val="24"/>
        </w:rPr>
        <w:t>15</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1B" w:rsidRDefault="0063131B" w:rsidP="00814637">
      <w:r>
        <w:separator/>
      </w:r>
    </w:p>
  </w:endnote>
  <w:endnote w:type="continuationSeparator" w:id="0">
    <w:p w:rsidR="0063131B" w:rsidRDefault="0063131B"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1B" w:rsidRDefault="0063131B" w:rsidP="00814637">
      <w:r>
        <w:separator/>
      </w:r>
    </w:p>
  </w:footnote>
  <w:footnote w:type="continuationSeparator" w:id="0">
    <w:p w:rsidR="0063131B" w:rsidRDefault="0063131B"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0AD2"/>
    <w:rsid w:val="00017E09"/>
    <w:rsid w:val="00030F2B"/>
    <w:rsid w:val="0003246A"/>
    <w:rsid w:val="00033AC4"/>
    <w:rsid w:val="0003521B"/>
    <w:rsid w:val="000510BE"/>
    <w:rsid w:val="00052EF4"/>
    <w:rsid w:val="00073438"/>
    <w:rsid w:val="000872F9"/>
    <w:rsid w:val="00093CA0"/>
    <w:rsid w:val="000A43F7"/>
    <w:rsid w:val="000A6567"/>
    <w:rsid w:val="000B007E"/>
    <w:rsid w:val="000B0C1D"/>
    <w:rsid w:val="000B684C"/>
    <w:rsid w:val="000C5DA3"/>
    <w:rsid w:val="000C79C7"/>
    <w:rsid w:val="000D45B5"/>
    <w:rsid w:val="000F2C38"/>
    <w:rsid w:val="001032FD"/>
    <w:rsid w:val="00107623"/>
    <w:rsid w:val="00107B41"/>
    <w:rsid w:val="00132B58"/>
    <w:rsid w:val="00165159"/>
    <w:rsid w:val="00174146"/>
    <w:rsid w:val="00191068"/>
    <w:rsid w:val="00194FF0"/>
    <w:rsid w:val="001A090A"/>
    <w:rsid w:val="001A0A7B"/>
    <w:rsid w:val="001A785D"/>
    <w:rsid w:val="001B07A2"/>
    <w:rsid w:val="001B0B1F"/>
    <w:rsid w:val="001B12F8"/>
    <w:rsid w:val="001B3B0B"/>
    <w:rsid w:val="001E2FEF"/>
    <w:rsid w:val="001E75A7"/>
    <w:rsid w:val="00203266"/>
    <w:rsid w:val="00226EBE"/>
    <w:rsid w:val="00226FDA"/>
    <w:rsid w:val="00250149"/>
    <w:rsid w:val="00250AEC"/>
    <w:rsid w:val="00250C92"/>
    <w:rsid w:val="002764E9"/>
    <w:rsid w:val="002928C9"/>
    <w:rsid w:val="0029303A"/>
    <w:rsid w:val="00296ACB"/>
    <w:rsid w:val="002D09EF"/>
    <w:rsid w:val="002D71BF"/>
    <w:rsid w:val="002E5990"/>
    <w:rsid w:val="00310C38"/>
    <w:rsid w:val="00320402"/>
    <w:rsid w:val="003219CD"/>
    <w:rsid w:val="00324C66"/>
    <w:rsid w:val="00331719"/>
    <w:rsid w:val="00334672"/>
    <w:rsid w:val="0034488B"/>
    <w:rsid w:val="003748B0"/>
    <w:rsid w:val="00382A55"/>
    <w:rsid w:val="003A5500"/>
    <w:rsid w:val="003A5DEC"/>
    <w:rsid w:val="003F7DA7"/>
    <w:rsid w:val="004332E7"/>
    <w:rsid w:val="004403B8"/>
    <w:rsid w:val="00464C6B"/>
    <w:rsid w:val="00465A43"/>
    <w:rsid w:val="004763FC"/>
    <w:rsid w:val="004919E7"/>
    <w:rsid w:val="004949C0"/>
    <w:rsid w:val="00496176"/>
    <w:rsid w:val="004A2780"/>
    <w:rsid w:val="004A6F77"/>
    <w:rsid w:val="004B743F"/>
    <w:rsid w:val="004C7FCD"/>
    <w:rsid w:val="004D7C7C"/>
    <w:rsid w:val="00503E21"/>
    <w:rsid w:val="00506ADD"/>
    <w:rsid w:val="00511C4F"/>
    <w:rsid w:val="00514D4A"/>
    <w:rsid w:val="0055045B"/>
    <w:rsid w:val="00552E16"/>
    <w:rsid w:val="00557FA6"/>
    <w:rsid w:val="00565EA0"/>
    <w:rsid w:val="00576F47"/>
    <w:rsid w:val="00593342"/>
    <w:rsid w:val="005A0DDF"/>
    <w:rsid w:val="005B60E9"/>
    <w:rsid w:val="005E6E5A"/>
    <w:rsid w:val="005F1C01"/>
    <w:rsid w:val="00600F52"/>
    <w:rsid w:val="00602B56"/>
    <w:rsid w:val="00606A9A"/>
    <w:rsid w:val="006153FE"/>
    <w:rsid w:val="006235B7"/>
    <w:rsid w:val="00627BF1"/>
    <w:rsid w:val="0063131B"/>
    <w:rsid w:val="006407E6"/>
    <w:rsid w:val="0065006A"/>
    <w:rsid w:val="00661A3A"/>
    <w:rsid w:val="00661B56"/>
    <w:rsid w:val="00686E16"/>
    <w:rsid w:val="00697AEF"/>
    <w:rsid w:val="006A361E"/>
    <w:rsid w:val="006A6E5E"/>
    <w:rsid w:val="006C2289"/>
    <w:rsid w:val="006C724C"/>
    <w:rsid w:val="006D5C20"/>
    <w:rsid w:val="006E6007"/>
    <w:rsid w:val="006E60AA"/>
    <w:rsid w:val="006E75BB"/>
    <w:rsid w:val="006F2333"/>
    <w:rsid w:val="006F3BB0"/>
    <w:rsid w:val="00706F53"/>
    <w:rsid w:val="0072375A"/>
    <w:rsid w:val="00742F7B"/>
    <w:rsid w:val="00765342"/>
    <w:rsid w:val="007708A5"/>
    <w:rsid w:val="007B36C7"/>
    <w:rsid w:val="007B4D39"/>
    <w:rsid w:val="007B5D34"/>
    <w:rsid w:val="007C6CB7"/>
    <w:rsid w:val="007D1C08"/>
    <w:rsid w:val="007D7D65"/>
    <w:rsid w:val="00802B67"/>
    <w:rsid w:val="00814637"/>
    <w:rsid w:val="00831C02"/>
    <w:rsid w:val="00842CFA"/>
    <w:rsid w:val="00850707"/>
    <w:rsid w:val="0086464C"/>
    <w:rsid w:val="00874457"/>
    <w:rsid w:val="008843C8"/>
    <w:rsid w:val="00894FBB"/>
    <w:rsid w:val="008B3131"/>
    <w:rsid w:val="008C100B"/>
    <w:rsid w:val="008C27DA"/>
    <w:rsid w:val="008C7550"/>
    <w:rsid w:val="008D4AB7"/>
    <w:rsid w:val="008D7650"/>
    <w:rsid w:val="008E3022"/>
    <w:rsid w:val="008F77A0"/>
    <w:rsid w:val="00900380"/>
    <w:rsid w:val="00900A91"/>
    <w:rsid w:val="009130DA"/>
    <w:rsid w:val="00915308"/>
    <w:rsid w:val="00915AF8"/>
    <w:rsid w:val="009517AE"/>
    <w:rsid w:val="00960700"/>
    <w:rsid w:val="009857A8"/>
    <w:rsid w:val="00987B1A"/>
    <w:rsid w:val="009B1008"/>
    <w:rsid w:val="009B2C4B"/>
    <w:rsid w:val="009D286D"/>
    <w:rsid w:val="009F6921"/>
    <w:rsid w:val="009F764C"/>
    <w:rsid w:val="00A00D88"/>
    <w:rsid w:val="00A04F11"/>
    <w:rsid w:val="00A06B3E"/>
    <w:rsid w:val="00A12E18"/>
    <w:rsid w:val="00A17B9A"/>
    <w:rsid w:val="00A239A0"/>
    <w:rsid w:val="00A43DA0"/>
    <w:rsid w:val="00A608E2"/>
    <w:rsid w:val="00A71D8A"/>
    <w:rsid w:val="00A83E3C"/>
    <w:rsid w:val="00A914E3"/>
    <w:rsid w:val="00AA0175"/>
    <w:rsid w:val="00AA0F07"/>
    <w:rsid w:val="00AA50D9"/>
    <w:rsid w:val="00AA676A"/>
    <w:rsid w:val="00AB3877"/>
    <w:rsid w:val="00AB6D21"/>
    <w:rsid w:val="00AC7EC4"/>
    <w:rsid w:val="00AD74F0"/>
    <w:rsid w:val="00AF1AF9"/>
    <w:rsid w:val="00B07DEB"/>
    <w:rsid w:val="00B43230"/>
    <w:rsid w:val="00B53F9E"/>
    <w:rsid w:val="00B57BF9"/>
    <w:rsid w:val="00B72174"/>
    <w:rsid w:val="00B90A26"/>
    <w:rsid w:val="00B94666"/>
    <w:rsid w:val="00BA7A1F"/>
    <w:rsid w:val="00BB2D50"/>
    <w:rsid w:val="00BB7668"/>
    <w:rsid w:val="00BC25C9"/>
    <w:rsid w:val="00BD6C9A"/>
    <w:rsid w:val="00BE46AB"/>
    <w:rsid w:val="00BF1E16"/>
    <w:rsid w:val="00C007BE"/>
    <w:rsid w:val="00C01DAE"/>
    <w:rsid w:val="00C1483D"/>
    <w:rsid w:val="00C20F96"/>
    <w:rsid w:val="00C21F1B"/>
    <w:rsid w:val="00C25455"/>
    <w:rsid w:val="00C32D8B"/>
    <w:rsid w:val="00C33882"/>
    <w:rsid w:val="00C364A9"/>
    <w:rsid w:val="00C478F1"/>
    <w:rsid w:val="00C5090B"/>
    <w:rsid w:val="00C64C35"/>
    <w:rsid w:val="00C829B2"/>
    <w:rsid w:val="00C85A22"/>
    <w:rsid w:val="00CC0014"/>
    <w:rsid w:val="00CD1A17"/>
    <w:rsid w:val="00CE25C1"/>
    <w:rsid w:val="00CF1A45"/>
    <w:rsid w:val="00CF242F"/>
    <w:rsid w:val="00D20923"/>
    <w:rsid w:val="00D34A66"/>
    <w:rsid w:val="00D416E6"/>
    <w:rsid w:val="00D63EA7"/>
    <w:rsid w:val="00D86E62"/>
    <w:rsid w:val="00D917A6"/>
    <w:rsid w:val="00D95657"/>
    <w:rsid w:val="00D9751D"/>
    <w:rsid w:val="00DA1C1B"/>
    <w:rsid w:val="00DA35A9"/>
    <w:rsid w:val="00DA6299"/>
    <w:rsid w:val="00DE38C7"/>
    <w:rsid w:val="00DE500A"/>
    <w:rsid w:val="00E1045C"/>
    <w:rsid w:val="00E15BA5"/>
    <w:rsid w:val="00E173F4"/>
    <w:rsid w:val="00E17B36"/>
    <w:rsid w:val="00E31154"/>
    <w:rsid w:val="00E325EA"/>
    <w:rsid w:val="00E4570D"/>
    <w:rsid w:val="00E541FF"/>
    <w:rsid w:val="00E716D7"/>
    <w:rsid w:val="00E94941"/>
    <w:rsid w:val="00EA7D63"/>
    <w:rsid w:val="00EC19AA"/>
    <w:rsid w:val="00ED28D9"/>
    <w:rsid w:val="00EE13C4"/>
    <w:rsid w:val="00EE53DA"/>
    <w:rsid w:val="00EE6B3F"/>
    <w:rsid w:val="00EF30E4"/>
    <w:rsid w:val="00F06E26"/>
    <w:rsid w:val="00F14CF4"/>
    <w:rsid w:val="00F32117"/>
    <w:rsid w:val="00F328BB"/>
    <w:rsid w:val="00F33363"/>
    <w:rsid w:val="00F6656E"/>
    <w:rsid w:val="00F84DC8"/>
    <w:rsid w:val="00F86AB9"/>
    <w:rsid w:val="00F93826"/>
    <w:rsid w:val="00F96D60"/>
    <w:rsid w:val="00FB02CA"/>
    <w:rsid w:val="00FC1FAD"/>
    <w:rsid w:val="00FD0A2A"/>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38260260">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264996166">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74622143">
      <w:bodyDiv w:val="1"/>
      <w:marLeft w:val="0"/>
      <w:marRight w:val="0"/>
      <w:marTop w:val="0"/>
      <w:marBottom w:val="0"/>
      <w:divBdr>
        <w:top w:val="none" w:sz="0" w:space="0" w:color="auto"/>
        <w:left w:val="none" w:sz="0" w:space="0" w:color="auto"/>
        <w:bottom w:val="none" w:sz="0" w:space="0" w:color="auto"/>
        <w:right w:val="none" w:sz="0" w:space="0" w:color="auto"/>
      </w:divBdr>
    </w:div>
    <w:div w:id="2083868167">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und.com.cn/" TargetMode="External"/><Relationship Id="rId3" Type="http://schemas.openxmlformats.org/officeDocument/2006/relationships/settings" Target="settings.xml"/><Relationship Id="rId7" Type="http://schemas.openxmlformats.org/officeDocument/2006/relationships/hyperlink" Target="http://m.lead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2D1A-5B94-4F73-A8AD-D95A8574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2617</Characters>
  <Application>Microsoft Office Word</Application>
  <DocSecurity>4</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2022-04-14T16:02:00Z</dcterms:created>
  <dcterms:modified xsi:type="dcterms:W3CDTF">2022-04-14T16:02:00Z</dcterms:modified>
</cp:coreProperties>
</file>