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r w:rsidRPr="005901D5">
        <w:rPr>
          <w:rFonts w:hint="eastAsia"/>
          <w:b/>
          <w:bCs/>
          <w:sz w:val="28"/>
        </w:rPr>
        <w:t>金鹰基金管理有限公司旗下部分基金新增</w:t>
      </w:r>
      <w:r w:rsidR="00796EAD" w:rsidRPr="00796EAD">
        <w:rPr>
          <w:rFonts w:hint="eastAsia"/>
          <w:b/>
          <w:bCs/>
          <w:sz w:val="28"/>
        </w:rPr>
        <w:t>招商银行股份有限公司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796EAD" w:rsidRPr="00796EAD">
        <w:rPr>
          <w:rFonts w:hint="eastAsia"/>
        </w:rPr>
        <w:t>招商银行股份有限公司</w:t>
      </w:r>
      <w:r w:rsidR="00163302">
        <w:rPr>
          <w:rFonts w:hint="eastAsia"/>
        </w:rPr>
        <w:t>（以下简称“</w:t>
      </w:r>
      <w:r w:rsidR="00796EAD">
        <w:rPr>
          <w:rFonts w:hint="eastAsia"/>
        </w:rPr>
        <w:t>招商银行</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7B90">
        <w:rPr>
          <w:rFonts w:cs="Calibri"/>
        </w:rPr>
        <w:t>2</w:t>
      </w:r>
      <w:r w:rsidRPr="009877A4">
        <w:rPr>
          <w:rFonts w:cs="Calibri" w:hint="eastAsia"/>
        </w:rPr>
        <w:t>年</w:t>
      </w:r>
      <w:r w:rsidR="000F4744">
        <w:rPr>
          <w:rFonts w:cs="Calibri"/>
        </w:rPr>
        <w:t>4</w:t>
      </w:r>
      <w:r w:rsidRPr="009877A4">
        <w:rPr>
          <w:rFonts w:cs="Calibri" w:hint="eastAsia"/>
        </w:rPr>
        <w:t>月</w:t>
      </w:r>
      <w:r w:rsidR="000F4744">
        <w:rPr>
          <w:rFonts w:cs="Calibri"/>
        </w:rPr>
        <w:t>14</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796EAD">
        <w:rPr>
          <w:rFonts w:asciiTheme="minorEastAsia" w:hAnsiTheme="minorEastAsia" w:cs="Calibri" w:hint="eastAsia"/>
        </w:rPr>
        <w:t>招商银行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012541</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金鹰产业升级混合型证券投资基金A类份额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012542</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金鹰产业升级混合型证券投资基金C类份额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162105</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金鹰持久增利债券型证券投资基金（LOF）C类份额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013209</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金鹰大视野混合型证券投资基金A类份额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013210</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金鹰大视野混合型证券投资基金C类份额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210009</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金鹰核心资源混合型证券投资基金</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210007</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金鹰技术领先灵活配置混合型证券投资基金A类份额</w:t>
            </w:r>
          </w:p>
        </w:tc>
      </w:tr>
      <w:tr w:rsidR="00E64940" w:rsidRPr="004636F5" w:rsidTr="00AE4919">
        <w:trPr>
          <w:trHeight w:val="330"/>
        </w:trPr>
        <w:tc>
          <w:tcPr>
            <w:tcW w:w="1526" w:type="dxa"/>
            <w:noWrap/>
          </w:tcPr>
          <w:p w:rsidR="00E64940" w:rsidRDefault="00E64940" w:rsidP="00E64940">
            <w:pPr>
              <w:pStyle w:val="a7"/>
              <w:spacing w:line="360" w:lineRule="auto"/>
              <w:ind w:firstLine="420"/>
              <w:rPr>
                <w:color w:val="000000"/>
              </w:rPr>
            </w:pPr>
            <w:r w:rsidRPr="002A55BC">
              <w:rPr>
                <w:rFonts w:hint="eastAsia"/>
              </w:rPr>
              <w:t>002196</w:t>
            </w:r>
          </w:p>
        </w:tc>
        <w:tc>
          <w:tcPr>
            <w:tcW w:w="6662" w:type="dxa"/>
            <w:noWrap/>
          </w:tcPr>
          <w:p w:rsidR="00E64940" w:rsidRDefault="00E64940" w:rsidP="00E64940">
            <w:pPr>
              <w:pStyle w:val="a7"/>
              <w:spacing w:line="360" w:lineRule="auto"/>
              <w:ind w:firstLine="420"/>
              <w:rPr>
                <w:color w:val="000000"/>
              </w:rPr>
            </w:pPr>
            <w:r w:rsidRPr="002A55BC">
              <w:rPr>
                <w:rFonts w:hint="eastAsia"/>
              </w:rPr>
              <w:t>金鹰技术领先灵活配置混合型证券投资基金C类份额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210010</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金鹰灵活配置混合型证券投资基金A类份额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210011</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金鹰灵活配置混合型证券投资基金C类份额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004657</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金鹰民富收益混合型证券投资基金A类份额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004658</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金鹰民富收益混合型证券投资基金C类份额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011260</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金鹰新能源混合型证券投资基金A类份额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011261</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金鹰新能源混合型证券投资基金C类份额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002513</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金鹰元安混合型证券投资基金C类份额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210014</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金鹰元丰债券型证券投资基金A类份额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014336</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金鹰元丰债券型证券投资基金C类份额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lastRenderedPageBreak/>
              <w:t>002490</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金鹰元祺信用债债券型证券投资基金</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002425</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金鹰元禧混合型证券投资基金C类份额</w:t>
            </w:r>
          </w:p>
        </w:tc>
      </w:tr>
      <w:tr w:rsidR="005B1B58" w:rsidRPr="004636F5" w:rsidTr="00E1030D">
        <w:trPr>
          <w:trHeight w:val="330"/>
        </w:trPr>
        <w:tc>
          <w:tcPr>
            <w:tcW w:w="1526" w:type="dxa"/>
            <w:noWrap/>
            <w:vAlign w:val="center"/>
          </w:tcPr>
          <w:p w:rsidR="005B1B58" w:rsidRDefault="005B1B58" w:rsidP="005B1B58">
            <w:pPr>
              <w:pStyle w:val="a7"/>
              <w:spacing w:line="360" w:lineRule="auto"/>
              <w:ind w:firstLine="420"/>
              <w:rPr>
                <w:color w:val="000000"/>
              </w:rPr>
            </w:pPr>
            <w:r>
              <w:rPr>
                <w:rFonts w:hint="eastAsia"/>
                <w:color w:val="000000"/>
              </w:rPr>
              <w:t>002303</w:t>
            </w:r>
          </w:p>
        </w:tc>
        <w:tc>
          <w:tcPr>
            <w:tcW w:w="6662" w:type="dxa"/>
            <w:noWrap/>
            <w:vAlign w:val="center"/>
          </w:tcPr>
          <w:p w:rsidR="005B1B58" w:rsidRDefault="005B1B58" w:rsidP="005B1B58">
            <w:pPr>
              <w:pStyle w:val="a7"/>
              <w:spacing w:line="360" w:lineRule="auto"/>
              <w:ind w:firstLine="420"/>
              <w:rPr>
                <w:color w:val="000000"/>
              </w:rPr>
            </w:pPr>
            <w:r>
              <w:rPr>
                <w:rFonts w:hint="eastAsia"/>
                <w:color w:val="000000"/>
              </w:rPr>
              <w:t>金鹰智慧生活灵活配置混合型证券投资基金</w:t>
            </w:r>
          </w:p>
        </w:tc>
      </w:tr>
      <w:tr w:rsidR="00050C91" w:rsidRPr="004636F5" w:rsidTr="00E1030D">
        <w:trPr>
          <w:trHeight w:val="330"/>
        </w:trPr>
        <w:tc>
          <w:tcPr>
            <w:tcW w:w="1526" w:type="dxa"/>
            <w:noWrap/>
            <w:vAlign w:val="center"/>
          </w:tcPr>
          <w:p w:rsidR="00050C91" w:rsidRDefault="00050C91" w:rsidP="00050C91">
            <w:pPr>
              <w:pStyle w:val="a7"/>
              <w:spacing w:line="360" w:lineRule="auto"/>
              <w:ind w:firstLine="420"/>
              <w:rPr>
                <w:color w:val="000000"/>
              </w:rPr>
            </w:pPr>
            <w:r>
              <w:rPr>
                <w:rFonts w:hint="eastAsia"/>
                <w:color w:val="000000"/>
              </w:rPr>
              <w:t>001167</w:t>
            </w:r>
          </w:p>
        </w:tc>
        <w:tc>
          <w:tcPr>
            <w:tcW w:w="6662" w:type="dxa"/>
            <w:noWrap/>
            <w:vAlign w:val="center"/>
          </w:tcPr>
          <w:p w:rsidR="00050C91" w:rsidRDefault="00050C91" w:rsidP="00050C91">
            <w:pPr>
              <w:pStyle w:val="a7"/>
              <w:spacing w:line="360" w:lineRule="auto"/>
              <w:ind w:firstLine="420"/>
              <w:rPr>
                <w:color w:val="000000"/>
              </w:rPr>
            </w:pPr>
            <w:r>
              <w:rPr>
                <w:rFonts w:hint="eastAsia"/>
                <w:color w:val="000000"/>
              </w:rPr>
              <w:t>金鹰科技创新股票型证券投资基金</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796EAD">
        <w:rPr>
          <w:rFonts w:asciiTheme="minorEastAsia" w:eastAsiaTheme="minorEastAsia" w:hAnsiTheme="minorEastAsia" w:cstheme="minorEastAsia" w:hint="eastAsia"/>
          <w:color w:val="000000" w:themeColor="text1"/>
        </w:rPr>
        <w:t>招商银行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3816A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B2268">
        <w:rPr>
          <w:rFonts w:asciiTheme="minorEastAsia" w:eastAsiaTheme="minorEastAsia" w:hAnsiTheme="minorEastAsia" w:cstheme="minorEastAsia" w:hint="eastAsia"/>
          <w:color w:val="000000" w:themeColor="text1"/>
        </w:rPr>
        <w:t>、</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3816A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、转换不适用基金：对于本基金管理人后端收费模式基金以及中登系统基金不支持与其他基金之间相互转换；对于同一只基金不同份额之间不支持相互转换。</w:t>
      </w:r>
    </w:p>
    <w:p w:rsidR="0028120E" w:rsidRDefault="003816A3"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、本基金管理人旗下基金在</w:t>
      </w:r>
      <w:r w:rsidR="00796EAD">
        <w:rPr>
          <w:rFonts w:asciiTheme="minorEastAsia" w:eastAsiaTheme="minorEastAsia" w:hAnsiTheme="minorEastAsia" w:cstheme="minorEastAsia" w:hint="eastAsia"/>
          <w:color w:val="000000" w:themeColor="text1"/>
        </w:rPr>
        <w:t>招商银行</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796EAD">
        <w:rPr>
          <w:rFonts w:asciiTheme="minorEastAsia" w:eastAsiaTheme="minorEastAsia" w:hAnsiTheme="minorEastAsia" w:cstheme="minorEastAsia" w:hint="eastAsia"/>
          <w:color w:val="000000" w:themeColor="text1"/>
        </w:rPr>
        <w:t>招商银行</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796EAD">
        <w:rPr>
          <w:rFonts w:asciiTheme="minorEastAsia" w:eastAsiaTheme="minorEastAsia" w:hAnsiTheme="minorEastAsia" w:cstheme="minorEastAsia" w:hint="eastAsia"/>
          <w:color w:val="000000" w:themeColor="text1"/>
        </w:rPr>
        <w:t>招商银行</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796EAD">
        <w:rPr>
          <w:rFonts w:asciiTheme="minorEastAsia" w:eastAsiaTheme="minorEastAsia" w:hAnsiTheme="minorEastAsia" w:cstheme="minorEastAsia" w:hint="eastAsia"/>
          <w:color w:val="000000" w:themeColor="text1"/>
        </w:rPr>
        <w:t>招商银行</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3816A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796EAD">
        <w:rPr>
          <w:rFonts w:hint="eastAsia"/>
        </w:rPr>
        <w:t>招商银行</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796EAD">
        <w:rPr>
          <w:rFonts w:cs="Calibri" w:hint="eastAsia"/>
        </w:rPr>
        <w:t>招商银行</w:t>
      </w:r>
    </w:p>
    <w:p w:rsidR="006928B4" w:rsidRPr="006928B4"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796EAD" w:rsidRPr="00796EAD">
        <w:t>95555</w:t>
      </w:r>
    </w:p>
    <w:p w:rsidR="005A54A0" w:rsidRPr="005A54A0"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网址：</w:t>
      </w:r>
      <w:r w:rsidR="00796EAD" w:rsidRPr="00796EAD">
        <w:t>www.cmbchina.com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lastRenderedPageBreak/>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投资者购买货币市场基金并不等于将资金作为存款存放在银行或存款类金融机构，本基金管理人不保证基金一定盈利，也不保证最低收益。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E34D91">
        <w:rPr>
          <w:rFonts w:cs="Calibri"/>
        </w:rPr>
        <w:t>2</w:t>
      </w:r>
      <w:r w:rsidR="009877A4" w:rsidRPr="009877A4">
        <w:rPr>
          <w:rFonts w:cs="Calibri" w:hint="eastAsia"/>
        </w:rPr>
        <w:t>年</w:t>
      </w:r>
      <w:r w:rsidR="00796EAD">
        <w:rPr>
          <w:rFonts w:cs="Calibri"/>
        </w:rPr>
        <w:t>4</w:t>
      </w:r>
      <w:r w:rsidR="009877A4" w:rsidRPr="009877A4">
        <w:rPr>
          <w:rFonts w:cs="Calibri" w:hint="eastAsia"/>
        </w:rPr>
        <w:t>月</w:t>
      </w:r>
      <w:r w:rsidR="00796EAD">
        <w:rPr>
          <w:rFonts w:cs="Calibri"/>
        </w:rPr>
        <w:t>14</w:t>
      </w:r>
      <w:r w:rsidR="009877A4" w:rsidRPr="009877A4">
        <w:rPr>
          <w:rFonts w:cs="Calibri" w:hint="eastAsia"/>
        </w:rPr>
        <w:t>日</w:t>
      </w:r>
    </w:p>
    <w:sectPr w:rsidR="00A00AAF" w:rsidRPr="009877A4" w:rsidSect="002238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E2" w:rsidRDefault="00FF00E2" w:rsidP="00E3201D">
      <w:r>
        <w:separator/>
      </w:r>
    </w:p>
  </w:endnote>
  <w:endnote w:type="continuationSeparator" w:id="0">
    <w:p w:rsidR="00FF00E2" w:rsidRDefault="00FF00E2"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E2" w:rsidRDefault="00FF00E2" w:rsidP="00E3201D">
      <w:r>
        <w:separator/>
      </w:r>
    </w:p>
  </w:footnote>
  <w:footnote w:type="continuationSeparator" w:id="0">
    <w:p w:rsidR="00FF00E2" w:rsidRDefault="00FF00E2"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4705D"/>
    <w:rsid w:val="00050C91"/>
    <w:rsid w:val="0007668C"/>
    <w:rsid w:val="0009331A"/>
    <w:rsid w:val="000B1AB2"/>
    <w:rsid w:val="000D170F"/>
    <w:rsid w:val="000E10B7"/>
    <w:rsid w:val="000E7D3C"/>
    <w:rsid w:val="000F4744"/>
    <w:rsid w:val="001039C4"/>
    <w:rsid w:val="00112143"/>
    <w:rsid w:val="00112272"/>
    <w:rsid w:val="00120FA7"/>
    <w:rsid w:val="001245CA"/>
    <w:rsid w:val="00126069"/>
    <w:rsid w:val="001267F7"/>
    <w:rsid w:val="00142F9B"/>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238DF"/>
    <w:rsid w:val="002351F6"/>
    <w:rsid w:val="00266540"/>
    <w:rsid w:val="0026767D"/>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C4285"/>
    <w:rsid w:val="003C7AEC"/>
    <w:rsid w:val="003D2696"/>
    <w:rsid w:val="003D3C4C"/>
    <w:rsid w:val="003E168F"/>
    <w:rsid w:val="003F276E"/>
    <w:rsid w:val="00420793"/>
    <w:rsid w:val="0043356C"/>
    <w:rsid w:val="00445F84"/>
    <w:rsid w:val="00447446"/>
    <w:rsid w:val="004511C4"/>
    <w:rsid w:val="00453E39"/>
    <w:rsid w:val="004840C8"/>
    <w:rsid w:val="004944A3"/>
    <w:rsid w:val="004A05F5"/>
    <w:rsid w:val="004A0E27"/>
    <w:rsid w:val="004A1B5A"/>
    <w:rsid w:val="004A363A"/>
    <w:rsid w:val="004A47C9"/>
    <w:rsid w:val="004B1512"/>
    <w:rsid w:val="004B7B90"/>
    <w:rsid w:val="004C26F2"/>
    <w:rsid w:val="004C5102"/>
    <w:rsid w:val="004D0845"/>
    <w:rsid w:val="004E2142"/>
    <w:rsid w:val="004E32AC"/>
    <w:rsid w:val="00500661"/>
    <w:rsid w:val="00504054"/>
    <w:rsid w:val="00506924"/>
    <w:rsid w:val="00522178"/>
    <w:rsid w:val="00534398"/>
    <w:rsid w:val="00540E09"/>
    <w:rsid w:val="0055048C"/>
    <w:rsid w:val="00566D76"/>
    <w:rsid w:val="005670F1"/>
    <w:rsid w:val="005706A4"/>
    <w:rsid w:val="0059003D"/>
    <w:rsid w:val="005901D5"/>
    <w:rsid w:val="005973D4"/>
    <w:rsid w:val="005A54A0"/>
    <w:rsid w:val="005B1B58"/>
    <w:rsid w:val="005B7934"/>
    <w:rsid w:val="005D7D33"/>
    <w:rsid w:val="005E5033"/>
    <w:rsid w:val="005F0540"/>
    <w:rsid w:val="00627EE6"/>
    <w:rsid w:val="00631BBC"/>
    <w:rsid w:val="00636821"/>
    <w:rsid w:val="006434F1"/>
    <w:rsid w:val="006447C3"/>
    <w:rsid w:val="00646793"/>
    <w:rsid w:val="006554A2"/>
    <w:rsid w:val="00665EFB"/>
    <w:rsid w:val="00680493"/>
    <w:rsid w:val="00691BF4"/>
    <w:rsid w:val="006928B4"/>
    <w:rsid w:val="006D717C"/>
    <w:rsid w:val="0070267D"/>
    <w:rsid w:val="00712D07"/>
    <w:rsid w:val="0072268D"/>
    <w:rsid w:val="0072741B"/>
    <w:rsid w:val="007424F2"/>
    <w:rsid w:val="00743A13"/>
    <w:rsid w:val="00767674"/>
    <w:rsid w:val="00786DAF"/>
    <w:rsid w:val="0079226C"/>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A01A0"/>
    <w:rsid w:val="008A27AD"/>
    <w:rsid w:val="008A29CE"/>
    <w:rsid w:val="008A7B4F"/>
    <w:rsid w:val="008B0A9C"/>
    <w:rsid w:val="008B2268"/>
    <w:rsid w:val="008B2C05"/>
    <w:rsid w:val="008B7C7A"/>
    <w:rsid w:val="008E589A"/>
    <w:rsid w:val="008F5130"/>
    <w:rsid w:val="00916226"/>
    <w:rsid w:val="0093762E"/>
    <w:rsid w:val="00941216"/>
    <w:rsid w:val="00953E06"/>
    <w:rsid w:val="0096184E"/>
    <w:rsid w:val="009633B5"/>
    <w:rsid w:val="00963A12"/>
    <w:rsid w:val="00965497"/>
    <w:rsid w:val="009877A4"/>
    <w:rsid w:val="009974A3"/>
    <w:rsid w:val="009A5E81"/>
    <w:rsid w:val="009B7508"/>
    <w:rsid w:val="009D5A96"/>
    <w:rsid w:val="009F38CE"/>
    <w:rsid w:val="00A00AAF"/>
    <w:rsid w:val="00A0278D"/>
    <w:rsid w:val="00A46BE9"/>
    <w:rsid w:val="00A522B4"/>
    <w:rsid w:val="00A70945"/>
    <w:rsid w:val="00A81E34"/>
    <w:rsid w:val="00AA60FF"/>
    <w:rsid w:val="00AD4BE8"/>
    <w:rsid w:val="00AD6E8D"/>
    <w:rsid w:val="00AF1A2D"/>
    <w:rsid w:val="00AF76F6"/>
    <w:rsid w:val="00B0516D"/>
    <w:rsid w:val="00B336E6"/>
    <w:rsid w:val="00B632AB"/>
    <w:rsid w:val="00B679FB"/>
    <w:rsid w:val="00B80061"/>
    <w:rsid w:val="00B85DD2"/>
    <w:rsid w:val="00B975FE"/>
    <w:rsid w:val="00BB0D06"/>
    <w:rsid w:val="00BB477F"/>
    <w:rsid w:val="00BB5BDE"/>
    <w:rsid w:val="00BC2167"/>
    <w:rsid w:val="00BC38F5"/>
    <w:rsid w:val="00BC5516"/>
    <w:rsid w:val="00BC560B"/>
    <w:rsid w:val="00BC7D60"/>
    <w:rsid w:val="00BD01CC"/>
    <w:rsid w:val="00BE1FB8"/>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D2771"/>
    <w:rsid w:val="00CD57F0"/>
    <w:rsid w:val="00CE0062"/>
    <w:rsid w:val="00D04E30"/>
    <w:rsid w:val="00D31DE1"/>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03423"/>
    <w:rsid w:val="00E13E9E"/>
    <w:rsid w:val="00E14296"/>
    <w:rsid w:val="00E22DBA"/>
    <w:rsid w:val="00E26862"/>
    <w:rsid w:val="00E3201D"/>
    <w:rsid w:val="00E34D91"/>
    <w:rsid w:val="00E365D5"/>
    <w:rsid w:val="00E57911"/>
    <w:rsid w:val="00E64940"/>
    <w:rsid w:val="00E7053C"/>
    <w:rsid w:val="00E723F9"/>
    <w:rsid w:val="00E778B5"/>
    <w:rsid w:val="00E87CD2"/>
    <w:rsid w:val="00E913ED"/>
    <w:rsid w:val="00EA1F68"/>
    <w:rsid w:val="00EA60E4"/>
    <w:rsid w:val="00EA695E"/>
    <w:rsid w:val="00EA7DD1"/>
    <w:rsid w:val="00EB0CE1"/>
    <w:rsid w:val="00EB3208"/>
    <w:rsid w:val="00EC64A9"/>
    <w:rsid w:val="00EE68E6"/>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3862"/>
    <w:rsid w:val="00FF00E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8DF"/>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2238D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238DF"/>
    <w:pPr>
      <w:jc w:val="left"/>
    </w:pPr>
  </w:style>
  <w:style w:type="paragraph" w:styleId="a4">
    <w:name w:val="Balloon Text"/>
    <w:basedOn w:val="a"/>
    <w:link w:val="Char0"/>
    <w:uiPriority w:val="99"/>
    <w:semiHidden/>
    <w:unhideWhenUsed/>
    <w:qFormat/>
    <w:rsid w:val="002238DF"/>
    <w:rPr>
      <w:sz w:val="18"/>
      <w:szCs w:val="18"/>
    </w:rPr>
  </w:style>
  <w:style w:type="paragraph" w:styleId="a5">
    <w:name w:val="footer"/>
    <w:basedOn w:val="a"/>
    <w:link w:val="Char1"/>
    <w:uiPriority w:val="99"/>
    <w:unhideWhenUsed/>
    <w:qFormat/>
    <w:rsid w:val="002238D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238D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238D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238DF"/>
    <w:rPr>
      <w:b/>
      <w:bCs/>
    </w:rPr>
  </w:style>
  <w:style w:type="table" w:styleId="a9">
    <w:name w:val="Table Grid"/>
    <w:basedOn w:val="a1"/>
    <w:uiPriority w:val="59"/>
    <w:qFormat/>
    <w:rsid w:val="00223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2238DF"/>
    <w:rPr>
      <w:color w:val="4C4C4C"/>
      <w:u w:val="none"/>
    </w:rPr>
  </w:style>
  <w:style w:type="character" w:styleId="ab">
    <w:name w:val="Emphasis"/>
    <w:basedOn w:val="a0"/>
    <w:uiPriority w:val="20"/>
    <w:qFormat/>
    <w:rsid w:val="002238DF"/>
  </w:style>
  <w:style w:type="character" w:styleId="HTML">
    <w:name w:val="HTML Acronym"/>
    <w:basedOn w:val="a0"/>
    <w:uiPriority w:val="99"/>
    <w:semiHidden/>
    <w:unhideWhenUsed/>
    <w:qFormat/>
    <w:rsid w:val="002238DF"/>
  </w:style>
  <w:style w:type="character" w:styleId="ac">
    <w:name w:val="Hyperlink"/>
    <w:basedOn w:val="a0"/>
    <w:uiPriority w:val="99"/>
    <w:unhideWhenUsed/>
    <w:qFormat/>
    <w:rsid w:val="002238DF"/>
    <w:rPr>
      <w:color w:val="0000FF"/>
      <w:u w:val="single"/>
    </w:rPr>
  </w:style>
  <w:style w:type="character" w:styleId="ad">
    <w:name w:val="annotation reference"/>
    <w:basedOn w:val="a0"/>
    <w:uiPriority w:val="99"/>
    <w:semiHidden/>
    <w:unhideWhenUsed/>
    <w:qFormat/>
    <w:rsid w:val="002238DF"/>
    <w:rPr>
      <w:sz w:val="21"/>
      <w:szCs w:val="21"/>
    </w:rPr>
  </w:style>
  <w:style w:type="character" w:customStyle="1" w:styleId="3Char">
    <w:name w:val="标题 3 Char"/>
    <w:basedOn w:val="a0"/>
    <w:link w:val="3"/>
    <w:uiPriority w:val="9"/>
    <w:qFormat/>
    <w:rsid w:val="002238DF"/>
    <w:rPr>
      <w:rFonts w:ascii="宋体" w:eastAsia="宋体" w:hAnsi="宋体" w:cs="宋体"/>
      <w:b/>
      <w:bCs/>
      <w:kern w:val="0"/>
      <w:sz w:val="27"/>
      <w:szCs w:val="27"/>
    </w:rPr>
  </w:style>
  <w:style w:type="character" w:customStyle="1" w:styleId="span4">
    <w:name w:val="span4"/>
    <w:basedOn w:val="a0"/>
    <w:qFormat/>
    <w:rsid w:val="002238DF"/>
  </w:style>
  <w:style w:type="character" w:customStyle="1" w:styleId="span01">
    <w:name w:val="span01"/>
    <w:basedOn w:val="a0"/>
    <w:qFormat/>
    <w:rsid w:val="002238DF"/>
    <w:rPr>
      <w:sz w:val="24"/>
      <w:szCs w:val="24"/>
    </w:rPr>
  </w:style>
  <w:style w:type="character" w:customStyle="1" w:styleId="icon2">
    <w:name w:val="icon2"/>
    <w:basedOn w:val="a0"/>
    <w:qFormat/>
    <w:rsid w:val="002238DF"/>
  </w:style>
  <w:style w:type="character" w:customStyle="1" w:styleId="fqrsyliswk">
    <w:name w:val="fqrsyl_iswk"/>
    <w:basedOn w:val="a0"/>
    <w:qFormat/>
    <w:rsid w:val="002238DF"/>
  </w:style>
  <w:style w:type="character" w:customStyle="1" w:styleId="span03">
    <w:name w:val="span03"/>
    <w:basedOn w:val="a0"/>
    <w:qFormat/>
    <w:rsid w:val="002238DF"/>
  </w:style>
  <w:style w:type="character" w:customStyle="1" w:styleId="span031">
    <w:name w:val="span031"/>
    <w:basedOn w:val="a0"/>
    <w:qFormat/>
    <w:rsid w:val="002238DF"/>
  </w:style>
  <w:style w:type="character" w:customStyle="1" w:styleId="fmwfsyiswk">
    <w:name w:val="fmwfsy_iswk"/>
    <w:basedOn w:val="a0"/>
    <w:qFormat/>
    <w:rsid w:val="002238DF"/>
  </w:style>
  <w:style w:type="character" w:customStyle="1" w:styleId="span1">
    <w:name w:val="span1"/>
    <w:basedOn w:val="a0"/>
    <w:qFormat/>
    <w:rsid w:val="002238DF"/>
  </w:style>
  <w:style w:type="character" w:customStyle="1" w:styleId="span2">
    <w:name w:val="span2"/>
    <w:basedOn w:val="a0"/>
    <w:qFormat/>
    <w:rsid w:val="002238DF"/>
  </w:style>
  <w:style w:type="character" w:customStyle="1" w:styleId="hover46">
    <w:name w:val="hover46"/>
    <w:basedOn w:val="a0"/>
    <w:qFormat/>
    <w:rsid w:val="002238DF"/>
    <w:rPr>
      <w:shd w:val="clear" w:color="auto" w:fill="FEF2E7"/>
    </w:rPr>
  </w:style>
  <w:style w:type="character" w:customStyle="1" w:styleId="hover47">
    <w:name w:val="hover47"/>
    <w:basedOn w:val="a0"/>
    <w:qFormat/>
    <w:rsid w:val="002238DF"/>
    <w:rPr>
      <w:color w:val="F88413"/>
    </w:rPr>
  </w:style>
  <w:style w:type="character" w:customStyle="1" w:styleId="span02">
    <w:name w:val="span02"/>
    <w:basedOn w:val="a0"/>
    <w:qFormat/>
    <w:rsid w:val="002238DF"/>
    <w:rPr>
      <w:sz w:val="24"/>
      <w:szCs w:val="24"/>
    </w:rPr>
  </w:style>
  <w:style w:type="character" w:customStyle="1" w:styleId="span021">
    <w:name w:val="span021"/>
    <w:basedOn w:val="a0"/>
    <w:qFormat/>
    <w:rsid w:val="002238DF"/>
  </w:style>
  <w:style w:type="character" w:customStyle="1" w:styleId="on26">
    <w:name w:val="on26"/>
    <w:basedOn w:val="a0"/>
    <w:qFormat/>
    <w:rsid w:val="002238DF"/>
    <w:rPr>
      <w:color w:val="F88413"/>
    </w:rPr>
  </w:style>
  <w:style w:type="character" w:customStyle="1" w:styleId="on27">
    <w:name w:val="on27"/>
    <w:basedOn w:val="a0"/>
    <w:qFormat/>
    <w:rsid w:val="002238DF"/>
  </w:style>
  <w:style w:type="character" w:customStyle="1" w:styleId="span3">
    <w:name w:val="span3"/>
    <w:basedOn w:val="a0"/>
    <w:qFormat/>
    <w:rsid w:val="002238DF"/>
  </w:style>
  <w:style w:type="character" w:customStyle="1" w:styleId="span011">
    <w:name w:val="span011"/>
    <w:basedOn w:val="a0"/>
    <w:qFormat/>
    <w:rsid w:val="002238DF"/>
  </w:style>
  <w:style w:type="character" w:customStyle="1" w:styleId="icon">
    <w:name w:val="icon"/>
    <w:basedOn w:val="a0"/>
    <w:qFormat/>
    <w:rsid w:val="002238DF"/>
  </w:style>
  <w:style w:type="character" w:customStyle="1" w:styleId="hover44">
    <w:name w:val="hover44"/>
    <w:basedOn w:val="a0"/>
    <w:qFormat/>
    <w:rsid w:val="002238DF"/>
    <w:rPr>
      <w:shd w:val="clear" w:color="auto" w:fill="FEF2E7"/>
    </w:rPr>
  </w:style>
  <w:style w:type="character" w:customStyle="1" w:styleId="hover45">
    <w:name w:val="hover45"/>
    <w:basedOn w:val="a0"/>
    <w:qFormat/>
    <w:rsid w:val="002238DF"/>
    <w:rPr>
      <w:color w:val="F88413"/>
    </w:rPr>
  </w:style>
  <w:style w:type="character" w:customStyle="1" w:styleId="on">
    <w:name w:val="on"/>
    <w:basedOn w:val="a0"/>
    <w:qFormat/>
    <w:rsid w:val="002238DF"/>
    <w:rPr>
      <w:color w:val="F88413"/>
    </w:rPr>
  </w:style>
  <w:style w:type="character" w:customStyle="1" w:styleId="on1">
    <w:name w:val="on1"/>
    <w:basedOn w:val="a0"/>
    <w:qFormat/>
    <w:rsid w:val="002238DF"/>
  </w:style>
  <w:style w:type="character" w:customStyle="1" w:styleId="Char2">
    <w:name w:val="页眉 Char"/>
    <w:basedOn w:val="a0"/>
    <w:link w:val="a6"/>
    <w:uiPriority w:val="99"/>
    <w:qFormat/>
    <w:rsid w:val="002238DF"/>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2238DF"/>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2238DF"/>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2238DF"/>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2238DF"/>
    <w:rPr>
      <w:rFonts w:asciiTheme="minorHAnsi" w:eastAsiaTheme="minorEastAsia" w:hAnsiTheme="minorHAnsi" w:cstheme="minorBidi"/>
      <w:kern w:val="2"/>
      <w:sz w:val="18"/>
      <w:szCs w:val="18"/>
    </w:rPr>
  </w:style>
  <w:style w:type="character" w:customStyle="1" w:styleId="hover43">
    <w:name w:val="hover43"/>
    <w:basedOn w:val="a0"/>
    <w:qFormat/>
    <w:rsid w:val="002238DF"/>
    <w:rPr>
      <w:color w:val="F88413"/>
    </w:rPr>
  </w:style>
  <w:style w:type="paragraph" w:customStyle="1" w:styleId="Default">
    <w:name w:val="Default"/>
    <w:qFormat/>
    <w:rsid w:val="002238DF"/>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2238DF"/>
    <w:rPr>
      <w:color w:val="F88413"/>
    </w:rPr>
  </w:style>
  <w:style w:type="character" w:customStyle="1" w:styleId="hover1">
    <w:name w:val="hover1"/>
    <w:basedOn w:val="a0"/>
    <w:qFormat/>
    <w:rsid w:val="002238DF"/>
    <w:rPr>
      <w:shd w:val="clear" w:color="auto" w:fill="FEF2E7"/>
    </w:rPr>
  </w:style>
  <w:style w:type="character" w:customStyle="1" w:styleId="hover42">
    <w:name w:val="hover42"/>
    <w:basedOn w:val="a0"/>
    <w:qFormat/>
    <w:rsid w:val="002238DF"/>
    <w:rPr>
      <w:shd w:val="clear" w:color="auto" w:fill="FEF2E7"/>
    </w:rPr>
  </w:style>
  <w:style w:type="character" w:customStyle="1" w:styleId="on3">
    <w:name w:val="on3"/>
    <w:basedOn w:val="a0"/>
    <w:qFormat/>
    <w:rsid w:val="002238DF"/>
  </w:style>
  <w:style w:type="character" w:customStyle="1" w:styleId="on4">
    <w:name w:val="on4"/>
    <w:basedOn w:val="a0"/>
    <w:qFormat/>
    <w:rsid w:val="002238DF"/>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5061F-D9E4-4AF6-BBA0-ABF5481C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1672</Characters>
  <Application>Microsoft Office Word</Application>
  <DocSecurity>4</DocSecurity>
  <Lines>13</Lines>
  <Paragraphs>3</Paragraphs>
  <ScaleCrop>false</ScaleCrop>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2022-04-13T16:01:00Z</dcterms:created>
  <dcterms:modified xsi:type="dcterms:W3CDTF">2022-04-13T16:01:00Z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