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282" w:rsidRDefault="00572558">
      <w:pPr>
        <w:spacing w:line="360" w:lineRule="auto"/>
        <w:jc w:val="center"/>
        <w:rPr>
          <w:rFonts w:cs="Times New Roman"/>
          <w:b/>
          <w:bCs/>
          <w:sz w:val="30"/>
          <w:szCs w:val="30"/>
        </w:rPr>
      </w:pPr>
      <w:r>
        <w:rPr>
          <w:rFonts w:ascii="宋体" w:hint="eastAsia"/>
          <w:b/>
          <w:sz w:val="28"/>
          <w:szCs w:val="24"/>
        </w:rPr>
        <w:t>民生加银</w:t>
      </w:r>
      <w:r>
        <w:rPr>
          <w:rFonts w:cs="Times New Roman" w:hint="eastAsia"/>
          <w:b/>
          <w:bCs/>
          <w:sz w:val="30"/>
          <w:szCs w:val="30"/>
        </w:rPr>
        <w:t>康利混合型证券投资基金</w:t>
      </w:r>
    </w:p>
    <w:p w:rsidR="00470282" w:rsidRDefault="00572558">
      <w:pPr>
        <w:spacing w:line="360" w:lineRule="auto"/>
        <w:jc w:val="center"/>
        <w:rPr>
          <w:rFonts w:ascii="宋体"/>
          <w:b/>
          <w:sz w:val="28"/>
          <w:szCs w:val="24"/>
        </w:rPr>
      </w:pPr>
      <w:r>
        <w:rPr>
          <w:rFonts w:ascii="宋体"/>
          <w:b/>
          <w:sz w:val="28"/>
          <w:szCs w:val="24"/>
        </w:rPr>
        <w:t>基金份额持有人大会表决结果暨决议生效的</w:t>
      </w:r>
      <w:r>
        <w:rPr>
          <w:rFonts w:ascii="宋体" w:hint="eastAsia"/>
          <w:b/>
          <w:sz w:val="28"/>
          <w:szCs w:val="24"/>
        </w:rPr>
        <w:t>公告</w:t>
      </w:r>
    </w:p>
    <w:p w:rsidR="00470282" w:rsidRDefault="00470282">
      <w:pPr>
        <w:pStyle w:val="Default"/>
      </w:pPr>
    </w:p>
    <w:p w:rsidR="00470282" w:rsidRDefault="00572558">
      <w:pPr>
        <w:spacing w:line="360" w:lineRule="auto"/>
        <w:ind w:firstLineChars="200" w:firstLine="420"/>
        <w:rPr>
          <w:rFonts w:ascii="宋体"/>
          <w:sz w:val="24"/>
          <w:szCs w:val="24"/>
        </w:rPr>
      </w:pPr>
      <w:r>
        <w:t xml:space="preserve"> </w:t>
      </w:r>
      <w:r>
        <w:rPr>
          <w:rFonts w:ascii="宋体" w:hint="eastAsia"/>
          <w:sz w:val="24"/>
          <w:szCs w:val="24"/>
        </w:rPr>
        <w:t>依据《中华人民共和国证券投资基金法》、《公开募集证券投资基金运作管理办法》、《</w:t>
      </w:r>
      <w:r>
        <w:rPr>
          <w:rFonts w:ascii="宋体" w:cs="Times New Roman" w:hint="eastAsia"/>
          <w:bCs/>
          <w:sz w:val="24"/>
          <w:szCs w:val="24"/>
        </w:rPr>
        <w:t>民生加银康利混合型证券投资基金基金合同</w:t>
      </w:r>
      <w:r>
        <w:rPr>
          <w:rFonts w:ascii="宋体" w:hint="eastAsia"/>
          <w:sz w:val="24"/>
          <w:szCs w:val="24"/>
        </w:rPr>
        <w:t>》（以下简称“《基金合同》”）的有关规定，现将</w:t>
      </w:r>
      <w:r>
        <w:rPr>
          <w:rFonts w:ascii="宋体" w:cs="Times New Roman" w:hint="eastAsia"/>
          <w:bCs/>
          <w:sz w:val="24"/>
          <w:szCs w:val="24"/>
        </w:rPr>
        <w:t>民生加银康利混合型证券投资基金</w:t>
      </w:r>
      <w:r>
        <w:rPr>
          <w:rFonts w:ascii="宋体" w:hint="eastAsia"/>
          <w:sz w:val="24"/>
          <w:szCs w:val="24"/>
        </w:rPr>
        <w:t>（以下简称</w:t>
      </w:r>
      <w:r w:rsidR="00BE2063">
        <w:rPr>
          <w:rFonts w:ascii="宋体" w:hint="eastAsia"/>
          <w:sz w:val="24"/>
          <w:szCs w:val="24"/>
        </w:rPr>
        <w:t>“</w:t>
      </w:r>
      <w:r>
        <w:rPr>
          <w:rFonts w:ascii="宋体" w:hint="eastAsia"/>
          <w:sz w:val="24"/>
          <w:szCs w:val="24"/>
        </w:rPr>
        <w:t>本基金</w:t>
      </w:r>
      <w:r w:rsidR="00BE2063">
        <w:rPr>
          <w:rFonts w:ascii="宋体" w:hint="eastAsia"/>
          <w:sz w:val="24"/>
          <w:szCs w:val="24"/>
        </w:rPr>
        <w:t>”</w:t>
      </w:r>
      <w:r>
        <w:rPr>
          <w:rFonts w:ascii="宋体" w:hint="eastAsia"/>
          <w:sz w:val="24"/>
          <w:szCs w:val="24"/>
        </w:rPr>
        <w:t>）基金份额持有人大会的决议及相关事项公告如下：</w:t>
      </w:r>
    </w:p>
    <w:p w:rsidR="00470282" w:rsidRDefault="00470282">
      <w:pPr>
        <w:spacing w:line="360" w:lineRule="auto"/>
        <w:ind w:firstLineChars="200" w:firstLine="480"/>
        <w:rPr>
          <w:rFonts w:ascii="宋体"/>
          <w:sz w:val="24"/>
          <w:szCs w:val="24"/>
        </w:rPr>
      </w:pPr>
    </w:p>
    <w:p w:rsidR="00470282" w:rsidRDefault="00572558">
      <w:pPr>
        <w:pStyle w:val="a4"/>
        <w:numPr>
          <w:ilvl w:val="0"/>
          <w:numId w:val="1"/>
        </w:numPr>
        <w:spacing w:line="360" w:lineRule="auto"/>
        <w:ind w:firstLineChars="0"/>
        <w:rPr>
          <w:rFonts w:ascii="宋体"/>
          <w:b/>
          <w:bCs/>
          <w:sz w:val="24"/>
          <w:szCs w:val="24"/>
        </w:rPr>
      </w:pPr>
      <w:r>
        <w:rPr>
          <w:rFonts w:ascii="宋体" w:hint="eastAsia"/>
          <w:b/>
          <w:bCs/>
          <w:sz w:val="24"/>
          <w:szCs w:val="24"/>
        </w:rPr>
        <w:t>本次基金份额</w:t>
      </w:r>
      <w:r>
        <w:rPr>
          <w:rFonts w:ascii="宋体"/>
          <w:b/>
          <w:bCs/>
          <w:sz w:val="24"/>
          <w:szCs w:val="24"/>
        </w:rPr>
        <w:t>持有人大会会议情况</w:t>
      </w:r>
    </w:p>
    <w:p w:rsidR="00470282" w:rsidRDefault="00572558" w:rsidP="00380669">
      <w:pPr>
        <w:pStyle w:val="Default"/>
        <w:spacing w:line="360" w:lineRule="auto"/>
        <w:ind w:firstLine="480"/>
        <w:jc w:val="both"/>
      </w:pPr>
      <w:r>
        <w:rPr>
          <w:rFonts w:cs="Arial" w:hint="eastAsia"/>
          <w:color w:val="auto"/>
          <w:kern w:val="2"/>
        </w:rPr>
        <w:t>民生加银康利混合型证券投资基金以通讯方式召开了基金份额持有人大会，大会表决投票时间自2022年3月3日起，至2022年4月6日17：00</w:t>
      </w:r>
      <w:r>
        <w:rPr>
          <w:rFonts w:cs="Arial"/>
          <w:color w:val="auto"/>
          <w:kern w:val="2"/>
        </w:rPr>
        <w:t>结束。</w:t>
      </w:r>
      <w:r>
        <w:rPr>
          <w:rFonts w:cs="Arial" w:hint="eastAsia"/>
          <w:color w:val="auto"/>
          <w:kern w:val="2"/>
        </w:rPr>
        <w:t>参加本次大会表决</w:t>
      </w:r>
      <w:r>
        <w:rPr>
          <w:rFonts w:cs="Arial"/>
          <w:color w:val="auto"/>
          <w:kern w:val="2"/>
        </w:rPr>
        <w:t>的</w:t>
      </w:r>
      <w:r>
        <w:rPr>
          <w:rFonts w:cs="Arial" w:hint="eastAsia"/>
          <w:color w:val="auto"/>
          <w:kern w:val="2"/>
        </w:rPr>
        <w:t>民生加银康利混合型证券投资基金</w:t>
      </w:r>
      <w:r>
        <w:rPr>
          <w:rFonts w:cs="Arial"/>
          <w:color w:val="auto"/>
          <w:kern w:val="2"/>
        </w:rPr>
        <w:t>基金份额持有人（或其代理人）所代表份额共计2,815,990.77</w:t>
      </w:r>
      <w:r>
        <w:rPr>
          <w:rFonts w:cs="Arial" w:hint="eastAsia"/>
          <w:color w:val="auto"/>
          <w:kern w:val="2"/>
        </w:rPr>
        <w:t>份，占权益登记日（为2022年3月3日）基金总份额</w:t>
      </w:r>
      <w:r>
        <w:rPr>
          <w:rFonts w:cs="Arial"/>
          <w:color w:val="auto"/>
          <w:kern w:val="2"/>
        </w:rPr>
        <w:t>2,824,839.19</w:t>
      </w:r>
      <w:r>
        <w:rPr>
          <w:rFonts w:cs="Arial" w:hint="eastAsia"/>
          <w:color w:val="auto"/>
          <w:kern w:val="2"/>
        </w:rPr>
        <w:t>份的</w:t>
      </w:r>
      <w:r>
        <w:rPr>
          <w:rFonts w:cs="Arial"/>
          <w:color w:val="auto"/>
          <w:kern w:val="2"/>
        </w:rPr>
        <w:t>99.69%</w:t>
      </w:r>
      <w:r>
        <w:rPr>
          <w:rFonts w:cs="Arial" w:hint="eastAsia"/>
          <w:color w:val="auto"/>
          <w:kern w:val="2"/>
        </w:rPr>
        <w:t>，达到出具表决意见的基金份额持有人所</w:t>
      </w:r>
      <w:r>
        <w:rPr>
          <w:rFonts w:cs="Arial"/>
          <w:color w:val="auto"/>
          <w:kern w:val="2"/>
        </w:rPr>
        <w:t>持有</w:t>
      </w:r>
      <w:r>
        <w:rPr>
          <w:rFonts w:cs="Arial" w:hint="eastAsia"/>
          <w:color w:val="auto"/>
          <w:kern w:val="2"/>
        </w:rPr>
        <w:t>的基金份额占权益登记日基金总份额的</w:t>
      </w:r>
      <w:r>
        <w:rPr>
          <w:rFonts w:cs="Times New Roman" w:hint="eastAsia"/>
          <w:bCs/>
        </w:rPr>
        <w:t>二分之一</w:t>
      </w:r>
      <w:r>
        <w:rPr>
          <w:rFonts w:cs="Arial" w:hint="eastAsia"/>
          <w:color w:val="auto"/>
          <w:kern w:val="2"/>
        </w:rPr>
        <w:t xml:space="preserve">以上，满足法定开会条件，符合《中华人民共和国证券投资基金法》、《公开募集证券投资基金运作管理办法》和《基金合同》的有关规定。 </w:t>
      </w:r>
    </w:p>
    <w:p w:rsidR="00470282" w:rsidRDefault="00572558">
      <w:pPr>
        <w:spacing w:line="360" w:lineRule="auto"/>
        <w:ind w:firstLineChars="200" w:firstLine="480"/>
        <w:rPr>
          <w:rFonts w:ascii="宋体"/>
          <w:sz w:val="24"/>
          <w:szCs w:val="24"/>
        </w:rPr>
      </w:pPr>
      <w:r>
        <w:rPr>
          <w:rFonts w:ascii="宋体"/>
          <w:sz w:val="24"/>
          <w:szCs w:val="24"/>
        </w:rPr>
        <w:t>会议审议了《</w:t>
      </w:r>
      <w:r>
        <w:rPr>
          <w:rFonts w:ascii="宋体" w:hint="eastAsia"/>
          <w:sz w:val="24"/>
          <w:szCs w:val="24"/>
        </w:rPr>
        <w:t>关于终止民生加银康利混合型证券投资基金基金合同有关事项的议案</w:t>
      </w:r>
      <w:r>
        <w:rPr>
          <w:rFonts w:ascii="宋体"/>
          <w:sz w:val="24"/>
          <w:szCs w:val="24"/>
        </w:rPr>
        <w:t>》（以下简称</w:t>
      </w:r>
      <w:r w:rsidR="00BE2063">
        <w:rPr>
          <w:rFonts w:ascii="宋体" w:hint="eastAsia"/>
          <w:sz w:val="24"/>
          <w:szCs w:val="24"/>
        </w:rPr>
        <w:t>“</w:t>
      </w:r>
      <w:r>
        <w:rPr>
          <w:rFonts w:ascii="宋体"/>
          <w:sz w:val="24"/>
          <w:szCs w:val="24"/>
        </w:rPr>
        <w:t>本次大会议案</w:t>
      </w:r>
      <w:r w:rsidR="00BE2063">
        <w:rPr>
          <w:rFonts w:ascii="宋体" w:hint="eastAsia"/>
          <w:sz w:val="24"/>
          <w:szCs w:val="24"/>
        </w:rPr>
        <w:t>”</w:t>
      </w:r>
      <w:r>
        <w:rPr>
          <w:rFonts w:ascii="宋体"/>
          <w:sz w:val="24"/>
          <w:szCs w:val="24"/>
        </w:rPr>
        <w:t>），</w:t>
      </w:r>
      <w:r>
        <w:rPr>
          <w:rFonts w:ascii="宋体" w:hint="eastAsia"/>
          <w:sz w:val="24"/>
          <w:szCs w:val="24"/>
        </w:rPr>
        <w:t>并由参加大会的基金份额持有人对本次会议议案进行表决</w:t>
      </w:r>
      <w:r>
        <w:rPr>
          <w:rFonts w:ascii="宋体"/>
          <w:sz w:val="24"/>
          <w:szCs w:val="24"/>
        </w:rPr>
        <w:t>。</w:t>
      </w:r>
      <w:r>
        <w:rPr>
          <w:rFonts w:ascii="宋体" w:hint="eastAsia"/>
          <w:sz w:val="24"/>
          <w:szCs w:val="24"/>
        </w:rPr>
        <w:t>民生加银康利混合型证券投资基金的</w:t>
      </w:r>
      <w:r>
        <w:rPr>
          <w:rFonts w:ascii="宋体"/>
          <w:sz w:val="24"/>
          <w:szCs w:val="24"/>
        </w:rPr>
        <w:t>基金托管人</w:t>
      </w:r>
      <w:r>
        <w:rPr>
          <w:rFonts w:ascii="宋体" w:hint="eastAsia"/>
          <w:sz w:val="24"/>
          <w:szCs w:val="24"/>
        </w:rPr>
        <w:t>中国光大银行股份有限公司</w:t>
      </w:r>
      <w:r>
        <w:rPr>
          <w:rFonts w:ascii="宋体"/>
          <w:sz w:val="24"/>
          <w:szCs w:val="24"/>
        </w:rPr>
        <w:t>授权代表对基金份额持有人大会表决意见的计票进行了监督，</w:t>
      </w:r>
      <w:r>
        <w:rPr>
          <w:rFonts w:ascii="宋体" w:hint="eastAsia"/>
          <w:sz w:val="24"/>
          <w:szCs w:val="24"/>
        </w:rPr>
        <w:t>北京市方圆</w:t>
      </w:r>
      <w:r>
        <w:rPr>
          <w:rFonts w:ascii="宋体"/>
          <w:sz w:val="24"/>
          <w:szCs w:val="24"/>
        </w:rPr>
        <w:t xml:space="preserve">公证处公证员对基金份额持有人大会过程及结果进行了公证；上海市通力律师事务所律师就基金份额持有人大会过程及结果发表了见证意见。 </w:t>
      </w:r>
    </w:p>
    <w:p w:rsidR="00470282" w:rsidRDefault="00572558">
      <w:pPr>
        <w:pStyle w:val="Default"/>
        <w:spacing w:line="360" w:lineRule="auto"/>
        <w:ind w:firstLine="360"/>
      </w:pPr>
      <w:r>
        <w:rPr>
          <w:rFonts w:cs="Arial"/>
          <w:color w:val="auto"/>
          <w:kern w:val="2"/>
        </w:rPr>
        <w:t>表决结果为：2,815,990.77</w:t>
      </w:r>
      <w:r>
        <w:rPr>
          <w:rFonts w:cs="Arial" w:hint="eastAsia"/>
          <w:color w:val="auto"/>
          <w:kern w:val="2"/>
        </w:rPr>
        <w:t>份基金份额同意，</w:t>
      </w:r>
      <w:r>
        <w:rPr>
          <w:rFonts w:cs="Arial"/>
          <w:color w:val="auto"/>
          <w:kern w:val="2"/>
        </w:rPr>
        <w:t>0</w:t>
      </w:r>
      <w:r>
        <w:rPr>
          <w:rFonts w:cs="Arial" w:hint="eastAsia"/>
          <w:color w:val="auto"/>
          <w:kern w:val="2"/>
        </w:rPr>
        <w:t>份基金份额反对，</w:t>
      </w:r>
      <w:r>
        <w:rPr>
          <w:rFonts w:cs="Arial"/>
          <w:color w:val="auto"/>
          <w:kern w:val="2"/>
        </w:rPr>
        <w:t>0</w:t>
      </w:r>
      <w:r>
        <w:rPr>
          <w:rFonts w:cs="Arial" w:hint="eastAsia"/>
          <w:color w:val="auto"/>
          <w:kern w:val="2"/>
        </w:rPr>
        <w:t>份基金份额弃权。同意本次大会议案的基金份额占参加本次大会的持有人所持基金份额总数的</w:t>
      </w:r>
      <w:r>
        <w:rPr>
          <w:rFonts w:cs="Arial"/>
          <w:color w:val="auto"/>
          <w:kern w:val="2"/>
        </w:rPr>
        <w:t>100</w:t>
      </w:r>
      <w:r>
        <w:rPr>
          <w:rFonts w:cs="Arial" w:hint="eastAsia"/>
          <w:color w:val="auto"/>
          <w:kern w:val="2"/>
        </w:rPr>
        <w:t>%，达到参加本次大会的基金份额持有人或其</w:t>
      </w:r>
      <w:r>
        <w:rPr>
          <w:rFonts w:cs="Arial"/>
          <w:color w:val="auto"/>
          <w:kern w:val="2"/>
        </w:rPr>
        <w:t>代理人</w:t>
      </w:r>
      <w:r>
        <w:rPr>
          <w:rFonts w:cs="Arial" w:hint="eastAsia"/>
          <w:color w:val="auto"/>
          <w:kern w:val="2"/>
        </w:rPr>
        <w:t>所持基金份额总数的</w:t>
      </w:r>
      <w:r>
        <w:rPr>
          <w:rFonts w:cs="Times New Roman" w:hint="eastAsia"/>
          <w:bCs/>
        </w:rPr>
        <w:t>三分之二</w:t>
      </w:r>
      <w:r>
        <w:rPr>
          <w:rFonts w:cs="Arial" w:hint="eastAsia"/>
          <w:color w:val="auto"/>
          <w:kern w:val="2"/>
        </w:rPr>
        <w:t>以上(含</w:t>
      </w:r>
      <w:r>
        <w:rPr>
          <w:rFonts w:cs="Times New Roman" w:hint="eastAsia"/>
          <w:bCs/>
        </w:rPr>
        <w:t>三分之二</w:t>
      </w:r>
      <w:r>
        <w:rPr>
          <w:rFonts w:cs="Arial"/>
          <w:color w:val="auto"/>
          <w:kern w:val="2"/>
        </w:rPr>
        <w:t>)</w:t>
      </w:r>
      <w:r>
        <w:rPr>
          <w:rFonts w:cs="Arial" w:hint="eastAsia"/>
          <w:color w:val="auto"/>
          <w:kern w:val="2"/>
        </w:rPr>
        <w:t>，符合《中华人民共和国证券投资基金法》、《公开募集证券投资基金运作管理办法》和《基金合同》的有关规定，《关于终止民生加银康利混合型证券投资基金基金合同有关事项的议案》获得通过。</w:t>
      </w:r>
    </w:p>
    <w:p w:rsidR="00470282" w:rsidRDefault="00572558">
      <w:pPr>
        <w:spacing w:line="360" w:lineRule="auto"/>
        <w:ind w:firstLineChars="200" w:firstLine="480"/>
        <w:rPr>
          <w:rFonts w:ascii="宋体"/>
          <w:sz w:val="24"/>
          <w:szCs w:val="24"/>
        </w:rPr>
      </w:pPr>
      <w:r>
        <w:rPr>
          <w:rFonts w:ascii="宋体" w:hint="eastAsia"/>
          <w:sz w:val="24"/>
          <w:szCs w:val="24"/>
        </w:rPr>
        <w:lastRenderedPageBreak/>
        <w:t>经本基金的</w:t>
      </w:r>
      <w:r>
        <w:rPr>
          <w:rFonts w:ascii="宋体"/>
          <w:sz w:val="24"/>
          <w:szCs w:val="24"/>
        </w:rPr>
        <w:t>基金托管人</w:t>
      </w:r>
      <w:r>
        <w:rPr>
          <w:rFonts w:ascii="宋体" w:hint="eastAsia"/>
          <w:sz w:val="24"/>
          <w:szCs w:val="24"/>
        </w:rPr>
        <w:t>中国光大银行股份有限公司</w:t>
      </w:r>
      <w:r>
        <w:rPr>
          <w:rFonts w:ascii="宋体"/>
          <w:sz w:val="24"/>
          <w:szCs w:val="24"/>
        </w:rPr>
        <w:t>确认，本次基金份额持有人大会费用明细如下表所示：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3364"/>
      </w:tblGrid>
      <w:tr w:rsidR="00470282" w:rsidTr="00380669">
        <w:trPr>
          <w:jc w:val="center"/>
        </w:trPr>
        <w:tc>
          <w:tcPr>
            <w:tcW w:w="3723" w:type="dxa"/>
          </w:tcPr>
          <w:p w:rsidR="00470282" w:rsidRDefault="00572558">
            <w:pPr>
              <w:spacing w:line="360" w:lineRule="auto"/>
              <w:rPr>
                <w:rFonts w:ascii="宋体"/>
                <w:b/>
                <w:bCs/>
                <w:sz w:val="24"/>
                <w:szCs w:val="24"/>
              </w:rPr>
            </w:pPr>
            <w:r>
              <w:rPr>
                <w:rFonts w:ascii="宋体" w:hint="eastAsia"/>
                <w:b/>
                <w:bCs/>
                <w:sz w:val="24"/>
                <w:szCs w:val="24"/>
              </w:rPr>
              <w:t>项目</w:t>
            </w:r>
          </w:p>
        </w:tc>
        <w:tc>
          <w:tcPr>
            <w:tcW w:w="3364" w:type="dxa"/>
          </w:tcPr>
          <w:p w:rsidR="00470282" w:rsidRDefault="00572558">
            <w:pPr>
              <w:spacing w:line="360" w:lineRule="auto"/>
              <w:rPr>
                <w:rFonts w:ascii="宋体"/>
                <w:b/>
                <w:bCs/>
                <w:sz w:val="24"/>
                <w:szCs w:val="24"/>
              </w:rPr>
            </w:pPr>
            <w:r>
              <w:rPr>
                <w:rFonts w:ascii="宋体" w:hint="eastAsia"/>
                <w:b/>
                <w:bCs/>
                <w:sz w:val="24"/>
                <w:szCs w:val="24"/>
              </w:rPr>
              <w:t>金额（单位：万元）</w:t>
            </w:r>
          </w:p>
        </w:tc>
      </w:tr>
      <w:tr w:rsidR="00470282" w:rsidTr="00380669">
        <w:trPr>
          <w:jc w:val="center"/>
        </w:trPr>
        <w:tc>
          <w:tcPr>
            <w:tcW w:w="3723" w:type="dxa"/>
          </w:tcPr>
          <w:p w:rsidR="00470282" w:rsidRDefault="00572558">
            <w:pPr>
              <w:spacing w:line="360" w:lineRule="auto"/>
              <w:rPr>
                <w:rFonts w:ascii="宋体"/>
                <w:b/>
                <w:bCs/>
                <w:sz w:val="24"/>
                <w:szCs w:val="24"/>
              </w:rPr>
            </w:pPr>
            <w:r>
              <w:rPr>
                <w:rFonts w:ascii="宋体" w:hint="eastAsia"/>
                <w:b/>
                <w:bCs/>
                <w:sz w:val="24"/>
                <w:szCs w:val="24"/>
              </w:rPr>
              <w:t>律师费</w:t>
            </w:r>
          </w:p>
        </w:tc>
        <w:tc>
          <w:tcPr>
            <w:tcW w:w="3364" w:type="dxa"/>
          </w:tcPr>
          <w:p w:rsidR="00470282" w:rsidRDefault="00572558">
            <w:pPr>
              <w:spacing w:line="360" w:lineRule="auto"/>
              <w:rPr>
                <w:rFonts w:ascii="宋体"/>
                <w:bCs/>
                <w:sz w:val="24"/>
                <w:szCs w:val="24"/>
              </w:rPr>
            </w:pPr>
            <w:r>
              <w:rPr>
                <w:rFonts w:ascii="宋体"/>
                <w:bCs/>
                <w:sz w:val="24"/>
                <w:szCs w:val="24"/>
              </w:rPr>
              <w:t>3</w:t>
            </w:r>
          </w:p>
        </w:tc>
      </w:tr>
      <w:tr w:rsidR="00470282" w:rsidTr="00380669">
        <w:trPr>
          <w:jc w:val="center"/>
        </w:trPr>
        <w:tc>
          <w:tcPr>
            <w:tcW w:w="3723" w:type="dxa"/>
          </w:tcPr>
          <w:p w:rsidR="00470282" w:rsidRDefault="00572558">
            <w:pPr>
              <w:spacing w:line="360" w:lineRule="auto"/>
              <w:rPr>
                <w:rFonts w:ascii="宋体"/>
                <w:b/>
                <w:bCs/>
                <w:sz w:val="24"/>
                <w:szCs w:val="24"/>
              </w:rPr>
            </w:pPr>
            <w:r>
              <w:rPr>
                <w:rFonts w:ascii="宋体" w:hint="eastAsia"/>
                <w:b/>
                <w:bCs/>
                <w:sz w:val="24"/>
                <w:szCs w:val="24"/>
              </w:rPr>
              <w:t>公证费</w:t>
            </w:r>
          </w:p>
        </w:tc>
        <w:tc>
          <w:tcPr>
            <w:tcW w:w="3364" w:type="dxa"/>
          </w:tcPr>
          <w:p w:rsidR="00470282" w:rsidRDefault="00572558">
            <w:pPr>
              <w:spacing w:line="360" w:lineRule="auto"/>
              <w:rPr>
                <w:rFonts w:ascii="宋体"/>
                <w:bCs/>
                <w:sz w:val="24"/>
                <w:szCs w:val="24"/>
              </w:rPr>
            </w:pPr>
            <w:r>
              <w:rPr>
                <w:rFonts w:ascii="宋体" w:hint="eastAsia"/>
                <w:bCs/>
                <w:sz w:val="24"/>
                <w:szCs w:val="24"/>
              </w:rPr>
              <w:t>1</w:t>
            </w:r>
          </w:p>
        </w:tc>
      </w:tr>
      <w:tr w:rsidR="00470282" w:rsidTr="00380669">
        <w:trPr>
          <w:jc w:val="center"/>
        </w:trPr>
        <w:tc>
          <w:tcPr>
            <w:tcW w:w="3723" w:type="dxa"/>
          </w:tcPr>
          <w:p w:rsidR="00470282" w:rsidRDefault="00572558">
            <w:pPr>
              <w:spacing w:line="360" w:lineRule="auto"/>
              <w:rPr>
                <w:rFonts w:ascii="宋体"/>
                <w:b/>
                <w:bCs/>
                <w:sz w:val="24"/>
                <w:szCs w:val="24"/>
              </w:rPr>
            </w:pPr>
            <w:r>
              <w:rPr>
                <w:rFonts w:ascii="宋体" w:hint="eastAsia"/>
                <w:b/>
                <w:bCs/>
                <w:sz w:val="24"/>
                <w:szCs w:val="24"/>
              </w:rPr>
              <w:t>合计</w:t>
            </w:r>
          </w:p>
        </w:tc>
        <w:tc>
          <w:tcPr>
            <w:tcW w:w="3364" w:type="dxa"/>
          </w:tcPr>
          <w:p w:rsidR="00470282" w:rsidRDefault="00572558">
            <w:pPr>
              <w:spacing w:line="360" w:lineRule="auto"/>
              <w:rPr>
                <w:rFonts w:ascii="宋体"/>
                <w:bCs/>
                <w:sz w:val="24"/>
                <w:szCs w:val="24"/>
              </w:rPr>
            </w:pPr>
            <w:r>
              <w:rPr>
                <w:rFonts w:ascii="宋体"/>
                <w:bCs/>
                <w:sz w:val="24"/>
                <w:szCs w:val="24"/>
              </w:rPr>
              <w:t>4</w:t>
            </w:r>
          </w:p>
        </w:tc>
      </w:tr>
    </w:tbl>
    <w:p w:rsidR="00470282" w:rsidRDefault="00572558">
      <w:pPr>
        <w:pStyle w:val="a3"/>
        <w:spacing w:line="360" w:lineRule="auto"/>
        <w:ind w:firstLineChars="200" w:firstLine="480"/>
      </w:pPr>
      <w:r>
        <w:t>本次基金份额持有人大会费用由</w:t>
      </w:r>
      <w:r>
        <w:rPr>
          <w:rFonts w:cs="Cambria Math" w:hint="eastAsia"/>
        </w:rPr>
        <w:t>民生加银基金管理有限公司</w:t>
      </w:r>
      <w:r>
        <w:t xml:space="preserve">承担。 </w:t>
      </w:r>
    </w:p>
    <w:p w:rsidR="00470282" w:rsidRDefault="00470282">
      <w:pPr>
        <w:spacing w:line="360" w:lineRule="auto"/>
        <w:ind w:firstLineChars="200" w:firstLine="480"/>
        <w:rPr>
          <w:rFonts w:ascii="宋体"/>
          <w:sz w:val="24"/>
          <w:szCs w:val="24"/>
        </w:rPr>
      </w:pPr>
    </w:p>
    <w:p w:rsidR="00470282" w:rsidRDefault="00572558">
      <w:pPr>
        <w:pStyle w:val="a4"/>
        <w:numPr>
          <w:ilvl w:val="0"/>
          <w:numId w:val="1"/>
        </w:numPr>
        <w:spacing w:line="360" w:lineRule="auto"/>
        <w:ind w:firstLineChars="0"/>
        <w:rPr>
          <w:rFonts w:ascii="宋体"/>
          <w:b/>
          <w:bCs/>
          <w:sz w:val="24"/>
          <w:szCs w:val="24"/>
        </w:rPr>
      </w:pPr>
      <w:r>
        <w:rPr>
          <w:rFonts w:ascii="宋体" w:hint="eastAsia"/>
          <w:b/>
          <w:bCs/>
          <w:sz w:val="24"/>
          <w:szCs w:val="24"/>
        </w:rPr>
        <w:t>基金份额持有人大会决议生效情况</w:t>
      </w:r>
      <w:r>
        <w:rPr>
          <w:rFonts w:ascii="宋体"/>
          <w:b/>
          <w:bCs/>
          <w:sz w:val="24"/>
          <w:szCs w:val="24"/>
        </w:rPr>
        <w:t xml:space="preserve"> </w:t>
      </w:r>
    </w:p>
    <w:p w:rsidR="00470282" w:rsidRDefault="00572558">
      <w:pPr>
        <w:spacing w:line="360" w:lineRule="auto"/>
        <w:ind w:firstLineChars="200" w:firstLine="480"/>
        <w:rPr>
          <w:rFonts w:ascii="宋体"/>
          <w:sz w:val="24"/>
          <w:szCs w:val="24"/>
        </w:rPr>
      </w:pPr>
      <w:r>
        <w:rPr>
          <w:rFonts w:ascii="宋体" w:hint="eastAsia"/>
          <w:sz w:val="24"/>
          <w:szCs w:val="24"/>
        </w:rPr>
        <w:t>根据《公开募集证券投资基金运作管理办法》中</w:t>
      </w:r>
      <w:r w:rsidR="00BE2063">
        <w:rPr>
          <w:rFonts w:ascii="宋体" w:hint="eastAsia"/>
          <w:sz w:val="24"/>
          <w:szCs w:val="24"/>
        </w:rPr>
        <w:t>“</w:t>
      </w:r>
      <w:r>
        <w:rPr>
          <w:rFonts w:ascii="宋体" w:hint="eastAsia"/>
          <w:sz w:val="24"/>
          <w:szCs w:val="24"/>
        </w:rPr>
        <w:t>基金份额持有人大会决定的事项自表决通过之日起生效</w:t>
      </w:r>
      <w:r w:rsidR="00BE2063">
        <w:rPr>
          <w:rFonts w:ascii="宋体" w:hint="eastAsia"/>
          <w:sz w:val="24"/>
          <w:szCs w:val="24"/>
        </w:rPr>
        <w:t>”</w:t>
      </w:r>
      <w:r>
        <w:rPr>
          <w:rFonts w:ascii="宋体" w:hint="eastAsia"/>
          <w:sz w:val="24"/>
          <w:szCs w:val="24"/>
        </w:rPr>
        <w:t>的规定，本次基金份额持有人大会决议自</w:t>
      </w:r>
      <w:r>
        <w:rPr>
          <w:rFonts w:ascii="宋体"/>
          <w:sz w:val="24"/>
          <w:szCs w:val="24"/>
        </w:rPr>
        <w:t>2022年4月8日</w:t>
      </w:r>
      <w:r>
        <w:rPr>
          <w:rFonts w:ascii="宋体" w:hint="eastAsia"/>
          <w:sz w:val="24"/>
          <w:szCs w:val="24"/>
        </w:rPr>
        <w:t>起生效，基金管理人将</w:t>
      </w:r>
      <w:r>
        <w:rPr>
          <w:rFonts w:ascii="宋体"/>
          <w:sz w:val="24"/>
          <w:szCs w:val="24"/>
        </w:rPr>
        <w:t>自</w:t>
      </w:r>
      <w:r>
        <w:rPr>
          <w:rFonts w:ascii="宋体" w:hint="eastAsia"/>
          <w:sz w:val="24"/>
          <w:szCs w:val="24"/>
        </w:rPr>
        <w:t>决议</w:t>
      </w:r>
      <w:r>
        <w:rPr>
          <w:rFonts w:ascii="宋体"/>
          <w:sz w:val="24"/>
          <w:szCs w:val="24"/>
        </w:rPr>
        <w:t>生效之日</w:t>
      </w:r>
      <w:r>
        <w:rPr>
          <w:rFonts w:ascii="宋体" w:hint="eastAsia"/>
          <w:sz w:val="24"/>
          <w:szCs w:val="24"/>
        </w:rPr>
        <w:t>起五日内向中国证监会备案。本次基金份额持有人大会决议内容如下：</w:t>
      </w:r>
      <w:r>
        <w:rPr>
          <w:rFonts w:ascii="宋体"/>
          <w:sz w:val="24"/>
          <w:szCs w:val="24"/>
        </w:rPr>
        <w:t xml:space="preserve"> </w:t>
      </w:r>
    </w:p>
    <w:p w:rsidR="00470282" w:rsidRDefault="00572558">
      <w:pPr>
        <w:spacing w:line="360" w:lineRule="auto"/>
        <w:ind w:firstLineChars="200" w:firstLine="480"/>
        <w:rPr>
          <w:rFonts w:ascii="宋体"/>
          <w:sz w:val="24"/>
          <w:szCs w:val="24"/>
        </w:rPr>
      </w:pPr>
      <w:r>
        <w:rPr>
          <w:rFonts w:ascii="宋体" w:hint="eastAsia"/>
          <w:sz w:val="24"/>
          <w:szCs w:val="24"/>
        </w:rPr>
        <w:t>根据《中华人民共和国证券投资基金法》、《公开募集证券投资基金运作管理办法》和《基金合同》等有关规定，同意终止本基金《基金合同》并进行基金财产的清算。</w:t>
      </w:r>
    </w:p>
    <w:p w:rsidR="00470282" w:rsidRDefault="00470282">
      <w:pPr>
        <w:spacing w:line="360" w:lineRule="auto"/>
        <w:ind w:firstLineChars="200" w:firstLine="480"/>
        <w:rPr>
          <w:rFonts w:ascii="宋体"/>
          <w:sz w:val="24"/>
          <w:szCs w:val="24"/>
        </w:rPr>
      </w:pPr>
    </w:p>
    <w:p w:rsidR="00470282" w:rsidRDefault="00572558">
      <w:pPr>
        <w:pStyle w:val="a4"/>
        <w:numPr>
          <w:ilvl w:val="0"/>
          <w:numId w:val="1"/>
        </w:numPr>
        <w:spacing w:line="360" w:lineRule="auto"/>
        <w:ind w:firstLineChars="0"/>
        <w:rPr>
          <w:rFonts w:ascii="宋体"/>
          <w:b/>
          <w:bCs/>
          <w:sz w:val="24"/>
          <w:szCs w:val="24"/>
        </w:rPr>
      </w:pPr>
      <w:r>
        <w:rPr>
          <w:rFonts w:ascii="宋体" w:hint="eastAsia"/>
          <w:b/>
          <w:bCs/>
          <w:sz w:val="24"/>
          <w:szCs w:val="24"/>
        </w:rPr>
        <w:t>基金份额持有人大会决议事项实施情况</w:t>
      </w:r>
      <w:r>
        <w:rPr>
          <w:rFonts w:ascii="宋体"/>
          <w:b/>
          <w:bCs/>
          <w:sz w:val="24"/>
          <w:szCs w:val="24"/>
        </w:rPr>
        <w:t xml:space="preserve"> </w:t>
      </w:r>
    </w:p>
    <w:p w:rsidR="00470282" w:rsidRDefault="00572558">
      <w:pPr>
        <w:spacing w:line="360" w:lineRule="auto"/>
        <w:ind w:firstLineChars="200" w:firstLine="480"/>
        <w:rPr>
          <w:rFonts w:ascii="宋体"/>
          <w:sz w:val="24"/>
          <w:szCs w:val="24"/>
        </w:rPr>
      </w:pPr>
      <w:r>
        <w:rPr>
          <w:rFonts w:ascii="宋体" w:hint="eastAsia"/>
          <w:sz w:val="24"/>
          <w:szCs w:val="24"/>
        </w:rPr>
        <w:t>（一）决议生效后相关业务办理情况</w:t>
      </w:r>
      <w:r>
        <w:rPr>
          <w:rFonts w:ascii="宋体"/>
          <w:sz w:val="24"/>
          <w:szCs w:val="24"/>
        </w:rPr>
        <w:t xml:space="preserve"> </w:t>
      </w:r>
    </w:p>
    <w:p w:rsidR="00470282" w:rsidRDefault="00572558">
      <w:pPr>
        <w:spacing w:line="360" w:lineRule="auto"/>
        <w:ind w:firstLineChars="201" w:firstLine="482"/>
        <w:rPr>
          <w:rFonts w:ascii="宋体"/>
          <w:sz w:val="24"/>
          <w:szCs w:val="24"/>
        </w:rPr>
      </w:pPr>
      <w:r>
        <w:rPr>
          <w:rFonts w:ascii="宋体" w:hint="eastAsia"/>
          <w:sz w:val="24"/>
          <w:szCs w:val="24"/>
        </w:rPr>
        <w:t>本次基金份额持有人大会决议生效日后的第一个工作日即</w:t>
      </w:r>
      <w:r>
        <w:rPr>
          <w:rFonts w:ascii="宋体"/>
          <w:sz w:val="24"/>
          <w:szCs w:val="24"/>
        </w:rPr>
        <w:t>2022年4月11日</w:t>
      </w:r>
      <w:r>
        <w:rPr>
          <w:rFonts w:ascii="宋体" w:hint="eastAsia"/>
          <w:sz w:val="24"/>
          <w:szCs w:val="24"/>
        </w:rPr>
        <w:t>为本基金最后运作日，本基金将于</w:t>
      </w:r>
      <w:r>
        <w:rPr>
          <w:rFonts w:ascii="宋体"/>
          <w:sz w:val="24"/>
          <w:szCs w:val="24"/>
        </w:rPr>
        <w:t>2022年4月11日</w:t>
      </w:r>
      <w:r>
        <w:rPr>
          <w:rFonts w:ascii="宋体" w:hint="eastAsia"/>
          <w:sz w:val="24"/>
          <w:szCs w:val="24"/>
        </w:rPr>
        <w:t>起，停止办理申购、赎回、转换和定期定额投资等业务，且之后不再恢复。本基金将于</w:t>
      </w:r>
      <w:r>
        <w:rPr>
          <w:rFonts w:ascii="宋体"/>
          <w:sz w:val="24"/>
          <w:szCs w:val="24"/>
        </w:rPr>
        <w:t>2022年4月12日</w:t>
      </w:r>
      <w:r>
        <w:rPr>
          <w:rFonts w:ascii="宋体" w:hint="eastAsia"/>
          <w:sz w:val="24"/>
          <w:szCs w:val="24"/>
        </w:rPr>
        <w:t>进入清算程序。进入基金财产清算程序后，停止收取基金管理费和基金托管费。</w:t>
      </w:r>
    </w:p>
    <w:p w:rsidR="00470282" w:rsidRDefault="00572558">
      <w:pPr>
        <w:spacing w:line="360" w:lineRule="auto"/>
        <w:ind w:firstLineChars="200" w:firstLine="480"/>
        <w:rPr>
          <w:rFonts w:ascii="宋体"/>
          <w:sz w:val="24"/>
          <w:szCs w:val="24"/>
        </w:rPr>
      </w:pPr>
      <w:r>
        <w:rPr>
          <w:rFonts w:ascii="宋体" w:hint="eastAsia"/>
          <w:sz w:val="24"/>
          <w:szCs w:val="24"/>
        </w:rPr>
        <w:t>（二）基金财产的清算</w:t>
      </w:r>
      <w:r>
        <w:rPr>
          <w:rFonts w:ascii="宋体"/>
          <w:sz w:val="24"/>
          <w:szCs w:val="24"/>
        </w:rPr>
        <w:t xml:space="preserve"> </w:t>
      </w:r>
    </w:p>
    <w:p w:rsidR="00470282" w:rsidRDefault="00572558">
      <w:pPr>
        <w:spacing w:line="360" w:lineRule="auto"/>
        <w:ind w:firstLineChars="201" w:firstLine="482"/>
        <w:rPr>
          <w:rFonts w:ascii="宋体"/>
          <w:sz w:val="24"/>
          <w:szCs w:val="24"/>
        </w:rPr>
      </w:pPr>
      <w:r>
        <w:rPr>
          <w:rFonts w:ascii="宋体" w:hint="eastAsia"/>
          <w:sz w:val="24"/>
          <w:szCs w:val="24"/>
        </w:rPr>
        <w:t>1、基金财产清算小组：自出现《基金合同》终止事由之日起30个工作日内成立基金财产清算小组，基金管理人组织基金财产清算小组并在中国证监会的监督下进行基金清算。</w:t>
      </w:r>
    </w:p>
    <w:p w:rsidR="00470282" w:rsidRDefault="00572558">
      <w:pPr>
        <w:spacing w:line="360" w:lineRule="auto"/>
        <w:ind w:firstLineChars="201" w:firstLine="482"/>
        <w:rPr>
          <w:rFonts w:ascii="宋体"/>
          <w:sz w:val="24"/>
          <w:szCs w:val="24"/>
        </w:rPr>
      </w:pPr>
      <w:r>
        <w:rPr>
          <w:rFonts w:ascii="宋体" w:hint="eastAsia"/>
          <w:sz w:val="24"/>
          <w:szCs w:val="24"/>
        </w:rPr>
        <w:t>2、基金财产清算小组组成：基金财产清算小组成员由基金管理人、基金托</w:t>
      </w:r>
      <w:r>
        <w:rPr>
          <w:rFonts w:ascii="宋体" w:hint="eastAsia"/>
          <w:sz w:val="24"/>
          <w:szCs w:val="24"/>
        </w:rPr>
        <w:lastRenderedPageBreak/>
        <w:t>管人、符合《中华人民共和国证券法》规定的注册会计师、律师以及中国证监会指定的人员组成。基金财产清算小组可以聘用必要的工作人员。</w:t>
      </w:r>
    </w:p>
    <w:p w:rsidR="00470282" w:rsidRDefault="00572558">
      <w:pPr>
        <w:spacing w:line="360" w:lineRule="auto"/>
        <w:ind w:firstLineChars="201" w:firstLine="482"/>
        <w:rPr>
          <w:rFonts w:ascii="宋体"/>
          <w:sz w:val="24"/>
          <w:szCs w:val="24"/>
        </w:rPr>
      </w:pPr>
      <w:r>
        <w:rPr>
          <w:rFonts w:ascii="宋体" w:hint="eastAsia"/>
          <w:sz w:val="24"/>
          <w:szCs w:val="24"/>
        </w:rPr>
        <w:t>3、基金财产清算小组职责：基金财产清算小组负责基金财产的保管、清理、估价、变现和分配。基金财产清算小组可以依法进行必要的民事活动。</w:t>
      </w:r>
    </w:p>
    <w:p w:rsidR="00470282" w:rsidRDefault="00572558">
      <w:pPr>
        <w:spacing w:line="360" w:lineRule="auto"/>
        <w:ind w:firstLineChars="201" w:firstLine="482"/>
        <w:rPr>
          <w:rFonts w:ascii="宋体"/>
          <w:sz w:val="24"/>
          <w:szCs w:val="24"/>
        </w:rPr>
      </w:pPr>
      <w:r>
        <w:rPr>
          <w:rFonts w:ascii="宋体" w:hint="eastAsia"/>
          <w:sz w:val="24"/>
          <w:szCs w:val="24"/>
        </w:rPr>
        <w:t>4、基金财产清算程序：</w:t>
      </w:r>
    </w:p>
    <w:p w:rsidR="00470282" w:rsidRDefault="00572558">
      <w:pPr>
        <w:spacing w:line="360" w:lineRule="auto"/>
        <w:ind w:firstLineChars="201" w:firstLine="482"/>
        <w:rPr>
          <w:rFonts w:ascii="宋体"/>
          <w:sz w:val="24"/>
          <w:szCs w:val="24"/>
        </w:rPr>
      </w:pPr>
      <w:r>
        <w:rPr>
          <w:rFonts w:ascii="宋体" w:hint="eastAsia"/>
          <w:sz w:val="24"/>
          <w:szCs w:val="24"/>
        </w:rPr>
        <w:t>（1）《基金合同》终止情形出现时，由基金财产清算小组统一接管基金；</w:t>
      </w:r>
    </w:p>
    <w:p w:rsidR="00470282" w:rsidRDefault="00572558">
      <w:pPr>
        <w:spacing w:line="360" w:lineRule="auto"/>
        <w:ind w:firstLineChars="201" w:firstLine="482"/>
        <w:rPr>
          <w:rFonts w:ascii="宋体"/>
          <w:sz w:val="24"/>
          <w:szCs w:val="24"/>
        </w:rPr>
      </w:pPr>
      <w:r>
        <w:rPr>
          <w:rFonts w:ascii="宋体" w:hint="eastAsia"/>
          <w:sz w:val="24"/>
          <w:szCs w:val="24"/>
        </w:rPr>
        <w:t>（2）对基金财产和债权债务进行清理和确认；</w:t>
      </w:r>
    </w:p>
    <w:p w:rsidR="00470282" w:rsidRDefault="00572558">
      <w:pPr>
        <w:spacing w:line="360" w:lineRule="auto"/>
        <w:ind w:firstLineChars="201" w:firstLine="482"/>
        <w:rPr>
          <w:rFonts w:ascii="宋体"/>
          <w:sz w:val="24"/>
          <w:szCs w:val="24"/>
        </w:rPr>
      </w:pPr>
      <w:r>
        <w:rPr>
          <w:rFonts w:ascii="宋体" w:hint="eastAsia"/>
          <w:sz w:val="24"/>
          <w:szCs w:val="24"/>
        </w:rPr>
        <w:t>（3）对基金财产进行估值和变现；</w:t>
      </w:r>
    </w:p>
    <w:p w:rsidR="00470282" w:rsidRDefault="00572558">
      <w:pPr>
        <w:spacing w:line="360" w:lineRule="auto"/>
        <w:ind w:firstLineChars="201" w:firstLine="482"/>
        <w:rPr>
          <w:rFonts w:ascii="宋体"/>
          <w:sz w:val="24"/>
          <w:szCs w:val="24"/>
        </w:rPr>
      </w:pPr>
      <w:r>
        <w:rPr>
          <w:rFonts w:ascii="宋体" w:hint="eastAsia"/>
          <w:sz w:val="24"/>
          <w:szCs w:val="24"/>
        </w:rPr>
        <w:t>（4）制作清算报告；</w:t>
      </w:r>
    </w:p>
    <w:p w:rsidR="00470282" w:rsidRDefault="00572558">
      <w:pPr>
        <w:spacing w:line="360" w:lineRule="auto"/>
        <w:ind w:firstLineChars="201" w:firstLine="482"/>
        <w:rPr>
          <w:rFonts w:ascii="宋体"/>
          <w:sz w:val="24"/>
          <w:szCs w:val="24"/>
        </w:rPr>
      </w:pPr>
      <w:r>
        <w:rPr>
          <w:rFonts w:ascii="宋体" w:hint="eastAsia"/>
          <w:sz w:val="24"/>
          <w:szCs w:val="24"/>
        </w:rPr>
        <w:t>（5）聘请会计师事务所对清算报告进行外部审计，聘请律师事务所对清算报告出具法律意见书；</w:t>
      </w:r>
    </w:p>
    <w:p w:rsidR="00470282" w:rsidRDefault="00572558">
      <w:pPr>
        <w:spacing w:line="360" w:lineRule="auto"/>
        <w:ind w:firstLineChars="201" w:firstLine="482"/>
        <w:rPr>
          <w:rFonts w:ascii="宋体"/>
          <w:sz w:val="24"/>
          <w:szCs w:val="24"/>
        </w:rPr>
      </w:pPr>
      <w:r>
        <w:rPr>
          <w:rFonts w:ascii="宋体" w:hint="eastAsia"/>
          <w:sz w:val="24"/>
          <w:szCs w:val="24"/>
        </w:rPr>
        <w:t>（6）将清算报告报中国证监会备案并公告；</w:t>
      </w:r>
    </w:p>
    <w:p w:rsidR="00470282" w:rsidRDefault="00572558">
      <w:pPr>
        <w:spacing w:line="360" w:lineRule="auto"/>
        <w:ind w:firstLineChars="201" w:firstLine="482"/>
        <w:rPr>
          <w:rFonts w:ascii="宋体"/>
          <w:sz w:val="24"/>
          <w:szCs w:val="24"/>
        </w:rPr>
      </w:pPr>
      <w:r>
        <w:rPr>
          <w:rFonts w:ascii="宋体" w:hint="eastAsia"/>
          <w:sz w:val="24"/>
          <w:szCs w:val="24"/>
        </w:rPr>
        <w:t>（7）对基金剩余财产进行分配。</w:t>
      </w:r>
    </w:p>
    <w:p w:rsidR="00470282" w:rsidRDefault="00572558">
      <w:pPr>
        <w:spacing w:line="360" w:lineRule="auto"/>
        <w:ind w:firstLineChars="201" w:firstLine="482"/>
        <w:rPr>
          <w:rFonts w:ascii="宋体"/>
          <w:sz w:val="24"/>
          <w:szCs w:val="24"/>
        </w:rPr>
      </w:pPr>
      <w:r>
        <w:rPr>
          <w:rFonts w:ascii="宋体" w:hint="eastAsia"/>
          <w:sz w:val="24"/>
          <w:szCs w:val="24"/>
        </w:rPr>
        <w:t>5、基金财产清算的期限为6个月，但因本基金所持证券的流动性受到限制而不能及时变现的，基金管理人可在该等证券可流通后进行二次或多次清算。本基金的清算期限自动顺延至全部基金财产清算完毕之日。</w:t>
      </w:r>
    </w:p>
    <w:p w:rsidR="00470282" w:rsidRDefault="00572558">
      <w:pPr>
        <w:spacing w:line="360" w:lineRule="auto"/>
        <w:ind w:firstLineChars="201" w:firstLine="482"/>
        <w:rPr>
          <w:rFonts w:ascii="宋体"/>
          <w:sz w:val="24"/>
          <w:szCs w:val="24"/>
        </w:rPr>
      </w:pPr>
      <w:r>
        <w:rPr>
          <w:rFonts w:ascii="宋体"/>
          <w:sz w:val="24"/>
          <w:szCs w:val="24"/>
        </w:rPr>
        <w:t>6</w:t>
      </w:r>
      <w:r>
        <w:rPr>
          <w:rFonts w:ascii="宋体" w:hint="eastAsia"/>
          <w:sz w:val="24"/>
          <w:szCs w:val="24"/>
        </w:rPr>
        <w:t>、清算费用</w:t>
      </w:r>
    </w:p>
    <w:p w:rsidR="00470282" w:rsidRDefault="00572558">
      <w:pPr>
        <w:spacing w:line="360" w:lineRule="auto"/>
        <w:ind w:firstLineChars="201" w:firstLine="482"/>
        <w:rPr>
          <w:rFonts w:ascii="宋体"/>
          <w:sz w:val="24"/>
          <w:szCs w:val="24"/>
        </w:rPr>
      </w:pPr>
      <w:r>
        <w:rPr>
          <w:rFonts w:ascii="宋体" w:hint="eastAsia"/>
          <w:sz w:val="24"/>
          <w:szCs w:val="24"/>
        </w:rPr>
        <w:t>按照《基金合同》“第十九</w:t>
      </w:r>
      <w:r>
        <w:rPr>
          <w:rFonts w:ascii="宋体"/>
          <w:sz w:val="24"/>
          <w:szCs w:val="24"/>
        </w:rPr>
        <w:t>部分</w:t>
      </w:r>
      <w:r>
        <w:rPr>
          <w:rFonts w:ascii="宋体" w:hint="eastAsia"/>
          <w:sz w:val="24"/>
          <w:szCs w:val="24"/>
        </w:rPr>
        <w:t>基金合同的变更、终止与基金财产的清算”的约定，清算费用是指基金财产清算小组在进行基金清算过程中发生的所有合理费用，清算费用由基金财产清算小组优先从基金剩余财产中支付。</w:t>
      </w:r>
    </w:p>
    <w:p w:rsidR="00470282" w:rsidRDefault="00572558">
      <w:pPr>
        <w:spacing w:line="360" w:lineRule="auto"/>
        <w:ind w:firstLineChars="201" w:firstLine="482"/>
        <w:rPr>
          <w:rFonts w:ascii="宋体"/>
          <w:sz w:val="24"/>
          <w:szCs w:val="24"/>
        </w:rPr>
      </w:pPr>
      <w:r>
        <w:rPr>
          <w:rFonts w:ascii="宋体" w:hint="eastAsia"/>
          <w:sz w:val="24"/>
          <w:szCs w:val="24"/>
        </w:rPr>
        <w:t>7、基金财产清算剩余资产的分配</w:t>
      </w:r>
    </w:p>
    <w:p w:rsidR="00470282" w:rsidRDefault="00572558">
      <w:pPr>
        <w:spacing w:line="360" w:lineRule="auto"/>
        <w:ind w:firstLineChars="201" w:firstLine="482"/>
        <w:rPr>
          <w:rFonts w:ascii="宋体"/>
          <w:sz w:val="24"/>
          <w:szCs w:val="24"/>
        </w:rPr>
      </w:pPr>
      <w:r>
        <w:rPr>
          <w:rFonts w:ascii="宋体" w:hint="eastAsia"/>
          <w:sz w:val="24"/>
          <w:szCs w:val="24"/>
        </w:rPr>
        <w:t>依据基金财产清算的分配方案，将基金财产清算后的全部剩余资产扣除基金财产清算费用、交纳所欠税款并清偿基金债务后，按基金份额持有人持有的基金份额比例进行分配。</w:t>
      </w:r>
    </w:p>
    <w:p w:rsidR="00470282" w:rsidRDefault="00572558">
      <w:pPr>
        <w:spacing w:line="360" w:lineRule="auto"/>
        <w:ind w:firstLineChars="201" w:firstLine="482"/>
        <w:rPr>
          <w:rFonts w:ascii="宋体"/>
          <w:sz w:val="24"/>
          <w:szCs w:val="24"/>
        </w:rPr>
      </w:pPr>
      <w:r>
        <w:rPr>
          <w:rFonts w:ascii="宋体" w:hint="eastAsia"/>
          <w:sz w:val="24"/>
          <w:szCs w:val="24"/>
        </w:rPr>
        <w:t>8、基金财产清算的公告</w:t>
      </w:r>
    </w:p>
    <w:p w:rsidR="00470282" w:rsidRDefault="00572558">
      <w:pPr>
        <w:spacing w:line="360" w:lineRule="auto"/>
        <w:ind w:firstLineChars="201" w:firstLine="482"/>
        <w:rPr>
          <w:rFonts w:ascii="宋体"/>
          <w:sz w:val="24"/>
          <w:szCs w:val="24"/>
        </w:rPr>
      </w:pPr>
      <w:r>
        <w:rPr>
          <w:rFonts w:ascii="宋体" w:hint="eastAsia"/>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rsidR="00470282" w:rsidRDefault="00572558">
      <w:pPr>
        <w:spacing w:line="360" w:lineRule="auto"/>
        <w:ind w:firstLineChars="201" w:firstLine="482"/>
        <w:rPr>
          <w:rFonts w:ascii="宋体"/>
          <w:sz w:val="24"/>
          <w:szCs w:val="24"/>
        </w:rPr>
      </w:pPr>
      <w:r>
        <w:rPr>
          <w:rFonts w:ascii="宋体" w:hint="eastAsia"/>
          <w:sz w:val="24"/>
          <w:szCs w:val="24"/>
        </w:rPr>
        <w:t>9、基金财产清算账册及文件的保存</w:t>
      </w:r>
    </w:p>
    <w:p w:rsidR="00470282" w:rsidRDefault="00572558">
      <w:pPr>
        <w:spacing w:line="360" w:lineRule="auto"/>
        <w:ind w:firstLineChars="201" w:firstLine="482"/>
        <w:rPr>
          <w:rFonts w:ascii="宋体"/>
          <w:sz w:val="24"/>
          <w:szCs w:val="24"/>
        </w:rPr>
      </w:pPr>
      <w:r>
        <w:rPr>
          <w:rFonts w:ascii="宋体" w:hint="eastAsia"/>
          <w:sz w:val="24"/>
          <w:szCs w:val="24"/>
        </w:rPr>
        <w:t>基金财产清算账册及有关文件由基金托管人保存不低于法律法规规定的最低期限。</w:t>
      </w:r>
    </w:p>
    <w:p w:rsidR="005D0E54" w:rsidRDefault="005D0E54">
      <w:pPr>
        <w:spacing w:line="360" w:lineRule="auto"/>
        <w:ind w:firstLineChars="201" w:firstLine="482"/>
        <w:rPr>
          <w:rFonts w:ascii="宋体"/>
          <w:sz w:val="24"/>
          <w:szCs w:val="24"/>
        </w:rPr>
      </w:pPr>
      <w:bookmarkStart w:id="0" w:name="_GoBack"/>
      <w:bookmarkEnd w:id="0"/>
    </w:p>
    <w:p w:rsidR="00470282" w:rsidRDefault="00572558">
      <w:pPr>
        <w:pStyle w:val="a4"/>
        <w:numPr>
          <w:ilvl w:val="0"/>
          <w:numId w:val="1"/>
        </w:numPr>
        <w:spacing w:line="360" w:lineRule="auto"/>
        <w:ind w:firstLineChars="0"/>
        <w:rPr>
          <w:rFonts w:ascii="宋体"/>
          <w:b/>
          <w:bCs/>
          <w:sz w:val="24"/>
          <w:szCs w:val="24"/>
        </w:rPr>
      </w:pPr>
      <w:r>
        <w:rPr>
          <w:rFonts w:ascii="宋体" w:hint="eastAsia"/>
          <w:b/>
          <w:bCs/>
          <w:sz w:val="24"/>
          <w:szCs w:val="24"/>
        </w:rPr>
        <w:t>备查文件</w:t>
      </w:r>
      <w:r>
        <w:rPr>
          <w:rFonts w:ascii="宋体"/>
          <w:b/>
          <w:bCs/>
          <w:sz w:val="24"/>
          <w:szCs w:val="24"/>
        </w:rPr>
        <w:t xml:space="preserve"> </w:t>
      </w:r>
    </w:p>
    <w:p w:rsidR="00470282" w:rsidRDefault="00572558">
      <w:pPr>
        <w:pStyle w:val="a4"/>
        <w:spacing w:line="360" w:lineRule="auto"/>
        <w:ind w:leftChars="-1" w:left="-2" w:firstLine="480"/>
        <w:jc w:val="left"/>
        <w:rPr>
          <w:rFonts w:ascii="宋体"/>
          <w:sz w:val="24"/>
          <w:szCs w:val="24"/>
        </w:rPr>
      </w:pPr>
      <w:r>
        <w:rPr>
          <w:rFonts w:ascii="宋体"/>
          <w:sz w:val="24"/>
          <w:szCs w:val="24"/>
        </w:rPr>
        <w:t>1、《</w:t>
      </w:r>
      <w:r>
        <w:rPr>
          <w:rFonts w:ascii="宋体" w:hint="eastAsia"/>
          <w:sz w:val="24"/>
          <w:szCs w:val="24"/>
        </w:rPr>
        <w:t>关于以通讯开会方式召开</w:t>
      </w:r>
      <w:r>
        <w:rPr>
          <w:rFonts w:ascii="宋体" w:cs="Times New Roman" w:hint="eastAsia"/>
          <w:bCs/>
          <w:sz w:val="24"/>
          <w:szCs w:val="24"/>
        </w:rPr>
        <w:t>民生加银康利混合型证券投资基金</w:t>
      </w:r>
      <w:r>
        <w:rPr>
          <w:rFonts w:ascii="宋体" w:hint="eastAsia"/>
          <w:sz w:val="24"/>
          <w:szCs w:val="24"/>
        </w:rPr>
        <w:t>基金份额持有人大会的公告</w:t>
      </w:r>
      <w:r>
        <w:rPr>
          <w:rFonts w:ascii="宋体"/>
          <w:sz w:val="24"/>
          <w:szCs w:val="24"/>
        </w:rPr>
        <w:t xml:space="preserve">》 </w:t>
      </w:r>
    </w:p>
    <w:p w:rsidR="00470282" w:rsidRDefault="00572558">
      <w:pPr>
        <w:pStyle w:val="a4"/>
        <w:spacing w:line="360" w:lineRule="auto"/>
        <w:ind w:leftChars="-1" w:left="-2" w:firstLine="480"/>
        <w:rPr>
          <w:rFonts w:ascii="宋体"/>
          <w:sz w:val="24"/>
          <w:szCs w:val="24"/>
        </w:rPr>
      </w:pPr>
      <w:r>
        <w:rPr>
          <w:rFonts w:ascii="宋体"/>
          <w:sz w:val="24"/>
          <w:szCs w:val="24"/>
        </w:rPr>
        <w:t>2、《</w:t>
      </w:r>
      <w:r>
        <w:rPr>
          <w:rFonts w:ascii="宋体" w:hint="eastAsia"/>
          <w:sz w:val="24"/>
          <w:szCs w:val="24"/>
        </w:rPr>
        <w:t>关于以通讯开会方式召开</w:t>
      </w:r>
      <w:r>
        <w:rPr>
          <w:rFonts w:ascii="宋体" w:cs="Times New Roman" w:hint="eastAsia"/>
          <w:bCs/>
          <w:sz w:val="24"/>
          <w:szCs w:val="24"/>
        </w:rPr>
        <w:t>民生加银康利混合型证券投资基金</w:t>
      </w:r>
      <w:r>
        <w:rPr>
          <w:rFonts w:ascii="宋体" w:hint="eastAsia"/>
          <w:sz w:val="24"/>
          <w:szCs w:val="24"/>
        </w:rPr>
        <w:t>基金份额持有人大会的</w:t>
      </w:r>
      <w:r>
        <w:rPr>
          <w:rFonts w:ascii="宋体"/>
          <w:sz w:val="24"/>
          <w:szCs w:val="24"/>
        </w:rPr>
        <w:t xml:space="preserve">第一次提示性公告》 </w:t>
      </w:r>
    </w:p>
    <w:p w:rsidR="00470282" w:rsidRDefault="00572558">
      <w:pPr>
        <w:pStyle w:val="a4"/>
        <w:spacing w:line="360" w:lineRule="auto"/>
        <w:ind w:leftChars="-1" w:left="-2" w:firstLine="480"/>
        <w:rPr>
          <w:rFonts w:ascii="宋体"/>
          <w:sz w:val="24"/>
          <w:szCs w:val="24"/>
        </w:rPr>
      </w:pPr>
      <w:r>
        <w:rPr>
          <w:rFonts w:ascii="宋体"/>
          <w:sz w:val="24"/>
          <w:szCs w:val="24"/>
        </w:rPr>
        <w:t>3、《</w:t>
      </w:r>
      <w:r>
        <w:rPr>
          <w:rFonts w:ascii="宋体" w:hint="eastAsia"/>
          <w:sz w:val="24"/>
          <w:szCs w:val="24"/>
        </w:rPr>
        <w:t>关于以通讯开会方式召开</w:t>
      </w:r>
      <w:r>
        <w:rPr>
          <w:rFonts w:ascii="宋体" w:cs="Times New Roman" w:hint="eastAsia"/>
          <w:bCs/>
          <w:sz w:val="24"/>
          <w:szCs w:val="24"/>
        </w:rPr>
        <w:t>民生加银康利混合型证券投资基金</w:t>
      </w:r>
      <w:r>
        <w:rPr>
          <w:rFonts w:ascii="宋体" w:hint="eastAsia"/>
          <w:sz w:val="24"/>
          <w:szCs w:val="24"/>
        </w:rPr>
        <w:t>基金份额持有人大会的</w:t>
      </w:r>
      <w:r>
        <w:rPr>
          <w:rFonts w:ascii="宋体"/>
          <w:sz w:val="24"/>
          <w:szCs w:val="24"/>
        </w:rPr>
        <w:t>第</w:t>
      </w:r>
      <w:r>
        <w:rPr>
          <w:rFonts w:ascii="宋体" w:hint="eastAsia"/>
          <w:sz w:val="24"/>
          <w:szCs w:val="24"/>
        </w:rPr>
        <w:t>二</w:t>
      </w:r>
      <w:r>
        <w:rPr>
          <w:rFonts w:ascii="宋体"/>
          <w:sz w:val="24"/>
          <w:szCs w:val="24"/>
        </w:rPr>
        <w:t>次提示性公告》</w:t>
      </w:r>
    </w:p>
    <w:p w:rsidR="00470282" w:rsidRDefault="00572558">
      <w:pPr>
        <w:spacing w:line="360" w:lineRule="auto"/>
        <w:ind w:firstLineChars="200" w:firstLine="480"/>
        <w:rPr>
          <w:rFonts w:ascii="宋体"/>
          <w:sz w:val="24"/>
          <w:szCs w:val="24"/>
        </w:rPr>
      </w:pPr>
      <w:r>
        <w:rPr>
          <w:rFonts w:ascii="宋体" w:hint="eastAsia"/>
          <w:sz w:val="24"/>
          <w:szCs w:val="24"/>
        </w:rPr>
        <w:t>4、公证书</w:t>
      </w:r>
    </w:p>
    <w:p w:rsidR="00470282" w:rsidRDefault="00470282">
      <w:pPr>
        <w:spacing w:line="360" w:lineRule="auto"/>
        <w:ind w:firstLineChars="200" w:firstLine="480"/>
        <w:rPr>
          <w:rFonts w:ascii="宋体"/>
          <w:sz w:val="24"/>
          <w:szCs w:val="24"/>
        </w:rPr>
      </w:pPr>
    </w:p>
    <w:p w:rsidR="00470282" w:rsidRDefault="00572558">
      <w:pPr>
        <w:pStyle w:val="a4"/>
        <w:numPr>
          <w:ilvl w:val="0"/>
          <w:numId w:val="1"/>
        </w:numPr>
        <w:spacing w:line="360" w:lineRule="auto"/>
        <w:ind w:firstLineChars="0"/>
        <w:rPr>
          <w:rFonts w:ascii="宋体"/>
          <w:b/>
          <w:bCs/>
          <w:sz w:val="24"/>
          <w:szCs w:val="24"/>
        </w:rPr>
      </w:pPr>
      <w:r>
        <w:rPr>
          <w:rFonts w:ascii="宋体" w:hint="eastAsia"/>
          <w:b/>
          <w:bCs/>
          <w:sz w:val="24"/>
          <w:szCs w:val="24"/>
        </w:rPr>
        <w:t>其他需要提示的事项</w:t>
      </w:r>
    </w:p>
    <w:p w:rsidR="00470282" w:rsidRDefault="00572558">
      <w:pPr>
        <w:spacing w:line="360" w:lineRule="auto"/>
        <w:ind w:firstLineChars="201" w:firstLine="482"/>
        <w:rPr>
          <w:rFonts w:ascii="宋体"/>
          <w:sz w:val="24"/>
          <w:szCs w:val="24"/>
        </w:rPr>
      </w:pPr>
      <w:r>
        <w:rPr>
          <w:rFonts w:ascii="宋体" w:hint="eastAsia"/>
          <w:sz w:val="24"/>
          <w:szCs w:val="24"/>
        </w:rPr>
        <w:t>1、本基金自最后运作日（2022年4月11日）起停止办理申购、赎回、转换和定期定额投资等业务并且之后不再恢复。敬请投资者予以关注。本公司承诺在清算过程中以诚实信用、勤勉尽责的原则履行相关职责。基金财产清算结果将在报中国证监会备案后公布，并将遵照法律法规、《基金合同》等规定及时进行分配，敬请投资者留意。</w:t>
      </w:r>
    </w:p>
    <w:p w:rsidR="00470282" w:rsidRDefault="00572558">
      <w:pPr>
        <w:spacing w:line="360" w:lineRule="auto"/>
        <w:ind w:firstLineChars="200" w:firstLine="480"/>
        <w:rPr>
          <w:rFonts w:ascii="宋体"/>
          <w:sz w:val="24"/>
          <w:szCs w:val="24"/>
        </w:rPr>
      </w:pPr>
      <w:r>
        <w:rPr>
          <w:rFonts w:ascii="宋体" w:hint="eastAsia"/>
          <w:sz w:val="24"/>
          <w:szCs w:val="24"/>
        </w:rPr>
        <w:t>2、如有疑问，投资者可以登录本司网站（www.msjyfund.com.cn）或拨打客户服务电话400-8888-388咨询相关信息。</w:t>
      </w:r>
    </w:p>
    <w:p w:rsidR="00470282" w:rsidRDefault="00572558">
      <w:pPr>
        <w:spacing w:line="360" w:lineRule="auto"/>
        <w:ind w:firstLineChars="200" w:firstLine="480"/>
        <w:rPr>
          <w:rFonts w:ascii="宋体"/>
          <w:sz w:val="24"/>
          <w:szCs w:val="24"/>
        </w:rPr>
      </w:pPr>
      <w:r>
        <w:rPr>
          <w:rFonts w:ascii="宋体" w:hint="eastAsia"/>
          <w:sz w:val="24"/>
          <w:szCs w:val="24"/>
        </w:rPr>
        <w:t>特此公告。</w:t>
      </w:r>
    </w:p>
    <w:p w:rsidR="00470282" w:rsidRDefault="00470282">
      <w:pPr>
        <w:spacing w:line="360" w:lineRule="auto"/>
        <w:ind w:firstLineChars="200" w:firstLine="480"/>
        <w:rPr>
          <w:rFonts w:ascii="宋体"/>
          <w:sz w:val="24"/>
          <w:szCs w:val="24"/>
        </w:rPr>
      </w:pPr>
    </w:p>
    <w:p w:rsidR="00470282" w:rsidRDefault="00470282">
      <w:pPr>
        <w:spacing w:line="360" w:lineRule="auto"/>
        <w:jc w:val="right"/>
        <w:rPr>
          <w:rFonts w:ascii="宋体"/>
          <w:b/>
          <w:bCs/>
          <w:sz w:val="24"/>
          <w:szCs w:val="24"/>
        </w:rPr>
      </w:pPr>
    </w:p>
    <w:p w:rsidR="00470282" w:rsidRDefault="00470282">
      <w:pPr>
        <w:spacing w:line="360" w:lineRule="auto"/>
        <w:jc w:val="right"/>
        <w:rPr>
          <w:rFonts w:ascii="宋体"/>
          <w:b/>
          <w:bCs/>
          <w:sz w:val="24"/>
          <w:szCs w:val="24"/>
        </w:rPr>
      </w:pPr>
    </w:p>
    <w:p w:rsidR="00470282" w:rsidRDefault="00470282">
      <w:pPr>
        <w:spacing w:line="360" w:lineRule="auto"/>
        <w:jc w:val="right"/>
        <w:rPr>
          <w:rFonts w:ascii="宋体"/>
          <w:b/>
          <w:bCs/>
          <w:sz w:val="24"/>
          <w:szCs w:val="24"/>
        </w:rPr>
      </w:pPr>
    </w:p>
    <w:p w:rsidR="00470282" w:rsidRDefault="00572558">
      <w:pPr>
        <w:spacing w:line="360" w:lineRule="auto"/>
        <w:jc w:val="right"/>
        <w:rPr>
          <w:rFonts w:ascii="宋体"/>
          <w:b/>
          <w:bCs/>
          <w:sz w:val="24"/>
          <w:szCs w:val="24"/>
        </w:rPr>
      </w:pPr>
      <w:r>
        <w:rPr>
          <w:rFonts w:ascii="宋体" w:hint="eastAsia"/>
          <w:b/>
          <w:bCs/>
          <w:sz w:val="24"/>
          <w:szCs w:val="24"/>
        </w:rPr>
        <w:t>民生加银基金管理有限公司</w:t>
      </w:r>
    </w:p>
    <w:p w:rsidR="00470282" w:rsidRPr="00B91E85" w:rsidRDefault="00572558" w:rsidP="00B91E85">
      <w:pPr>
        <w:spacing w:line="360" w:lineRule="auto"/>
        <w:jc w:val="right"/>
        <w:rPr>
          <w:rFonts w:ascii="宋体"/>
          <w:b/>
          <w:bCs/>
          <w:sz w:val="24"/>
          <w:szCs w:val="24"/>
        </w:rPr>
      </w:pPr>
      <w:r>
        <w:rPr>
          <w:rFonts w:ascii="宋体" w:hint="eastAsia"/>
          <w:b/>
          <w:bCs/>
          <w:sz w:val="24"/>
          <w:szCs w:val="24"/>
        </w:rPr>
        <w:t>2022年4月</w:t>
      </w:r>
      <w:r>
        <w:rPr>
          <w:rFonts w:ascii="宋体"/>
          <w:b/>
          <w:bCs/>
          <w:sz w:val="24"/>
          <w:szCs w:val="24"/>
        </w:rPr>
        <w:t>9</w:t>
      </w:r>
      <w:r>
        <w:rPr>
          <w:rFonts w:ascii="宋体" w:hint="eastAsia"/>
          <w:b/>
          <w:bCs/>
          <w:sz w:val="24"/>
          <w:szCs w:val="24"/>
        </w:rPr>
        <w:t>日</w:t>
      </w:r>
    </w:p>
    <w:p w:rsidR="00470282" w:rsidRDefault="00572558">
      <w:pPr>
        <w:pStyle w:val="a3"/>
        <w:rPr>
          <w:rFonts w:cs="Tahoma"/>
          <w:sz w:val="44"/>
          <w:szCs w:val="44"/>
        </w:rPr>
      </w:pPr>
      <w:r>
        <w:rPr>
          <w:rFonts w:cs="Tahoma" w:hint="eastAsia"/>
          <w:sz w:val="44"/>
          <w:szCs w:val="44"/>
        </w:rPr>
        <w:t>附件：公证书</w:t>
      </w:r>
    </w:p>
    <w:p w:rsidR="00B43AF3" w:rsidRDefault="00B91E85">
      <w:pPr>
        <w:pStyle w:val="a3"/>
        <w:rPr>
          <w:rFonts w:cs="Tahoma"/>
          <w:sz w:val="44"/>
          <w:szCs w:val="44"/>
        </w:rPr>
      </w:pPr>
      <w:r>
        <w:rPr>
          <w:noProof/>
        </w:rPr>
        <w:drawing>
          <wp:inline distT="0" distB="0" distL="0" distR="0">
            <wp:extent cx="5181600" cy="80962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181600" cy="8096250"/>
                    </a:xfrm>
                    <a:prstGeom prst="rect">
                      <a:avLst/>
                    </a:prstGeom>
                  </pic:spPr>
                </pic:pic>
              </a:graphicData>
            </a:graphic>
          </wp:inline>
        </w:drawing>
      </w:r>
    </w:p>
    <w:p w:rsidR="00470282" w:rsidRDefault="00AE1698">
      <w:pPr>
        <w:ind w:right="320"/>
        <w:rPr>
          <w:rFonts w:ascii="仿宋_GB2312" w:eastAsia="仿宋_GB2312"/>
          <w:sz w:val="32"/>
        </w:rPr>
      </w:pPr>
      <w:r>
        <w:rPr>
          <w:noProof/>
        </w:rPr>
        <w:drawing>
          <wp:inline distT="0" distB="0" distL="0" distR="0">
            <wp:extent cx="5219700" cy="87820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20145" cy="8782798"/>
                    </a:xfrm>
                    <a:prstGeom prst="rect">
                      <a:avLst/>
                    </a:prstGeom>
                  </pic:spPr>
                </pic:pic>
              </a:graphicData>
            </a:graphic>
          </wp:inline>
        </w:drawing>
      </w:r>
    </w:p>
    <w:p w:rsidR="00470282" w:rsidRDefault="00AE1698">
      <w:pPr>
        <w:ind w:right="320"/>
        <w:rPr>
          <w:rFonts w:ascii="仿宋_GB2312" w:eastAsia="仿宋_GB2312"/>
          <w:sz w:val="32"/>
        </w:rPr>
      </w:pPr>
      <w:r>
        <w:rPr>
          <w:noProof/>
        </w:rPr>
        <w:drawing>
          <wp:inline distT="0" distB="0" distL="0" distR="0">
            <wp:extent cx="5172075" cy="87439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172518" cy="8744699"/>
                    </a:xfrm>
                    <a:prstGeom prst="rect">
                      <a:avLst/>
                    </a:prstGeom>
                  </pic:spPr>
                </pic:pic>
              </a:graphicData>
            </a:graphic>
          </wp:inline>
        </w:drawing>
      </w:r>
    </w:p>
    <w:p w:rsidR="00470282" w:rsidRDefault="00AE1698">
      <w:pPr>
        <w:ind w:right="320"/>
        <w:rPr>
          <w:rFonts w:ascii="仿宋_GB2312" w:eastAsia="仿宋_GB2312"/>
          <w:sz w:val="32"/>
        </w:rPr>
      </w:pPr>
      <w:r>
        <w:rPr>
          <w:noProof/>
        </w:rPr>
        <w:drawing>
          <wp:inline distT="0" distB="0" distL="0" distR="0">
            <wp:extent cx="5219700" cy="87344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20146" cy="8735172"/>
                    </a:xfrm>
                    <a:prstGeom prst="rect">
                      <a:avLst/>
                    </a:prstGeom>
                  </pic:spPr>
                </pic:pic>
              </a:graphicData>
            </a:graphic>
          </wp:inline>
        </w:drawing>
      </w:r>
    </w:p>
    <w:sectPr w:rsidR="00470282" w:rsidSect="0029177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2C4" w:rsidRDefault="00E162C4" w:rsidP="00B43AF3">
      <w:r>
        <w:separator/>
      </w:r>
    </w:p>
  </w:endnote>
  <w:endnote w:type="continuationSeparator" w:id="0">
    <w:p w:rsidR="00E162C4" w:rsidRDefault="00E162C4" w:rsidP="00B43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xi Sans">
    <w:altName w:val="Arial"/>
    <w:charset w:val="00"/>
    <w:family w:val="auto"/>
    <w:pitch w:val="variable"/>
    <w:sig w:usb0="00000000" w:usb1="00000000" w:usb2="00000000" w:usb3="00000000" w:csb0="00000000" w:csb1="00000000"/>
  </w:font>
  <w:font w:name="黑体">
    <w:altName w:val="SimHei"/>
    <w:panose1 w:val="02010600030101010101"/>
    <w:charset w:val="86"/>
    <w:family w:val="modern"/>
    <w:notTrueType/>
    <w:pitch w:val="fixed"/>
    <w:sig w:usb0="00000001" w:usb1="080E0000" w:usb2="00000010" w:usb3="00000000" w:csb0="00040000" w:csb1="00000000"/>
  </w:font>
  <w:font w:name="Cambria Math">
    <w:panose1 w:val="020405030504060302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notTrueType/>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2C4" w:rsidRDefault="00E162C4" w:rsidP="00B43AF3">
      <w:r>
        <w:separator/>
      </w:r>
    </w:p>
  </w:footnote>
  <w:footnote w:type="continuationSeparator" w:id="0">
    <w:p w:rsidR="00E162C4" w:rsidRDefault="00E162C4" w:rsidP="00B43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815E7"/>
    <w:multiLevelType w:val="hybridMultilevel"/>
    <w:tmpl w:val="380EF3D0"/>
    <w:lvl w:ilvl="0" w:tplc="2222B532">
      <w:start w:val="1"/>
      <w:numFmt w:val="japaneseCounting"/>
      <w:lvlRestart w:val="0"/>
      <w:lvlText w:val="%1、"/>
      <w:legacy w:legacy="1" w:legacySpace="0" w:legacyIndent="720"/>
      <w:lvlJc w:val="left"/>
      <w:pPr>
        <w:ind w:left="720" w:hanging="720"/>
      </w:pPr>
      <w:rPr>
        <w:rFonts w:hint="default"/>
      </w:rPr>
    </w:lvl>
    <w:lvl w:ilvl="1" w:tplc="D174E094">
      <w:start w:val="1"/>
      <w:numFmt w:val="lowerLetter"/>
      <w:lvlText w:val="%2)"/>
      <w:legacy w:legacy="1" w:legacySpace="0" w:legacyIndent="420"/>
      <w:lvlJc w:val="left"/>
      <w:pPr>
        <w:ind w:left="840" w:hanging="420"/>
      </w:pPr>
    </w:lvl>
    <w:lvl w:ilvl="2" w:tplc="1F0A1B4E">
      <w:start w:val="1"/>
      <w:numFmt w:val="lowerRoman"/>
      <w:lvlText w:val="%3."/>
      <w:legacy w:legacy="1" w:legacySpace="0" w:legacyIndent="420"/>
      <w:lvlJc w:val="right"/>
      <w:pPr>
        <w:ind w:left="1260" w:hanging="420"/>
      </w:pPr>
    </w:lvl>
    <w:lvl w:ilvl="3" w:tplc="E31C304C">
      <w:start w:val="1"/>
      <w:numFmt w:val="decimal"/>
      <w:lvlText w:val="%4."/>
      <w:legacy w:legacy="1" w:legacySpace="0" w:legacyIndent="420"/>
      <w:lvlJc w:val="left"/>
      <w:pPr>
        <w:ind w:left="1680" w:hanging="420"/>
      </w:pPr>
    </w:lvl>
    <w:lvl w:ilvl="4" w:tplc="1CA08D56">
      <w:start w:val="1"/>
      <w:numFmt w:val="lowerLetter"/>
      <w:lvlText w:val="%5)"/>
      <w:legacy w:legacy="1" w:legacySpace="0" w:legacyIndent="420"/>
      <w:lvlJc w:val="left"/>
      <w:pPr>
        <w:ind w:left="2100" w:hanging="420"/>
      </w:pPr>
    </w:lvl>
    <w:lvl w:ilvl="5" w:tplc="A8869B16">
      <w:start w:val="1"/>
      <w:numFmt w:val="lowerRoman"/>
      <w:lvlText w:val="%6."/>
      <w:legacy w:legacy="1" w:legacySpace="0" w:legacyIndent="420"/>
      <w:lvlJc w:val="right"/>
      <w:pPr>
        <w:ind w:left="2520" w:hanging="420"/>
      </w:pPr>
    </w:lvl>
    <w:lvl w:ilvl="6" w:tplc="469E786C">
      <w:start w:val="1"/>
      <w:numFmt w:val="decimal"/>
      <w:lvlText w:val="%7."/>
      <w:legacy w:legacy="1" w:legacySpace="0" w:legacyIndent="420"/>
      <w:lvlJc w:val="left"/>
      <w:pPr>
        <w:ind w:left="2940" w:hanging="420"/>
      </w:pPr>
    </w:lvl>
    <w:lvl w:ilvl="7" w:tplc="641CF720">
      <w:start w:val="1"/>
      <w:numFmt w:val="lowerLetter"/>
      <w:lvlText w:val="%8)"/>
      <w:legacy w:legacy="1" w:legacySpace="0" w:legacyIndent="420"/>
      <w:lvlJc w:val="left"/>
      <w:pPr>
        <w:ind w:left="3360" w:hanging="420"/>
      </w:pPr>
    </w:lvl>
    <w:lvl w:ilvl="8" w:tplc="2208EC24">
      <w:start w:val="1"/>
      <w:numFmt w:val="lowerRoman"/>
      <w:lvlText w:val="%9."/>
      <w:legacy w:legacy="1" w:legacySpace="0" w:legacyIndent="420"/>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470282"/>
    <w:rsid w:val="00291772"/>
    <w:rsid w:val="00380669"/>
    <w:rsid w:val="00470282"/>
    <w:rsid w:val="004B44ED"/>
    <w:rsid w:val="00572558"/>
    <w:rsid w:val="005D0E54"/>
    <w:rsid w:val="007D613F"/>
    <w:rsid w:val="00AE1698"/>
    <w:rsid w:val="00B43AF3"/>
    <w:rsid w:val="00B91E85"/>
    <w:rsid w:val="00BE2063"/>
    <w:rsid w:val="00D914FE"/>
    <w:rsid w:val="00E162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91772"/>
    <w:pPr>
      <w:widowControl w:val="0"/>
      <w:jc w:val="both"/>
    </w:pPr>
    <w:rPr>
      <w:rFonts w:ascii="Calibri" w:hAnsi="Calibri" w:cs="Arial"/>
      <w:kern w:val="2"/>
      <w:sz w:val="21"/>
      <w:szCs w:val="22"/>
    </w:rPr>
  </w:style>
  <w:style w:type="paragraph" w:styleId="1">
    <w:name w:val="heading 1"/>
    <w:basedOn w:val="a"/>
    <w:next w:val="a"/>
    <w:rsid w:val="00291772"/>
    <w:pPr>
      <w:keepNext/>
      <w:keepLines/>
      <w:spacing w:before="340" w:after="330" w:line="578" w:lineRule="auto"/>
      <w:outlineLvl w:val="0"/>
    </w:pPr>
    <w:rPr>
      <w:b/>
      <w:bCs/>
      <w:kern w:val="44"/>
      <w:sz w:val="44"/>
    </w:rPr>
  </w:style>
  <w:style w:type="paragraph" w:styleId="2">
    <w:name w:val="heading 2"/>
    <w:basedOn w:val="a"/>
    <w:next w:val="a"/>
    <w:rsid w:val="00291772"/>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291772"/>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1772"/>
    <w:pPr>
      <w:widowControl w:val="0"/>
      <w:autoSpaceDE w:val="0"/>
      <w:autoSpaceDN w:val="0"/>
      <w:adjustRightInd w:val="0"/>
    </w:pPr>
    <w:rPr>
      <w:rFonts w:ascii="宋体" w:cs="宋体"/>
      <w:color w:val="000000"/>
      <w:sz w:val="24"/>
      <w:szCs w:val="24"/>
    </w:rPr>
  </w:style>
  <w:style w:type="paragraph" w:styleId="a3">
    <w:name w:val="Normal (Web)"/>
    <w:basedOn w:val="a"/>
    <w:rsid w:val="00291772"/>
    <w:pPr>
      <w:widowControl/>
      <w:spacing w:before="100" w:beforeAutospacing="1" w:after="100" w:afterAutospacing="1"/>
      <w:jc w:val="left"/>
    </w:pPr>
    <w:rPr>
      <w:rFonts w:ascii="宋体" w:cs="宋体"/>
      <w:kern w:val="0"/>
      <w:sz w:val="24"/>
      <w:szCs w:val="24"/>
    </w:rPr>
  </w:style>
  <w:style w:type="paragraph" w:styleId="a4">
    <w:name w:val="List Paragraph"/>
    <w:basedOn w:val="a"/>
    <w:rsid w:val="00291772"/>
    <w:pPr>
      <w:ind w:firstLineChars="200" w:firstLine="200"/>
    </w:pPr>
  </w:style>
  <w:style w:type="paragraph" w:styleId="a5">
    <w:name w:val="Balloon Text"/>
    <w:basedOn w:val="a"/>
    <w:rsid w:val="00291772"/>
    <w:rPr>
      <w:sz w:val="18"/>
      <w:szCs w:val="18"/>
    </w:rPr>
  </w:style>
  <w:style w:type="character" w:styleId="a6">
    <w:name w:val="annotation reference"/>
    <w:basedOn w:val="a0"/>
    <w:rsid w:val="00291772"/>
    <w:rPr>
      <w:sz w:val="21"/>
      <w:szCs w:val="21"/>
    </w:rPr>
  </w:style>
  <w:style w:type="paragraph" w:styleId="a7">
    <w:name w:val="annotation text"/>
    <w:basedOn w:val="a"/>
    <w:rsid w:val="00291772"/>
    <w:pPr>
      <w:jc w:val="left"/>
    </w:pPr>
  </w:style>
  <w:style w:type="paragraph" w:styleId="a8">
    <w:name w:val="annotation subject"/>
    <w:basedOn w:val="a7"/>
    <w:next w:val="a7"/>
    <w:rsid w:val="00291772"/>
    <w:rPr>
      <w:b/>
      <w:bCs/>
    </w:rPr>
  </w:style>
  <w:style w:type="paragraph" w:styleId="a9">
    <w:name w:val="header"/>
    <w:basedOn w:val="a"/>
    <w:rsid w:val="00291772"/>
    <w:pPr>
      <w:pBdr>
        <w:bottom w:val="single" w:sz="6" w:space="1" w:color="auto"/>
      </w:pBdr>
      <w:tabs>
        <w:tab w:val="center" w:pos="4153"/>
        <w:tab w:val="right" w:pos="8306"/>
      </w:tabs>
      <w:snapToGrid w:val="0"/>
      <w:jc w:val="center"/>
    </w:pPr>
    <w:rPr>
      <w:sz w:val="18"/>
      <w:szCs w:val="18"/>
    </w:rPr>
  </w:style>
  <w:style w:type="paragraph" w:styleId="aa">
    <w:name w:val="footer"/>
    <w:basedOn w:val="a"/>
    <w:rsid w:val="00291772"/>
    <w:pPr>
      <w:tabs>
        <w:tab w:val="center" w:pos="4153"/>
        <w:tab w:val="right" w:pos="8306"/>
      </w:tabs>
      <w:snapToGrid w:val="0"/>
      <w:jc w:val="left"/>
    </w:pPr>
    <w:rPr>
      <w:sz w:val="18"/>
      <w:szCs w:val="18"/>
    </w:rPr>
  </w:style>
  <w:style w:type="paragraph" w:customStyle="1" w:styleId="10">
    <w:name w:val="修订1"/>
    <w:rsid w:val="00291772"/>
    <w:rPr>
      <w:rFonts w:ascii="Calibri" w:hAnsi="Calibri" w:cs="Arial"/>
      <w:kern w:val="2"/>
      <w:sz w:val="21"/>
      <w:szCs w:val="22"/>
    </w:rPr>
  </w:style>
  <w:style w:type="paragraph" w:styleId="11">
    <w:name w:val="toc 1"/>
    <w:basedOn w:val="a"/>
    <w:next w:val="a"/>
    <w:autoRedefine/>
    <w:rsid w:val="00291772"/>
  </w:style>
  <w:style w:type="paragraph" w:styleId="20">
    <w:name w:val="toc 2"/>
    <w:basedOn w:val="a"/>
    <w:next w:val="a"/>
    <w:autoRedefine/>
    <w:rsid w:val="00291772"/>
    <w:pPr>
      <w:ind w:left="420"/>
    </w:pPr>
  </w:style>
  <w:style w:type="paragraph" w:styleId="30">
    <w:name w:val="toc 3"/>
    <w:basedOn w:val="a"/>
    <w:next w:val="a"/>
    <w:autoRedefine/>
    <w:rsid w:val="00291772"/>
    <w:pPr>
      <w:ind w:left="840"/>
    </w:pPr>
  </w:style>
  <w:style w:type="paragraph" w:styleId="4">
    <w:name w:val="toc 4"/>
    <w:basedOn w:val="a"/>
    <w:next w:val="a"/>
    <w:autoRedefine/>
    <w:rsid w:val="00291772"/>
    <w:pPr>
      <w:ind w:left="1260"/>
    </w:pPr>
  </w:style>
  <w:style w:type="paragraph" w:styleId="5">
    <w:name w:val="toc 5"/>
    <w:basedOn w:val="a"/>
    <w:next w:val="a"/>
    <w:autoRedefine/>
    <w:rsid w:val="00291772"/>
    <w:pPr>
      <w:ind w:left="168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416</Words>
  <Characters>2376</Characters>
  <Application>Microsoft Office Word</Application>
  <DocSecurity>4</DocSecurity>
  <Lines>19</Lines>
  <Paragraphs>5</Paragraphs>
  <ScaleCrop>false</ScaleCrop>
  <Company>Microsoft</Company>
  <LinksUpToDate>false</LinksUpToDate>
  <CharactersWithSpaces>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万粟</dc:creator>
  <cp:lastModifiedBy>ZHONGM</cp:lastModifiedBy>
  <cp:revision>2</cp:revision>
  <dcterms:created xsi:type="dcterms:W3CDTF">2022-04-08T16:01:00Z</dcterms:created>
  <dcterms:modified xsi:type="dcterms:W3CDTF">2022-04-08T16:01:00Z</dcterms:modified>
</cp:coreProperties>
</file>