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EB" w:rsidRDefault="00CA54F8" w:rsidP="0059174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南方基金</w:t>
      </w:r>
      <w:r>
        <w:rPr>
          <w:rFonts w:ascii="仿宋" w:eastAsia="仿宋" w:hAnsi="仿宋"/>
          <w:b/>
          <w:color w:val="000000" w:themeColor="text1"/>
          <w:sz w:val="32"/>
          <w:szCs w:val="32"/>
        </w:rPr>
        <w:t>管理股份有限公司</w:t>
      </w:r>
      <w:r>
        <w:rPr>
          <w:rFonts w:ascii="仿宋" w:eastAsia="仿宋" w:hAnsi="仿宋" w:hint="eastAsia"/>
          <w:b/>
          <w:color w:val="000000" w:themeColor="text1"/>
          <w:sz w:val="32"/>
          <w:szCs w:val="32"/>
        </w:rPr>
        <w:t>旗下基金</w:t>
      </w:r>
    </w:p>
    <w:p w:rsidR="00750CEB" w:rsidRDefault="00CA54F8" w:rsidP="0059174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2021年年度报告提示性公告</w:t>
      </w:r>
    </w:p>
    <w:p w:rsidR="00750CEB" w:rsidRDefault="00CA54F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本公司董事会及董事保证基金2021年年度报告所载资料不存在虚假记载、误导性陈述或重大遗漏，并对其内容的真实性、准确性和完整性承担个别及连带责任。</w:t>
      </w:r>
    </w:p>
    <w:p w:rsidR="00750CEB" w:rsidRDefault="00CA54F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旗下:</w:t>
      </w:r>
    </w:p>
    <w:tbl>
      <w:tblPr>
        <w:tblW w:w="8920" w:type="dxa"/>
        <w:tblLook w:val="04A0"/>
      </w:tblPr>
      <w:tblGrid>
        <w:gridCol w:w="8920"/>
      </w:tblGrid>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南方稳健成长证券投资基金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南方宝元债券型基金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南方现金增利基金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中证南方小康产业交易型开放式指数证券投资基金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南方积极配置混合型证券投资基金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南方高增长混合型证券投资基金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南方多利增强债券型证券投资基金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南方稳健成长贰号证券投资基金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南方绩优成长混合型证券投资基金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南方成份精选混合型证券投资基金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南方全球精选配置证券投资基金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南方隆元产业主题混合型证券投资基金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南方盛元红利混合型证券投资基金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南方优选价值混合型证券投资基金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南方中证100指数证券投资基金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南方沪深300交易型开放式指数证券投资基金联接基金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lastRenderedPageBreak/>
              <w:t>南方中证500交易型开放式指数证券投资基金联接基金(LOF)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深证成份交易型开放式指数证券投资基金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南方深证成份交易型开放式指数证券投资基金联接基金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南方策略优化混合型证券投资基金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中证南方小康产业交易型开放式指数证券投资基金联接基金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南方广利回报债券型证券投资基金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南方优选成长混合型证券投资基金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南方平衡配置混合型证券投资基金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上证380交易型开放式指数证券投资基金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南方上证380交易型开放式指数证券投资基金联接基金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南方香港优选股票型证券投资基金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南方新兴消费增长股票型证券投资基金(LOF)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南方金利定期开放债券型证券投资基金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南方润元纯债债券型证券投资基金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南方旺元60天滚动持有中短债债券型证券投资基金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南方核心竞争混合型证券投资基金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南方收益宝货币市场基金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中证500交易型开放式指数证券投资基金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南方沪深300交易型开放式指数证券投资基金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南方稳利1年定期开放债券型证券投资基金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南方丰元信用增强债券型证券投资基金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lastRenderedPageBreak/>
              <w:t>南方现金通货币市场基金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南方医药保健灵活配置混合型证券投资基金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南方新优享灵活配置混合型证券投资基金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南方通利债券型证券投资基金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中国梦灵活配置混合型证券投资基金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南方薪金宝货币市场基金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南方天元新产业股票型证券投资基金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南方高端装备灵活配置混合型证券投资基金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南方启元债券型证券投资基金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南方绝对收益策略定期开放混合型发起式证券投资基金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南方理财金交易型货币市场基金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南方恒生交易型开放式指数证券投资基金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南方产业活力股票型证券投资基金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南方双元债券型证券投资基金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南方创新经济灵活配置混合型证券投资基金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南方利淘灵活配置混合型证券投资基金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南方大数据100指数证券投资基金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南方改革机遇灵活配置混合型证券投资基金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南方利鑫灵活配置混合型证券投资基金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南方利众灵活配置混合型证券投资基金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南方潜力新蓝筹混合型证券投资基金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南方中证高铁产业指数证券投资基金（LOF）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南方大数据300指数证券投资基金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中证500信息技术指数交易型开放式指数证券投资基金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南方量化成长股票型证券投资基金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南方利达灵活配置混合型证券投资基金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南方国策动力股票型证券投资基金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南方香港成长灵活配置混合型证券投资基金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南方中小盘成长股票型证券投资基金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南方荣光灵活配置混合型证券投资基金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南方利安灵活配置混合型证券投资基金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南方弘利定期开放债券型发起式证券投资基金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南方瑞利灵活配置混合型证券投资基金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南方益和灵活配置混合型证券投资基金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南方君选灵活配置混合型证券投资基金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南方日添益货币市场基金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南方亚洲美元收益债券型证券投资基金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南方转型驱动灵活配置混合型证券投资基金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南方新兴龙头灵活配置混合型证券投资基金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南方创业板交易型开放式指数证券投资基金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南方创业板交易型开放式指数证券投资基金联接基金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南方原油证券投资基金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南方品质优选灵活配置混合型证券投资基金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南方转型增长灵活配置混合型证券投资基金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南方中证500信息技术指数交易型开放式指数证券投资基金发起式联接基金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南方安泰混合型证券投资基金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南方颐元定期开放债券型发起式证券投资基金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南方中证1000交易型开放式指数证券投资基金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南方多元定期开放债券型发起式证券投资基金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南方天天利货币市场基金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南方卓元债券型证券投资基金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南方安裕混合型证券投资基金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南方中证500量化增强股票型发起式证券投资基金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南方宣利定期开放债券型证券投资基金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南方安颐混合型证券投资基金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南方宏元定期开放债券型发起式证券投资基金</w:t>
            </w:r>
          </w:p>
        </w:tc>
      </w:tr>
      <w:tr w:rsidR="00750CEB">
        <w:trPr>
          <w:trHeight w:val="330"/>
        </w:trPr>
        <w:tc>
          <w:tcPr>
            <w:tcW w:w="8920" w:type="dxa"/>
            <w:shd w:val="clear" w:color="auto" w:fill="auto"/>
            <w:noWrap/>
            <w:vAlign w:val="bottom"/>
          </w:tcPr>
          <w:p w:rsidR="00750CEB" w:rsidRDefault="00CA54F8">
            <w:pPr>
              <w:widowControl/>
              <w:spacing w:line="360" w:lineRule="auto"/>
              <w:jc w:val="left"/>
              <w:rPr>
                <w:rFonts w:ascii="仿宋" w:eastAsia="仿宋" w:hAnsi="仿宋" w:cs="Arial"/>
                <w:kern w:val="0"/>
                <w:sz w:val="24"/>
                <w:szCs w:val="24"/>
              </w:rPr>
            </w:pPr>
            <w:r>
              <w:rPr>
                <w:rFonts w:ascii="仿宋" w:eastAsia="仿宋" w:hAnsi="仿宋" w:cs="Arial" w:hint="eastAsia"/>
                <w:kern w:val="0"/>
                <w:sz w:val="24"/>
                <w:szCs w:val="24"/>
                <w:lang/>
              </w:rPr>
              <w:t>南方产业智选股票型证券投资基金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南方中证全指证券公司交易型开放式指数证券投资基金联接基金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南方军工改革灵活配置混合型证券投资基金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南方中证全指证券公司交易型开放式指数证券投资基金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南方智慧精选灵活配置混合型证券投资基金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南方和元债券型证券投资基金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南方荣尊混合型证券投资基金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南方纯元债券型证券投资基金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南方安康混合型证券投资基金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南方中证银行交易型开放式指数证券投资基金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南方中证银行交易型开放式指数证券投资基金发起式联接基金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南方安睿混合型证券投资基金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南方荣年定期开放混合型证券投资基金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南方恒生交易型开放式指数证券投资基金联接基金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南方金融主题灵活配置混合型证券投资基金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南方祥元债券型证券投资基金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南方中证申万有色金属交易型开放式指数证券投资基金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南方天天宝货币市场基金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南方中证全指房地产交易型开放式指数证券投资基金发起式联接基金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南方中证全指房地产交易型开放式指数证券投资基金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南方中证申万有色金属交易型开放式指数证券投资基金发起式联接基金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南方兴利半年定期开放债券型发起式证券投资基金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南方兴盛先锋灵活配置混合型证券投资基金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南方全天候策略混合型基金中基金(FOF)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南方道琼斯美国精选REIT指数证券投资基金（QDII-LOF）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南方安福混合型证券投资基金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南方优享分红灵活配置混合型证券投资基金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南方卓利3个月定期开放债券型发起式证券投资基金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南方安养混合型证券投资基金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南方恒生中国企业交易型开放式指数证券投资基金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南方恒生中国企业交易型开放式指数证券投资基金联接基金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南方乾利定期开放债券型发起式证券投资基金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南方浙利定期开放债券型发起式证券投资基金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南方希元可转债债券型证券投资基金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MSCI中国A股国际通交易型开放式指数证券投资基金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南方涪利定期开放债券型发起式证券投资基金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南方成安优选灵活配置混合型证券投资基金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南方瑞祥一年定期开放灵活配置混合型证券投资基金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南方君信灵活配置混合型证券投资基金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MSCI中国A股国际通交易型开放式指数证券投资基金发起式联接基金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南方优势产业灵活配置混合型证券投资基金(LOF)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南方瑞合三年定期开放混合型发起式证券投资基金(LOF)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南方泽元债券型证券投资基金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南方赢元债券型证券投资基金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南方人工智能主题混合型证券投资基金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南方养老目标日期2035三年持有期混合型基金中基金(FOF)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南方中债1-3年国开行债券指数证券投资基金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南方吉元短债债券型证券投资基金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南方中债3-5年农发行债券指数证券投资基金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南方交元债券型证券投资基金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南方畅利定期开放债券型发起式证券投资基金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南方昌元可转债债券型证券投资基金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南方国利6个月定期开放债券型发起式证券投资基金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南方合顺多资产配置混合型基金中基金(FOF)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南方华元债券型证券投资基金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南方臻元债券型证券投资基金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南方亨元债券型发起式证券投资基金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南方智诚混合型证券投资基金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南方中债7-10年国开行债券指数证券投资基金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南方鑫利3个月定期开放债券型发起式证券投资基金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南方惠利6个月定期开放债券型证券投资基金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南方科技创新混合型证券投资基金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南方富元稳健养老目标一年持有期混合型基金中基金（FOF）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南方致远混合型证券投资基金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南方顶峰TOPIX交易型开放式指数证券投资基金(QDII)</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南方初元中短债债券型发起式证券投资基金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南方信息创新混合型证券投资基金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南方旭元债券型发起式证券投资基金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南方泰元债券型发起式证券投资基金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南方恒新39个月定期开放债券型证券投资基金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南方全球精选债券型发起式证券投资基金(QDII)</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南方贺元利率债债券型证券投资基金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南方聪元债券型发起式证券投资基金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南方智锐混合型证券投资基金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南方梦元短债债券型证券投资基金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南方定元中短债债券型证券投资基金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南方皓元短债债券型证券投资基金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南方粤港澳大湾区创新100交易型开放式指数证券投资基金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南方养老目标日期2030三年持有期混合型发起式基金中基金(FOF)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南方ESG主题股票型证券投资基金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南方远利3个月定期开放债券型发起式证券投资基金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南方宝泰一年持有期混合型证券投资基金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南方创利3个月定期开放债券型发起式证券投资基金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南方宁利一年定期开放债券型发起式证券投资基金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南方标普中国A股大盘红利低波50交易型开放式指数证券投资基金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南方标普中国A股大盘红利低波50交易型开放式指数证券投资基金联接基金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南方内需增长两年持有期股票型证券投资基金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南方尊利一年定期开放债券型发起式证券投资基金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南方鼎利一年定期开放债券型发起式证券投资基金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南方骏元中短期利率债债券型证券投资基金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南方中债0-5年中高等级江苏省城投类债券指数证券投资基金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南方宝丰混合型证券投资基金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南方乐元中短期利率债债券型证券投资基金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南方粤港澳大湾区创新100交易型开放式指数证券投资基金发起式联接基金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南方集利18个月定期开放债券型证券投资基金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南方得利一年定期开放债券型发起式证券投资基金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南方中债1-5年国开行债券指数证券投资基金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南方瑞盛三年持有期混合型证券投资基金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南方上证50指数增强型发起式证券投资基金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南方沪深300指数增强型证券投资基金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南方誉慧一年持有期混合型证券投资基金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南方招利一年定期开放债券型发起式证券投资基金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南方誉丰18个月持有期混合型证券投资基金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南方昭元债券型发起式证券投资基金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南方成长先锋混合型证券投资基金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南方升元中短期利率债债券型证券投资基金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南方核心成长混合型证券投资基金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南方创新精选一年定期开放混合型发起式证券投资基金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南方养老目标日期2045三年持有期混合型发起式基金中基金(FOF)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南方高股息主题股票型证券投资基金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南方科创板3年定期开放混合型证券投资基金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南方养老目标日期2040三年持有期混合型发起式基金中基金(FOF)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南方景气驱动混合型证券投资基金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南方中债0-2年国开行债券指数证券投资基金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南方产业优势两年持有期混合型证券投资基金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南方创新驱动混合型证券投资基金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南方创业板2年定期开放混合型证券投资基金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南方创新成长混合型证券投资基金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南方行业精选一年持有期混合型证券投资基金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南方誉尚一年持有期混合型证券投资基金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南方誉鼎一年持有期混合型证券投资基金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南方中证互联网指数证券投资基金(LOF)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南方产业升级混合型证券投资基金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南方沪港深核心优势混合型证券投资基金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南方宁悦一年持有期混合型证券投资基金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南方宝升混合型证券投资基金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南方阿尔法混合型证券投资基金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南方消费升级混合型证券投资基金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南方中证新能源交易型开放式指数证券投资基金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南方匠心优选股票型证券投资基金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南方兴润价值一年持有期混合型证券投资基金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南方卓越优选3个月持有期混合型证券投资基金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南方医药创新股票型证券投资基金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南方优质企业混合型证券投资基金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南方中证创新药产业交易型开放式指数证券投资基金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南方宝顺混合型证券投资基金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南方远见回报股票型证券投资基金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南方崇元纯债债券型证券投资基金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南方誉享一年持有期混合型证券投资基金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南方誉隆一年持有期混合型证券投资基金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南方浩睿进取京选3个月持有期混合型基金中基金（FOF）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南方均衡回报混合型证券投资基金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南方誉浦一年持有期混合型证券投资基金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南方晖元6个月持有期债券型证券投资基金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南方宝恒混合型证券投资基金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南方景元中高等级信用债债券型证券投资基金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南方臻利3个月定期开放债券型发起式证券投资基金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南方价值臻选混合型证券投资基金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南方佳元6个月持有期债券型证券投资基金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南方中证科创创业50交易型开放式指数证券投资基金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南方中证香港科技交易型开放式指数证券投资基金(QDII)</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南方港股通优势企业混合型证券投资基金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南方富瑞稳健养老目标一年持有期混合型基金中基金(FOF)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南方行业领先混合型证券投资基金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南方中国新兴经济9个月持有期混合型证券投资基金(QDII)</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南方中证科创创业50交易型开放式指数证券投资基金联接基金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南方中证新能源交易型开放式指数证券投资基金联接基金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南方新能源产业趋势混合型证券投资基金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南方季季享90天滚动持有债券型证券投资基金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南方均衡优选一年持有期混合型证券投资基金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南方兴锦利一年定期开放债券型发起式证券投资基金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南方蓝筹成长混合型证券投资基金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南方中证1000交易型开放式指数证券投资基金发起式联接基金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南方富誉稳健养老目标一年持有期混合型基金中基金（FOF）</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南方中证科技100交易型开放式指数证券投资基金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南方中证全指医疗保健设备与服务交易型开放式指数证券投资基金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南方永元一年持有期债券型证券投资基金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rPr>
            </w:pPr>
            <w:r>
              <w:rPr>
                <w:rFonts w:ascii="仿宋" w:eastAsia="仿宋" w:hAnsi="仿宋" w:cs="Arial" w:hint="eastAsia"/>
                <w:color w:val="000000"/>
                <w:kern w:val="0"/>
                <w:sz w:val="24"/>
                <w:szCs w:val="24"/>
                <w:lang/>
              </w:rPr>
              <w:t>南方MSCI中国A50互联互通交易型开放式指数证券投资基金</w:t>
            </w:r>
          </w:p>
        </w:tc>
      </w:tr>
      <w:tr w:rsidR="00750CEB">
        <w:trPr>
          <w:trHeight w:val="330"/>
        </w:trPr>
        <w:tc>
          <w:tcPr>
            <w:tcW w:w="8920" w:type="dxa"/>
            <w:shd w:val="clear" w:color="auto" w:fill="auto"/>
            <w:vAlign w:val="center"/>
          </w:tcPr>
          <w:p w:rsidR="00750CEB" w:rsidRDefault="00CA54F8">
            <w:pPr>
              <w:widowControl/>
              <w:spacing w:line="360" w:lineRule="auto"/>
              <w:jc w:val="left"/>
              <w:rPr>
                <w:rFonts w:ascii="仿宋" w:eastAsia="仿宋" w:hAnsi="仿宋" w:cs="Arial"/>
                <w:color w:val="000000"/>
                <w:kern w:val="0"/>
                <w:sz w:val="24"/>
                <w:szCs w:val="24"/>
                <w:lang/>
              </w:rPr>
            </w:pPr>
            <w:r>
              <w:rPr>
                <w:rFonts w:ascii="仿宋" w:eastAsia="仿宋" w:hAnsi="仿宋" w:cs="Arial" w:hint="eastAsia"/>
                <w:color w:val="000000"/>
                <w:kern w:val="0"/>
                <w:sz w:val="24"/>
                <w:szCs w:val="24"/>
                <w:lang/>
              </w:rPr>
              <w:t>南方恒庆一年定期开放债券型证券投资基金</w:t>
            </w:r>
          </w:p>
        </w:tc>
      </w:tr>
    </w:tbl>
    <w:p w:rsidR="00750CEB" w:rsidRDefault="00CA54F8" w:rsidP="00CA54F8">
      <w:pPr>
        <w:spacing w:line="540" w:lineRule="exact"/>
        <w:ind w:firstLineChars="300" w:firstLine="840"/>
        <w:rPr>
          <w:rFonts w:ascii="仿宋" w:eastAsia="仿宋" w:hAnsi="仿宋"/>
          <w:color w:val="000000" w:themeColor="text1"/>
          <w:sz w:val="28"/>
          <w:szCs w:val="28"/>
        </w:rPr>
      </w:pPr>
      <w:bookmarkStart w:id="0" w:name="_GoBack"/>
      <w:bookmarkEnd w:id="0"/>
      <w:r>
        <w:rPr>
          <w:rFonts w:ascii="仿宋" w:eastAsia="仿宋" w:hAnsi="仿宋" w:hint="eastAsia"/>
          <w:color w:val="000000" w:themeColor="text1"/>
          <w:sz w:val="28"/>
          <w:szCs w:val="28"/>
        </w:rPr>
        <w:t>的2021年年度报告</w:t>
      </w:r>
      <w:r>
        <w:rPr>
          <w:rFonts w:ascii="仿宋" w:eastAsia="仿宋" w:hAnsi="仿宋"/>
          <w:color w:val="000000" w:themeColor="text1"/>
          <w:sz w:val="28"/>
          <w:szCs w:val="28"/>
        </w:rPr>
        <w:t>全文</w:t>
      </w:r>
      <w:r>
        <w:rPr>
          <w:rFonts w:ascii="仿宋" w:eastAsia="仿宋" w:hAnsi="仿宋" w:hint="eastAsia"/>
          <w:color w:val="000000" w:themeColor="text1"/>
          <w:sz w:val="28"/>
          <w:szCs w:val="28"/>
        </w:rPr>
        <w:t>于2022年</w:t>
      </w:r>
      <w:r>
        <w:rPr>
          <w:rFonts w:ascii="仿宋" w:eastAsia="仿宋" w:hAnsi="仿宋"/>
          <w:color w:val="000000" w:themeColor="text1"/>
          <w:sz w:val="28"/>
          <w:szCs w:val="28"/>
        </w:rPr>
        <w:t>3</w:t>
      </w:r>
      <w:r>
        <w:rPr>
          <w:rFonts w:ascii="仿宋" w:eastAsia="仿宋" w:hAnsi="仿宋" w:hint="eastAsia"/>
          <w:color w:val="000000" w:themeColor="text1"/>
          <w:sz w:val="28"/>
          <w:szCs w:val="28"/>
        </w:rPr>
        <w:t>月</w:t>
      </w:r>
      <w:r>
        <w:rPr>
          <w:rFonts w:ascii="仿宋" w:eastAsia="仿宋" w:hAnsi="仿宋"/>
          <w:color w:val="000000" w:themeColor="text1"/>
          <w:sz w:val="28"/>
          <w:szCs w:val="28"/>
        </w:rPr>
        <w:t>31</w:t>
      </w:r>
      <w:r>
        <w:rPr>
          <w:rFonts w:ascii="仿宋" w:eastAsia="仿宋" w:hAnsi="仿宋" w:hint="eastAsia"/>
          <w:color w:val="000000" w:themeColor="text1"/>
          <w:sz w:val="28"/>
          <w:szCs w:val="28"/>
        </w:rPr>
        <w:t>日在</w:t>
      </w:r>
      <w:r>
        <w:rPr>
          <w:rFonts w:ascii="仿宋" w:eastAsia="仿宋" w:hAnsi="仿宋"/>
          <w:color w:val="000000" w:themeColor="text1"/>
          <w:sz w:val="28"/>
          <w:szCs w:val="28"/>
        </w:rPr>
        <w:t>本公司网站</w:t>
      </w:r>
      <w:r>
        <w:rPr>
          <w:rFonts w:ascii="仿宋" w:eastAsia="仿宋" w:hAnsi="仿宋" w:hint="eastAsia"/>
          <w:color w:val="000000" w:themeColor="text1"/>
          <w:sz w:val="28"/>
          <w:szCs w:val="28"/>
        </w:rPr>
        <w:t>（</w:t>
      </w:r>
      <w:r>
        <w:rPr>
          <w:rFonts w:ascii="仿宋" w:eastAsia="仿宋" w:hAnsi="仿宋"/>
          <w:color w:val="000000" w:themeColor="text1"/>
          <w:sz w:val="28"/>
          <w:szCs w:val="28"/>
          <w:u w:val="single"/>
        </w:rPr>
        <w:t>www.nffund.com</w:t>
      </w:r>
      <w:r>
        <w:rPr>
          <w:rFonts w:ascii="仿宋" w:eastAsia="仿宋" w:hAnsi="仿宋" w:hint="eastAsia"/>
          <w:color w:val="000000" w:themeColor="text1"/>
          <w:sz w:val="28"/>
          <w:szCs w:val="28"/>
        </w:rPr>
        <w:t>）</w:t>
      </w:r>
      <w:r>
        <w:rPr>
          <w:rFonts w:ascii="仿宋" w:eastAsia="仿宋" w:hAnsi="仿宋"/>
          <w:color w:val="000000" w:themeColor="text1"/>
          <w:sz w:val="28"/>
          <w:szCs w:val="28"/>
        </w:rPr>
        <w:t>和中国证监会</w:t>
      </w:r>
      <w:r>
        <w:rPr>
          <w:rFonts w:ascii="仿宋" w:eastAsia="仿宋" w:hAnsi="仿宋" w:hint="eastAsia"/>
          <w:color w:val="000000" w:themeColor="text1"/>
          <w:sz w:val="28"/>
          <w:szCs w:val="28"/>
        </w:rPr>
        <w:t>基金</w:t>
      </w:r>
      <w:r>
        <w:rPr>
          <w:rFonts w:ascii="仿宋" w:eastAsia="仿宋" w:hAnsi="仿宋"/>
          <w:color w:val="000000" w:themeColor="text1"/>
          <w:sz w:val="28"/>
          <w:szCs w:val="28"/>
        </w:rPr>
        <w:t>电子披露网站</w:t>
      </w:r>
      <w:r>
        <w:rPr>
          <w:rFonts w:ascii="仿宋" w:eastAsia="仿宋" w:hAnsi="仿宋" w:hint="eastAsia"/>
          <w:color w:val="000000" w:themeColor="text1"/>
          <w:sz w:val="28"/>
          <w:szCs w:val="28"/>
        </w:rPr>
        <w:t>（</w:t>
      </w:r>
      <w:hyperlink r:id="rId8" w:history="1">
        <w:r>
          <w:rPr>
            <w:rStyle w:val="a9"/>
            <w:rFonts w:ascii="仿宋" w:eastAsia="仿宋" w:hAnsi="仿宋" w:hint="eastAsia"/>
            <w:sz w:val="28"/>
            <w:szCs w:val="28"/>
          </w:rPr>
          <w:t>http://eid.csrc.gov.cn/fund</w:t>
        </w:r>
      </w:hyperlink>
      <w:r>
        <w:rPr>
          <w:rFonts w:ascii="仿宋" w:eastAsia="仿宋" w:hAnsi="仿宋" w:hint="eastAsia"/>
          <w:color w:val="000000" w:themeColor="text1"/>
          <w:sz w:val="28"/>
          <w:szCs w:val="28"/>
        </w:rPr>
        <w:t>）</w:t>
      </w:r>
      <w:r>
        <w:rPr>
          <w:rFonts w:ascii="仿宋" w:eastAsia="仿宋" w:hAnsi="仿宋"/>
          <w:color w:val="000000" w:themeColor="text1"/>
          <w:sz w:val="28"/>
          <w:szCs w:val="28"/>
        </w:rPr>
        <w:t>披露，供投资者查阅。</w:t>
      </w:r>
      <w:r>
        <w:rPr>
          <w:rFonts w:ascii="仿宋" w:eastAsia="仿宋" w:hAnsi="仿宋" w:hint="eastAsia"/>
          <w:color w:val="000000" w:themeColor="text1"/>
          <w:sz w:val="28"/>
          <w:szCs w:val="28"/>
        </w:rPr>
        <w:t>如有疑问可拨打本公司客服电话（</w:t>
      </w:r>
      <w:r>
        <w:rPr>
          <w:rFonts w:ascii="仿宋" w:eastAsia="仿宋" w:hAnsi="仿宋"/>
          <w:color w:val="000000" w:themeColor="text1"/>
          <w:sz w:val="28"/>
          <w:szCs w:val="28"/>
        </w:rPr>
        <w:t>400-889-8899</w:t>
      </w:r>
      <w:r>
        <w:rPr>
          <w:rFonts w:ascii="仿宋" w:eastAsia="仿宋" w:hAnsi="仿宋" w:hint="eastAsia"/>
          <w:color w:val="000000" w:themeColor="text1"/>
          <w:sz w:val="28"/>
          <w:szCs w:val="28"/>
        </w:rPr>
        <w:t>）咨询</w:t>
      </w:r>
      <w:r>
        <w:rPr>
          <w:rFonts w:ascii="仿宋" w:eastAsia="仿宋" w:hAnsi="仿宋"/>
          <w:color w:val="000000" w:themeColor="text1"/>
          <w:sz w:val="28"/>
          <w:szCs w:val="28"/>
        </w:rPr>
        <w:t>。</w:t>
      </w:r>
    </w:p>
    <w:p w:rsidR="00750CEB" w:rsidRDefault="00CA54F8">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750CEB" w:rsidRDefault="00CA54F8">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750CEB" w:rsidRDefault="00CA54F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p>
    <w:p w:rsidR="00750CEB" w:rsidRDefault="00CA54F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2022年</w:t>
      </w:r>
      <w:r>
        <w:rPr>
          <w:rFonts w:ascii="仿宋" w:eastAsia="仿宋" w:hAnsi="仿宋"/>
          <w:color w:val="000000" w:themeColor="text1"/>
          <w:sz w:val="28"/>
          <w:szCs w:val="28"/>
        </w:rPr>
        <w:t>3</w:t>
      </w:r>
      <w:r>
        <w:rPr>
          <w:rFonts w:ascii="仿宋" w:eastAsia="仿宋" w:hAnsi="仿宋" w:hint="eastAsia"/>
          <w:color w:val="000000" w:themeColor="text1"/>
          <w:sz w:val="28"/>
          <w:szCs w:val="28"/>
        </w:rPr>
        <w:t>月</w:t>
      </w:r>
      <w:r>
        <w:rPr>
          <w:rFonts w:ascii="仿宋" w:eastAsia="仿宋" w:hAnsi="仿宋"/>
          <w:color w:val="000000" w:themeColor="text1"/>
          <w:sz w:val="28"/>
          <w:szCs w:val="28"/>
        </w:rPr>
        <w:t>31</w:t>
      </w:r>
      <w:r>
        <w:rPr>
          <w:rFonts w:ascii="仿宋" w:eastAsia="仿宋" w:hAnsi="仿宋" w:hint="eastAsia"/>
          <w:color w:val="000000" w:themeColor="text1"/>
          <w:sz w:val="28"/>
          <w:szCs w:val="28"/>
        </w:rPr>
        <w:t>日</w:t>
      </w:r>
    </w:p>
    <w:sectPr w:rsidR="00750CEB" w:rsidSect="006B744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4C" w:rsidRDefault="00CA54F8">
      <w:r>
        <w:separator/>
      </w:r>
    </w:p>
  </w:endnote>
  <w:endnote w:type="continuationSeparator" w:id="0">
    <w:p w:rsidR="006B744C" w:rsidRDefault="00CA5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750CEB" w:rsidRDefault="006B744C">
        <w:pPr>
          <w:pStyle w:val="a5"/>
          <w:jc w:val="center"/>
        </w:pPr>
        <w:r>
          <w:fldChar w:fldCharType="begin"/>
        </w:r>
        <w:r w:rsidR="00CA54F8">
          <w:instrText>PAGE   \* MERGEFORMAT</w:instrText>
        </w:r>
        <w:r>
          <w:fldChar w:fldCharType="separate"/>
        </w:r>
        <w:r w:rsidR="0059174C" w:rsidRPr="0059174C">
          <w:rPr>
            <w:noProof/>
            <w:lang w:val="zh-CN"/>
          </w:rPr>
          <w:t>2</w:t>
        </w:r>
        <w:r>
          <w:fldChar w:fldCharType="end"/>
        </w:r>
      </w:p>
    </w:sdtContent>
  </w:sdt>
  <w:p w:rsidR="00750CEB" w:rsidRDefault="00750C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750CEB" w:rsidRDefault="006B744C">
        <w:pPr>
          <w:pStyle w:val="a5"/>
          <w:jc w:val="center"/>
        </w:pPr>
        <w:r>
          <w:fldChar w:fldCharType="begin"/>
        </w:r>
        <w:r w:rsidR="00CA54F8">
          <w:instrText>PAGE   \* MERGEFORMAT</w:instrText>
        </w:r>
        <w:r>
          <w:fldChar w:fldCharType="separate"/>
        </w:r>
        <w:r w:rsidR="0059174C" w:rsidRPr="0059174C">
          <w:rPr>
            <w:noProof/>
            <w:lang w:val="zh-CN"/>
          </w:rPr>
          <w:t>1</w:t>
        </w:r>
        <w:r>
          <w:fldChar w:fldCharType="end"/>
        </w:r>
      </w:p>
    </w:sdtContent>
  </w:sdt>
  <w:p w:rsidR="00750CEB" w:rsidRDefault="00750C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4C" w:rsidRDefault="00CA54F8">
      <w:r>
        <w:separator/>
      </w:r>
    </w:p>
  </w:footnote>
  <w:footnote w:type="continuationSeparator" w:id="0">
    <w:p w:rsidR="006B744C" w:rsidRDefault="00CA5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267F6"/>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174C"/>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B744C"/>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0CEB"/>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2439"/>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13D58"/>
    <w:rsid w:val="0092312D"/>
    <w:rsid w:val="00933628"/>
    <w:rsid w:val="009412AF"/>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54F8"/>
    <w:rsid w:val="00CA6A56"/>
    <w:rsid w:val="00CB2CEE"/>
    <w:rsid w:val="00CB4DE3"/>
    <w:rsid w:val="00CC0242"/>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43E"/>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1F0201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B744C"/>
    <w:pPr>
      <w:jc w:val="left"/>
    </w:pPr>
  </w:style>
  <w:style w:type="paragraph" w:styleId="a4">
    <w:name w:val="Balloon Text"/>
    <w:basedOn w:val="a"/>
    <w:link w:val="Char0"/>
    <w:uiPriority w:val="99"/>
    <w:semiHidden/>
    <w:unhideWhenUsed/>
    <w:rsid w:val="006B744C"/>
    <w:rPr>
      <w:sz w:val="18"/>
      <w:szCs w:val="18"/>
    </w:rPr>
  </w:style>
  <w:style w:type="paragraph" w:styleId="a5">
    <w:name w:val="footer"/>
    <w:basedOn w:val="a"/>
    <w:link w:val="Char1"/>
    <w:uiPriority w:val="99"/>
    <w:unhideWhenUsed/>
    <w:rsid w:val="006B744C"/>
    <w:pPr>
      <w:tabs>
        <w:tab w:val="center" w:pos="4153"/>
        <w:tab w:val="right" w:pos="8306"/>
      </w:tabs>
      <w:snapToGrid w:val="0"/>
      <w:jc w:val="left"/>
    </w:pPr>
    <w:rPr>
      <w:sz w:val="18"/>
      <w:szCs w:val="18"/>
    </w:rPr>
  </w:style>
  <w:style w:type="paragraph" w:styleId="a6">
    <w:name w:val="header"/>
    <w:basedOn w:val="a"/>
    <w:link w:val="Char2"/>
    <w:uiPriority w:val="99"/>
    <w:unhideWhenUsed/>
    <w:rsid w:val="006B744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rsid w:val="006B744C"/>
    <w:pPr>
      <w:snapToGrid w:val="0"/>
      <w:jc w:val="left"/>
    </w:pPr>
    <w:rPr>
      <w:sz w:val="18"/>
      <w:szCs w:val="18"/>
    </w:rPr>
  </w:style>
  <w:style w:type="paragraph" w:styleId="a8">
    <w:name w:val="annotation subject"/>
    <w:basedOn w:val="a3"/>
    <w:next w:val="a3"/>
    <w:link w:val="Char4"/>
    <w:uiPriority w:val="99"/>
    <w:semiHidden/>
    <w:unhideWhenUsed/>
    <w:rsid w:val="006B744C"/>
    <w:rPr>
      <w:b/>
      <w:bCs/>
    </w:rPr>
  </w:style>
  <w:style w:type="character" w:styleId="a9">
    <w:name w:val="Hyperlink"/>
    <w:basedOn w:val="a0"/>
    <w:uiPriority w:val="99"/>
    <w:unhideWhenUsed/>
    <w:qFormat/>
    <w:rsid w:val="006B744C"/>
    <w:rPr>
      <w:color w:val="0000FF" w:themeColor="hyperlink"/>
      <w:u w:val="single"/>
    </w:rPr>
  </w:style>
  <w:style w:type="character" w:styleId="aa">
    <w:name w:val="annotation reference"/>
    <w:basedOn w:val="a0"/>
    <w:uiPriority w:val="99"/>
    <w:semiHidden/>
    <w:unhideWhenUsed/>
    <w:rsid w:val="006B744C"/>
    <w:rPr>
      <w:sz w:val="21"/>
      <w:szCs w:val="21"/>
    </w:rPr>
  </w:style>
  <w:style w:type="character" w:styleId="ab">
    <w:name w:val="footnote reference"/>
    <w:basedOn w:val="a0"/>
    <w:uiPriority w:val="99"/>
    <w:semiHidden/>
    <w:unhideWhenUsed/>
    <w:rsid w:val="006B744C"/>
    <w:rPr>
      <w:vertAlign w:val="superscript"/>
    </w:rPr>
  </w:style>
  <w:style w:type="character" w:customStyle="1" w:styleId="Char2">
    <w:name w:val="页眉 Char"/>
    <w:basedOn w:val="a0"/>
    <w:link w:val="a6"/>
    <w:uiPriority w:val="99"/>
    <w:qFormat/>
    <w:rsid w:val="006B744C"/>
    <w:rPr>
      <w:sz w:val="18"/>
      <w:szCs w:val="18"/>
    </w:rPr>
  </w:style>
  <w:style w:type="character" w:customStyle="1" w:styleId="Char1">
    <w:name w:val="页脚 Char"/>
    <w:basedOn w:val="a0"/>
    <w:link w:val="a5"/>
    <w:uiPriority w:val="99"/>
    <w:rsid w:val="006B744C"/>
    <w:rPr>
      <w:sz w:val="18"/>
      <w:szCs w:val="18"/>
    </w:rPr>
  </w:style>
  <w:style w:type="paragraph" w:styleId="ac">
    <w:name w:val="List Paragraph"/>
    <w:basedOn w:val="a"/>
    <w:uiPriority w:val="34"/>
    <w:qFormat/>
    <w:rsid w:val="006B744C"/>
    <w:pPr>
      <w:ind w:firstLineChars="200" w:firstLine="420"/>
    </w:pPr>
  </w:style>
  <w:style w:type="character" w:customStyle="1" w:styleId="Char0">
    <w:name w:val="批注框文本 Char"/>
    <w:basedOn w:val="a0"/>
    <w:link w:val="a4"/>
    <w:uiPriority w:val="99"/>
    <w:semiHidden/>
    <w:qFormat/>
    <w:rsid w:val="006B744C"/>
    <w:rPr>
      <w:sz w:val="18"/>
      <w:szCs w:val="18"/>
    </w:rPr>
  </w:style>
  <w:style w:type="character" w:customStyle="1" w:styleId="Char">
    <w:name w:val="批注文字 Char"/>
    <w:basedOn w:val="a0"/>
    <w:link w:val="a3"/>
    <w:uiPriority w:val="99"/>
    <w:semiHidden/>
    <w:rsid w:val="006B744C"/>
  </w:style>
  <w:style w:type="character" w:customStyle="1" w:styleId="Char4">
    <w:name w:val="批注主题 Char"/>
    <w:basedOn w:val="Char"/>
    <w:link w:val="a8"/>
    <w:uiPriority w:val="99"/>
    <w:semiHidden/>
    <w:rsid w:val="006B744C"/>
    <w:rPr>
      <w:b/>
      <w:bCs/>
    </w:rPr>
  </w:style>
  <w:style w:type="character" w:customStyle="1" w:styleId="Char3">
    <w:name w:val="脚注文本 Char"/>
    <w:basedOn w:val="a0"/>
    <w:link w:val="a7"/>
    <w:uiPriority w:val="99"/>
    <w:semiHidden/>
    <w:rsid w:val="006B744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1FF5D-064C-431D-8A4B-70C77002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Office Word</Application>
  <DocSecurity>4</DocSecurity>
  <Lines>42</Lines>
  <Paragraphs>11</Paragraphs>
  <ScaleCrop>false</ScaleCrop>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2022-03-30T16:05:00Z</dcterms:created>
  <dcterms:modified xsi:type="dcterms:W3CDTF">2022-03-30T16:05:00Z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3C9DD39FACE44F5DAE3A69DED96B1B11</vt:lpwstr>
  </property>
</Properties>
</file>