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45" w:rsidRDefault="00222345" w:rsidP="00131E7E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东吴基金管理有限公司旗下</w:t>
      </w:r>
      <w:r w:rsidRPr="001E4458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部分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基金</w:t>
      </w:r>
    </w:p>
    <w:p w:rsidR="00222345" w:rsidRDefault="00222345" w:rsidP="00131E7E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</w:rPr>
        <w:t>2021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 w:rsidR="00FD3CA9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年度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报告</w:t>
      </w:r>
      <w:r w:rsidRPr="00025BDA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提示性公告</w:t>
      </w:r>
    </w:p>
    <w:p w:rsidR="00222345" w:rsidRPr="006A4BAA" w:rsidRDefault="00222345" w:rsidP="00131E7E">
      <w:pPr>
        <w:spacing w:line="540" w:lineRule="exact"/>
        <w:ind w:firstLineChars="50" w:firstLine="160"/>
        <w:jc w:val="center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22345" w:rsidRPr="00B16987" w:rsidRDefault="00222345" w:rsidP="009216B0">
      <w:pPr>
        <w:spacing w:line="540" w:lineRule="exact"/>
        <w:ind w:firstLineChars="250" w:firstLine="800"/>
        <w:rPr>
          <w:rFonts w:ascii="仿宋" w:eastAsia="仿宋" w:hAnsi="仿宋" w:cs="Times New Roman"/>
          <w:color w:val="000000"/>
          <w:sz w:val="32"/>
          <w:szCs w:val="32"/>
        </w:rPr>
      </w:pPr>
      <w:r w:rsidRPr="0043655D">
        <w:rPr>
          <w:rFonts w:ascii="仿宋" w:eastAsia="仿宋" w:hAnsi="仿宋" w:cs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 w:rsidR="00B916EA">
        <w:rPr>
          <w:rFonts w:ascii="仿宋" w:eastAsia="仿宋" w:hAnsi="仿宋" w:cs="仿宋" w:hint="eastAsia"/>
          <w:color w:val="000000"/>
          <w:sz w:val="32"/>
          <w:szCs w:val="32"/>
        </w:rPr>
        <w:t>年度</w:t>
      </w:r>
      <w:r w:rsidRPr="00B16987">
        <w:rPr>
          <w:rFonts w:ascii="仿宋" w:eastAsia="仿宋" w:hAnsi="仿宋" w:cs="仿宋" w:hint="eastAsia"/>
          <w:color w:val="000000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222345" w:rsidRPr="005A1AF7" w:rsidRDefault="00222345" w:rsidP="009216B0">
      <w:pPr>
        <w:spacing w:line="540" w:lineRule="exact"/>
        <w:ind w:firstLineChars="250" w:firstLine="800"/>
        <w:rPr>
          <w:rFonts w:ascii="仿宋" w:eastAsia="仿宋" w:hAnsi="仿宋" w:cs="Times New Roman"/>
          <w:color w:val="000000"/>
          <w:sz w:val="32"/>
          <w:szCs w:val="32"/>
        </w:rPr>
      </w:pP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t>东吴基金管理有限公司旗下，东吴嘉禾优势精选混合型开放式证券投资基金、东吴价值成长双动力混合型证券投资基金、东吴行业轮动混合型证券投资基金、东吴进取策略灵活配置混合型开放式证券投资基金、东吴新经济混合型证券投资基金、东吴货币市场证券投资基金、东吴安享量化灵活配置混合型证券投资基金、东吴中证新兴产业指数证券投资基金、东吴新产业精选股票型证券投资基金、东吴沪深</w:t>
      </w:r>
      <w:r w:rsidRPr="001E4458">
        <w:rPr>
          <w:rFonts w:ascii="仿宋" w:eastAsia="仿宋" w:hAnsi="仿宋" w:cs="仿宋"/>
          <w:color w:val="000000"/>
          <w:sz w:val="32"/>
          <w:szCs w:val="32"/>
        </w:rPr>
        <w:t>300</w:t>
      </w: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t>指数型证券投资基金、东吴配置优化灵活配置混合型证券投资基金、东吴多策略灵</w:t>
      </w:r>
      <w:r w:rsidR="00FD3CA9">
        <w:rPr>
          <w:rFonts w:ascii="仿宋" w:eastAsia="仿宋" w:hAnsi="仿宋" w:cs="仿宋" w:hint="eastAsia"/>
          <w:color w:val="000000"/>
          <w:sz w:val="32"/>
          <w:szCs w:val="32"/>
        </w:rPr>
        <w:t>活配置混合型证券投资基金、东吴阿尔法灵活配置混合型证券投资基金</w:t>
      </w: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t>、东吴移动互联灵活配置混合型证券投资基金、东吴新趋势价值线灵活配置混合型证券投资基金、东吴国企改革主题灵活配置混合型证券投资基金、东吴安盈量化灵活配置混合型证券投资基金、东吴安鑫量化灵活配置混合型证券投资基金、东吴智慧医疗量化策略灵活配置混合型证券投资基金、东吴增鑫宝货币市场基金、东吴优益债券型证券投资基金、东吴双三角股票型证券投资基金、东吴悦秀纯债债券型证券投资基金、东吴鼎泰纯债债券型证券投资基金、东吴兴享成长混合型证券投资基金、东吴瑞盈</w:t>
      </w:r>
      <w:r w:rsidRPr="001E4458">
        <w:rPr>
          <w:rFonts w:ascii="仿宋" w:eastAsia="仿宋" w:hAnsi="仿宋" w:cs="仿宋"/>
          <w:color w:val="000000"/>
          <w:sz w:val="32"/>
          <w:szCs w:val="32"/>
        </w:rPr>
        <w:t>63</w:t>
      </w: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t>个月定期开放债券型证券投资基</w:t>
      </w: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金</w:t>
      </w:r>
      <w:r w:rsidR="00FD3CA9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FD3CA9" w:rsidRPr="00FD3CA9">
        <w:rPr>
          <w:rFonts w:ascii="仿宋" w:eastAsia="仿宋" w:hAnsi="仿宋" w:cs="仿宋" w:hint="eastAsia"/>
          <w:color w:val="000000"/>
          <w:sz w:val="32"/>
          <w:szCs w:val="32"/>
        </w:rPr>
        <w:t>东吴苏州工业园区产业园封闭式基础设施证券投资基金</w:t>
      </w:r>
      <w:r w:rsidR="00FD3CA9"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 w:rsidR="00FD3CA9" w:rsidRPr="00FD3CA9">
        <w:rPr>
          <w:rFonts w:ascii="仿宋" w:eastAsia="仿宋" w:hAnsi="仿宋" w:cs="仿宋" w:hint="eastAsia"/>
          <w:color w:val="000000"/>
          <w:sz w:val="32"/>
          <w:szCs w:val="32"/>
        </w:rPr>
        <w:t>东吴消费成长混合型证券投资基金</w:t>
      </w:r>
      <w:r w:rsidRPr="001E4458">
        <w:rPr>
          <w:rFonts w:ascii="仿宋" w:eastAsia="仿宋" w:hAnsi="仿宋" w:cs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cs="仿宋"/>
          <w:color w:val="000000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FD3CA9">
        <w:rPr>
          <w:rFonts w:ascii="仿宋" w:eastAsia="仿宋" w:hAnsi="仿宋" w:cs="仿宋" w:hint="eastAsia"/>
          <w:color w:val="000000"/>
          <w:sz w:val="32"/>
          <w:szCs w:val="32"/>
        </w:rPr>
        <w:t>年度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报告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全文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于</w:t>
      </w: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FD3CA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FD3CA9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FD3CA9">
        <w:rPr>
          <w:rFonts w:ascii="仿宋" w:eastAsia="仿宋" w:hAnsi="仿宋" w:cs="仿宋" w:hint="eastAsia"/>
          <w:color w:val="000000"/>
          <w:sz w:val="32"/>
          <w:szCs w:val="32"/>
        </w:rPr>
        <w:t>31</w:t>
      </w:r>
      <w:r w:rsidRPr="000076CF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在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本公司网站</w:t>
      </w:r>
      <w:r>
        <w:rPr>
          <w:rFonts w:ascii="仿宋" w:eastAsia="仿宋" w:hAnsi="仿宋" w:cs="仿宋"/>
          <w:color w:val="000000"/>
          <w:sz w:val="32"/>
          <w:szCs w:val="32"/>
        </w:rPr>
        <w:t>(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http</w:t>
      </w:r>
      <w:r>
        <w:rPr>
          <w:rFonts w:ascii="仿宋" w:eastAsia="仿宋" w:hAnsi="仿宋" w:cs="仿宋"/>
          <w:color w:val="000000"/>
          <w:sz w:val="32"/>
          <w:szCs w:val="32"/>
        </w:rPr>
        <w:t>: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//www.scfund.com.cn</w:t>
      </w:r>
      <w:r>
        <w:rPr>
          <w:rFonts w:ascii="仿宋" w:eastAsia="仿宋" w:hAnsi="仿宋" w:cs="仿宋"/>
          <w:color w:val="000000"/>
          <w:sz w:val="32"/>
          <w:szCs w:val="32"/>
        </w:rPr>
        <w:t>)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和中国证监会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基金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电子披露网站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sz w:val="32"/>
          <w:szCs w:val="32"/>
        </w:rPr>
        <w:t>http://eid.csrc.gov.cn/fund</w:t>
      </w:r>
      <w:r w:rsidRPr="000F07E6">
        <w:rPr>
          <w:rFonts w:ascii="仿宋" w:eastAsia="仿宋" w:hAnsi="仿宋" w:cs="仿宋" w:hint="eastAsia"/>
          <w:color w:val="000000"/>
          <w:sz w:val="32"/>
          <w:szCs w:val="32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披露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，供投资者查阅。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如有疑问可拨打本公司</w:t>
      </w:r>
      <w:r w:rsidRPr="00AE5554">
        <w:rPr>
          <w:rFonts w:ascii="仿宋" w:eastAsia="仿宋" w:hAnsi="仿宋" w:cs="仿宋" w:hint="eastAsia"/>
          <w:color w:val="000000"/>
          <w:sz w:val="32"/>
          <w:szCs w:val="32"/>
        </w:rPr>
        <w:t>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服</w:t>
      </w:r>
      <w:r w:rsidRPr="00AE5554">
        <w:rPr>
          <w:rFonts w:ascii="仿宋" w:eastAsia="仿宋" w:hAnsi="仿宋" w:cs="仿宋" w:hint="eastAsia"/>
          <w:color w:val="000000"/>
          <w:sz w:val="32"/>
          <w:szCs w:val="32"/>
        </w:rPr>
        <w:t>电话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（</w:t>
      </w:r>
      <w:r w:rsidRPr="00C70167">
        <w:rPr>
          <w:rFonts w:ascii="仿宋" w:eastAsia="仿宋" w:hAnsi="仿宋" w:cs="仿宋"/>
          <w:color w:val="000000"/>
          <w:sz w:val="32"/>
          <w:szCs w:val="32"/>
        </w:rPr>
        <w:t>400-821-0588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）咨询</w:t>
      </w:r>
      <w:r w:rsidRPr="00AE5554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本基金管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cs="仿宋" w:hint="eastAsia"/>
          <w:color w:val="000000"/>
          <w:sz w:val="32"/>
          <w:szCs w:val="32"/>
        </w:rPr>
        <w:t>基金的风险收益特征，审慎做出投资决定。</w:t>
      </w: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特此公告。</w:t>
      </w: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222345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222345" w:rsidRPr="005A1AF7" w:rsidRDefault="00222345" w:rsidP="009216B0">
      <w:pPr>
        <w:spacing w:line="54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</w:p>
    <w:p w:rsidR="00222345" w:rsidRDefault="00222345" w:rsidP="009216B0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东吴基金管理有限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公司</w:t>
      </w:r>
    </w:p>
    <w:p w:rsidR="00222345" w:rsidRPr="00A7247E" w:rsidRDefault="00222345" w:rsidP="00923218">
      <w:pPr>
        <w:spacing w:line="540" w:lineRule="exact"/>
        <w:ind w:firstLineChars="250" w:firstLine="800"/>
        <w:jc w:val="righ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202</w:t>
      </w:r>
      <w:r w:rsidR="00FD3CA9">
        <w:rPr>
          <w:rFonts w:ascii="仿宋" w:eastAsia="仿宋" w:hAnsi="仿宋" w:cs="仿宋" w:hint="eastAsia"/>
          <w:color w:val="000000"/>
          <w:sz w:val="32"/>
          <w:szCs w:val="32"/>
        </w:rPr>
        <w:t>2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FD3CA9">
        <w:rPr>
          <w:rFonts w:ascii="仿宋" w:eastAsia="仿宋" w:hAnsi="仿宋" w:cs="仿宋" w:hint="eastAsia"/>
          <w:color w:val="000000"/>
          <w:sz w:val="32"/>
          <w:szCs w:val="32"/>
        </w:rPr>
        <w:t>3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 w:rsidR="00FD3CA9">
        <w:rPr>
          <w:rFonts w:ascii="仿宋" w:eastAsia="仿宋" w:hAnsi="仿宋" w:cs="仿宋" w:hint="eastAsia"/>
          <w:color w:val="000000"/>
          <w:sz w:val="32"/>
          <w:szCs w:val="32"/>
        </w:rPr>
        <w:t>31</w:t>
      </w:r>
      <w:r w:rsidRPr="00B17C02"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sectPr w:rsidR="00222345" w:rsidRPr="00A7247E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45" w:rsidRDefault="005E75DF">
    <w:pPr>
      <w:pStyle w:val="a4"/>
      <w:jc w:val="center"/>
      <w:rPr>
        <w:rFonts w:cs="Times New Roman"/>
      </w:rPr>
    </w:pPr>
    <w:r w:rsidRPr="005E75DF">
      <w:fldChar w:fldCharType="begin"/>
    </w:r>
    <w:r w:rsidR="009216B0">
      <w:instrText>PAGE   \* MERGEFORMAT</w:instrText>
    </w:r>
    <w:r w:rsidRPr="005E75DF">
      <w:fldChar w:fldCharType="separate"/>
    </w:r>
    <w:r w:rsidR="00131E7E" w:rsidRPr="00131E7E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222345" w:rsidRDefault="00222345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45" w:rsidRDefault="005E75DF">
    <w:pPr>
      <w:pStyle w:val="a4"/>
      <w:jc w:val="center"/>
      <w:rPr>
        <w:rFonts w:cs="Times New Roman"/>
      </w:rPr>
    </w:pPr>
    <w:r w:rsidRPr="005E75DF">
      <w:fldChar w:fldCharType="begin"/>
    </w:r>
    <w:r w:rsidR="009216B0">
      <w:instrText>PAGE   \* MERGEFORMAT</w:instrText>
    </w:r>
    <w:r w:rsidRPr="005E75DF">
      <w:fldChar w:fldCharType="separate"/>
    </w:r>
    <w:r w:rsidR="00131E7E" w:rsidRPr="00131E7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22345" w:rsidRDefault="0022234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345" w:rsidRDefault="00222345" w:rsidP="009A14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>
      <w:start w:val="1"/>
      <w:numFmt w:val="decimal"/>
      <w:lvlText w:val="%4."/>
      <w:lvlJc w:val="left"/>
      <w:pPr>
        <w:ind w:left="2740" w:hanging="420"/>
      </w:pPr>
    </w:lvl>
    <w:lvl w:ilvl="4" w:tplc="04090019">
      <w:start w:val="1"/>
      <w:numFmt w:val="lowerLetter"/>
      <w:lvlText w:val="%5)"/>
      <w:lvlJc w:val="left"/>
      <w:pPr>
        <w:ind w:left="3160" w:hanging="420"/>
      </w:pPr>
    </w:lvl>
    <w:lvl w:ilvl="5" w:tplc="0409001B">
      <w:start w:val="1"/>
      <w:numFmt w:val="lowerRoman"/>
      <w:lvlText w:val="%6."/>
      <w:lvlJc w:val="right"/>
      <w:pPr>
        <w:ind w:left="3580" w:hanging="420"/>
      </w:pPr>
    </w:lvl>
    <w:lvl w:ilvl="6" w:tplc="0409000F">
      <w:start w:val="1"/>
      <w:numFmt w:val="decimal"/>
      <w:lvlText w:val="%7."/>
      <w:lvlJc w:val="left"/>
      <w:pPr>
        <w:ind w:left="4000" w:hanging="420"/>
      </w:pPr>
    </w:lvl>
    <w:lvl w:ilvl="7" w:tplc="04090019">
      <w:start w:val="1"/>
      <w:numFmt w:val="lowerLetter"/>
      <w:lvlText w:val="%8)"/>
      <w:lvlJc w:val="left"/>
      <w:pPr>
        <w:ind w:left="4420" w:hanging="420"/>
      </w:pPr>
    </w:lvl>
    <w:lvl w:ilvl="8" w:tplc="0409001B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cumentProtection w:formatting="1"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076CF"/>
    <w:rsid w:val="00010044"/>
    <w:rsid w:val="00022ABD"/>
    <w:rsid w:val="00025BDA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653D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E7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6B5A"/>
    <w:rsid w:val="001A593B"/>
    <w:rsid w:val="001D04AB"/>
    <w:rsid w:val="001D2521"/>
    <w:rsid w:val="001D74AE"/>
    <w:rsid w:val="001E4458"/>
    <w:rsid w:val="001E7CAD"/>
    <w:rsid w:val="001F125D"/>
    <w:rsid w:val="001F15CB"/>
    <w:rsid w:val="001F533E"/>
    <w:rsid w:val="0021172E"/>
    <w:rsid w:val="00221DE2"/>
    <w:rsid w:val="00222345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582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2E7"/>
    <w:rsid w:val="00567A02"/>
    <w:rsid w:val="005711D9"/>
    <w:rsid w:val="005751C6"/>
    <w:rsid w:val="00582D8F"/>
    <w:rsid w:val="005837B0"/>
    <w:rsid w:val="00596AC1"/>
    <w:rsid w:val="005A1AF7"/>
    <w:rsid w:val="005A408B"/>
    <w:rsid w:val="005A46AE"/>
    <w:rsid w:val="005A77EA"/>
    <w:rsid w:val="005B42EF"/>
    <w:rsid w:val="005B5746"/>
    <w:rsid w:val="005C00AF"/>
    <w:rsid w:val="005C7C95"/>
    <w:rsid w:val="005D3C24"/>
    <w:rsid w:val="005D4528"/>
    <w:rsid w:val="005E088E"/>
    <w:rsid w:val="005E0F00"/>
    <w:rsid w:val="005E75D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4BAA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3D6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4027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36C1D"/>
    <w:rsid w:val="00847A69"/>
    <w:rsid w:val="008619E1"/>
    <w:rsid w:val="00865B86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6B0"/>
    <w:rsid w:val="0092312D"/>
    <w:rsid w:val="00923218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0C64"/>
    <w:rsid w:val="00AE3F47"/>
    <w:rsid w:val="00AE5554"/>
    <w:rsid w:val="00AE69BF"/>
    <w:rsid w:val="00AF7347"/>
    <w:rsid w:val="00B014DF"/>
    <w:rsid w:val="00B11B77"/>
    <w:rsid w:val="00B16987"/>
    <w:rsid w:val="00B17C02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16EA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67A4"/>
    <w:rsid w:val="00C61988"/>
    <w:rsid w:val="00C64316"/>
    <w:rsid w:val="00C67F89"/>
    <w:rsid w:val="00C70167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3A59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54A"/>
    <w:rsid w:val="00F77F4B"/>
    <w:rsid w:val="00F9100C"/>
    <w:rsid w:val="00FA0934"/>
    <w:rsid w:val="00FA653D"/>
    <w:rsid w:val="00FB23EE"/>
    <w:rsid w:val="00FC34DF"/>
    <w:rsid w:val="00FD3CA9"/>
    <w:rsid w:val="00FD658E"/>
    <w:rsid w:val="00FE0C5A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9A149B"/>
    <w:rPr>
      <w:sz w:val="18"/>
      <w:szCs w:val="18"/>
    </w:rPr>
  </w:style>
  <w:style w:type="paragraph" w:styleId="a5">
    <w:name w:val="List Paragraph"/>
    <w:basedOn w:val="a"/>
    <w:uiPriority w:val="99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C75104"/>
    <w:rPr>
      <w:sz w:val="18"/>
      <w:szCs w:val="18"/>
    </w:rPr>
  </w:style>
  <w:style w:type="character" w:styleId="a7">
    <w:name w:val="Hyperlink"/>
    <w:basedOn w:val="a0"/>
    <w:uiPriority w:val="99"/>
    <w:rsid w:val="00BB3501"/>
    <w:rPr>
      <w:color w:val="0000FF"/>
      <w:u w:val="single"/>
    </w:rPr>
  </w:style>
  <w:style w:type="character" w:styleId="a8">
    <w:name w:val="annotation reference"/>
    <w:basedOn w:val="a0"/>
    <w:uiPriority w:val="99"/>
    <w:semiHidden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locked/>
    <w:rsid w:val="002F2B53"/>
  </w:style>
  <w:style w:type="paragraph" w:styleId="aa">
    <w:name w:val="annotation subject"/>
    <w:basedOn w:val="a9"/>
    <w:next w:val="a9"/>
    <w:link w:val="Char3"/>
    <w:uiPriority w:val="99"/>
    <w:semiHidden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locked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locked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4</DocSecurity>
  <Lines>6</Lines>
  <Paragraphs>1</Paragraphs>
  <ScaleCrop>false</ScaleCrop>
  <Company>MC SYSTEM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2021-08-26T07:14:00Z</cp:lastPrinted>
  <dcterms:created xsi:type="dcterms:W3CDTF">2022-03-30T16:05:00Z</dcterms:created>
  <dcterms:modified xsi:type="dcterms:W3CDTF">2022-03-30T16:05:00Z</dcterms:modified>
</cp:coreProperties>
</file>