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65617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年度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65617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年度报告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65617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65617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年度报告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全文于</w:t>
      </w:r>
      <w:r w:rsidR="00656175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5617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22</w:t>
      </w:r>
      <w:r w:rsidR="00656175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65617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65617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656175">
        <w:rPr>
          <w:rFonts w:ascii="Times New Roman" w:eastAsia="宋体" w:hAnsi="Times New Roman" w:cs="Times New Roman" w:hint="eastAsia"/>
          <w:color w:val="000000"/>
          <w:sz w:val="24"/>
        </w:rPr>
        <w:t>三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</w:t>
      </w:r>
      <w:r w:rsidR="00656175">
        <w:rPr>
          <w:rFonts w:ascii="Times New Roman" w:eastAsia="宋体" w:hAnsi="Times New Roman" w:cs="Times New Roman" w:hint="eastAsia"/>
          <w:color w:val="000000"/>
          <w:sz w:val="24"/>
        </w:rPr>
        <w:t>三十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1" w:rsidRDefault="007F3B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C02254">
        <w:pPr>
          <w:pStyle w:val="a4"/>
          <w:jc w:val="center"/>
        </w:pPr>
        <w:r w:rsidRPr="00C02254">
          <w:fldChar w:fldCharType="begin"/>
        </w:r>
        <w:r w:rsidR="00CA440C">
          <w:instrText>PAGE   \* MERGEFORMAT</w:instrText>
        </w:r>
        <w:r w:rsidRPr="00C02254">
          <w:fldChar w:fldCharType="separate"/>
        </w:r>
        <w:r w:rsidR="00A60AD4" w:rsidRPr="00A60AD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C02254">
        <w:pPr>
          <w:pStyle w:val="a4"/>
          <w:jc w:val="center"/>
        </w:pPr>
        <w:r w:rsidRPr="00C02254">
          <w:fldChar w:fldCharType="begin"/>
        </w:r>
        <w:r w:rsidR="00CA440C">
          <w:instrText>PAGE   \* MERGEFORMAT</w:instrText>
        </w:r>
        <w:r w:rsidRPr="00C02254">
          <w:fldChar w:fldCharType="separate"/>
        </w:r>
        <w:r w:rsidR="00A60AD4" w:rsidRPr="00A60AD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5F69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175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0AD4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254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607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65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19A0-8D51-4B63-A375-064B090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4</DocSecurity>
  <Lines>40</Lines>
  <Paragraphs>11</Paragraphs>
  <ScaleCrop>false</ScaleCrop>
  <Company>chinaamc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2022-03-29T16:04:00Z</dcterms:created>
  <dcterms:modified xsi:type="dcterms:W3CDTF">2022-03-29T16:04:00Z</dcterms:modified>
</cp:coreProperties>
</file>