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0EB" w:rsidRPr="00B832BF" w:rsidRDefault="001420EB" w:rsidP="00CC37A0">
      <w:pPr>
        <w:widowControl/>
        <w:spacing w:line="555" w:lineRule="atLeast"/>
        <w:jc w:val="center"/>
        <w:outlineLvl w:val="0"/>
        <w:rPr>
          <w:rFonts w:ascii="黑体" w:eastAsia="黑体" w:hAnsi="宋体" w:cs="宋体"/>
          <w:color w:val="000000"/>
          <w:kern w:val="36"/>
          <w:sz w:val="30"/>
          <w:szCs w:val="30"/>
        </w:rPr>
      </w:pPr>
      <w:r w:rsidRPr="00B832BF">
        <w:rPr>
          <w:rFonts w:ascii="黑体" w:eastAsia="黑体" w:hAnsi="宋体" w:cs="宋体" w:hint="eastAsia"/>
          <w:color w:val="000000"/>
          <w:kern w:val="36"/>
          <w:sz w:val="30"/>
          <w:szCs w:val="30"/>
        </w:rPr>
        <w:t>富国基金管理有限公司关于旗下</w:t>
      </w:r>
      <w:r w:rsidR="00106014">
        <w:rPr>
          <w:rFonts w:ascii="黑体" w:eastAsia="黑体" w:hAnsi="宋体" w:cs="宋体" w:hint="eastAsia"/>
          <w:color w:val="000000"/>
          <w:kern w:val="36"/>
          <w:sz w:val="30"/>
          <w:szCs w:val="30"/>
        </w:rPr>
        <w:t>部分</w:t>
      </w:r>
      <w:r w:rsidR="00AB2340">
        <w:rPr>
          <w:rFonts w:ascii="黑体" w:eastAsia="黑体" w:hAnsi="宋体" w:cs="宋体" w:hint="eastAsia"/>
          <w:color w:val="000000"/>
          <w:kern w:val="36"/>
          <w:sz w:val="30"/>
          <w:szCs w:val="30"/>
        </w:rPr>
        <w:t>证券投资</w:t>
      </w:r>
      <w:r w:rsidRPr="00B832BF">
        <w:rPr>
          <w:rFonts w:ascii="黑体" w:eastAsia="黑体" w:hAnsi="宋体" w:cs="宋体" w:hint="eastAsia"/>
          <w:color w:val="000000"/>
          <w:kern w:val="36"/>
          <w:sz w:val="30"/>
          <w:szCs w:val="30"/>
        </w:rPr>
        <w:t>基金投资非公开发行股票的公告</w:t>
      </w:r>
    </w:p>
    <w:p w:rsidR="001420EB" w:rsidRPr="00F862D6" w:rsidRDefault="005B5EB3" w:rsidP="00B644CA">
      <w:pPr>
        <w:pStyle w:val="Default"/>
        <w:spacing w:line="360" w:lineRule="auto"/>
        <w:ind w:firstLineChars="200" w:firstLine="480"/>
        <w:rPr>
          <w:rFonts w:ascii="宋体" w:eastAsia="宋体" w:hAnsi="宋体" w:cs="宋体"/>
          <w:color w:val="auto"/>
        </w:rPr>
      </w:pPr>
      <w:r>
        <w:rPr>
          <w:rFonts w:ascii="宋体" w:eastAsia="宋体" w:hAnsi="宋体" w:cs="宋体" w:hint="eastAsia"/>
          <w:color w:val="auto"/>
        </w:rPr>
        <w:t>富国基金管理有限公司</w:t>
      </w:r>
      <w:r>
        <w:rPr>
          <w:rFonts w:ascii="宋体" w:eastAsia="宋体" w:hAnsi="宋体" w:cs="宋体"/>
          <w:color w:val="auto"/>
        </w:rPr>
        <w:t>(以下简称“本公司”)旗下部分证券投资基金参加了洛阳建龙微纳新材料股份有限公司（股票简称：建龙微纳，证券代码：688357）非公开发行股票的认购。洛阳建龙微纳新材料股份有限公司已发布《洛阳建龙微纳新材料股份有限公司2021年度以简易程序向特定对象发行股票发行情况报告书》。根据中国证监会《关于基金投资非公开发行股票等流通受限证券有关问题的通知》等有关规定，本公司现将旗下证券投资基金投资此非公开发行股票的相关情况公告如下：</w:t>
      </w:r>
    </w:p>
    <w:tbl>
      <w:tblPr>
        <w:tblW w:w="11494" w:type="dxa"/>
        <w:jc w:val="center"/>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97"/>
        <w:gridCol w:w="1277"/>
        <w:gridCol w:w="1277"/>
        <w:gridCol w:w="1419"/>
        <w:gridCol w:w="1133"/>
        <w:gridCol w:w="1847"/>
        <w:gridCol w:w="993"/>
        <w:gridCol w:w="751"/>
      </w:tblGrid>
      <w:tr w:rsidR="00B644CA" w:rsidRPr="00047BD8" w:rsidTr="00B644CA">
        <w:trPr>
          <w:trHeight w:val="1206"/>
          <w:jc w:val="center"/>
        </w:trPr>
        <w:tc>
          <w:tcPr>
            <w:tcW w:w="2797" w:type="dxa"/>
            <w:vAlign w:val="center"/>
          </w:tcPr>
          <w:p w:rsidR="00B644CA" w:rsidRPr="00047BD8" w:rsidRDefault="00B644CA" w:rsidP="002E69BE">
            <w:pPr>
              <w:widowControl/>
              <w:spacing w:before="100" w:beforeAutospacing="1" w:after="375" w:line="360" w:lineRule="atLeast"/>
              <w:jc w:val="center"/>
              <w:rPr>
                <w:rFonts w:ascii="宋体" w:cs="宋体"/>
                <w:kern w:val="0"/>
                <w:szCs w:val="21"/>
              </w:rPr>
            </w:pPr>
            <w:r w:rsidRPr="00047BD8">
              <w:rPr>
                <w:rFonts w:ascii="宋体" w:hAnsi="宋体" w:cs="宋体" w:hint="eastAsia"/>
                <w:kern w:val="0"/>
                <w:szCs w:val="21"/>
              </w:rPr>
              <w:t>基金名称</w:t>
            </w:r>
          </w:p>
        </w:tc>
        <w:tc>
          <w:tcPr>
            <w:tcW w:w="1277" w:type="dxa"/>
          </w:tcPr>
          <w:p w:rsidR="00B644CA" w:rsidRDefault="00B644CA" w:rsidP="002E69BE">
            <w:pPr>
              <w:widowControl/>
              <w:spacing w:before="100" w:beforeAutospacing="1" w:after="375" w:line="360" w:lineRule="atLeast"/>
              <w:jc w:val="center"/>
              <w:rPr>
                <w:rFonts w:ascii="宋体" w:hAnsi="宋体" w:cs="宋体"/>
                <w:kern w:val="0"/>
                <w:szCs w:val="21"/>
              </w:rPr>
            </w:pPr>
          </w:p>
          <w:p w:rsidR="00B644CA" w:rsidRPr="00047BD8" w:rsidRDefault="00B644CA" w:rsidP="002E69BE">
            <w:pPr>
              <w:widowControl/>
              <w:spacing w:before="100" w:beforeAutospacing="1" w:after="375" w:line="360" w:lineRule="atLeast"/>
              <w:jc w:val="center"/>
              <w:rPr>
                <w:rFonts w:ascii="宋体" w:hAnsi="宋体" w:cs="宋体" w:hint="eastAsia"/>
                <w:kern w:val="0"/>
                <w:szCs w:val="21"/>
              </w:rPr>
            </w:pPr>
            <w:r>
              <w:rPr>
                <w:rFonts w:ascii="宋体" w:hAnsi="宋体" w:cs="宋体" w:hint="eastAsia"/>
                <w:kern w:val="0"/>
                <w:szCs w:val="21"/>
              </w:rPr>
              <w:t>证券名称</w:t>
            </w:r>
          </w:p>
        </w:tc>
        <w:tc>
          <w:tcPr>
            <w:tcW w:w="1277" w:type="dxa"/>
            <w:vAlign w:val="center"/>
          </w:tcPr>
          <w:p w:rsidR="00B644CA" w:rsidRPr="00047BD8" w:rsidRDefault="00B644CA" w:rsidP="002E69BE">
            <w:pPr>
              <w:widowControl/>
              <w:spacing w:before="100" w:beforeAutospacing="1" w:after="375" w:line="360" w:lineRule="atLeast"/>
              <w:jc w:val="center"/>
              <w:rPr>
                <w:rFonts w:ascii="宋体" w:hAnsi="宋体" w:cs="宋体"/>
                <w:kern w:val="0"/>
                <w:szCs w:val="21"/>
              </w:rPr>
            </w:pPr>
            <w:r w:rsidRPr="00047BD8">
              <w:rPr>
                <w:rFonts w:ascii="宋体" w:hAnsi="宋体" w:cs="宋体" w:hint="eastAsia"/>
                <w:kern w:val="0"/>
                <w:szCs w:val="21"/>
              </w:rPr>
              <w:t>认购数量</w:t>
            </w:r>
            <w:r w:rsidRPr="00047BD8">
              <w:rPr>
                <w:rFonts w:ascii="宋体" w:hAnsi="宋体" w:cs="宋体"/>
                <w:kern w:val="0"/>
                <w:szCs w:val="21"/>
              </w:rPr>
              <w:t>(</w:t>
            </w:r>
            <w:r w:rsidRPr="00047BD8">
              <w:rPr>
                <w:rFonts w:ascii="宋体" w:hAnsi="宋体" w:cs="宋体" w:hint="eastAsia"/>
                <w:kern w:val="0"/>
                <w:szCs w:val="21"/>
              </w:rPr>
              <w:t>股</w:t>
            </w:r>
            <w:r w:rsidRPr="00047BD8">
              <w:rPr>
                <w:rFonts w:ascii="宋体" w:hAnsi="宋体" w:cs="宋体"/>
                <w:kern w:val="0"/>
                <w:szCs w:val="21"/>
              </w:rPr>
              <w:t>)</w:t>
            </w:r>
          </w:p>
        </w:tc>
        <w:tc>
          <w:tcPr>
            <w:tcW w:w="1419" w:type="dxa"/>
            <w:vAlign w:val="center"/>
          </w:tcPr>
          <w:p w:rsidR="00B644CA" w:rsidRPr="00047BD8" w:rsidRDefault="00B644CA" w:rsidP="002E69BE">
            <w:pPr>
              <w:widowControl/>
              <w:spacing w:before="100" w:beforeAutospacing="1" w:after="375" w:line="360" w:lineRule="atLeast"/>
              <w:jc w:val="center"/>
              <w:rPr>
                <w:rFonts w:ascii="宋体" w:hAnsi="宋体" w:cs="宋体"/>
                <w:kern w:val="0"/>
                <w:szCs w:val="21"/>
              </w:rPr>
            </w:pPr>
            <w:r w:rsidRPr="00047BD8">
              <w:rPr>
                <w:rFonts w:ascii="宋体" w:hAnsi="宋体" w:cs="宋体" w:hint="eastAsia"/>
                <w:kern w:val="0"/>
                <w:szCs w:val="21"/>
              </w:rPr>
              <w:t>总成本</w:t>
            </w:r>
            <w:r w:rsidRPr="00047BD8">
              <w:rPr>
                <w:rFonts w:ascii="宋体" w:hAnsi="宋体" w:cs="宋体"/>
                <w:kern w:val="0"/>
                <w:szCs w:val="21"/>
              </w:rPr>
              <w:t>(</w:t>
            </w:r>
            <w:r w:rsidRPr="00047BD8">
              <w:rPr>
                <w:rFonts w:ascii="宋体" w:hAnsi="宋体" w:cs="宋体" w:hint="eastAsia"/>
                <w:kern w:val="0"/>
                <w:szCs w:val="21"/>
              </w:rPr>
              <w:t>元</w:t>
            </w:r>
            <w:r w:rsidRPr="00047BD8">
              <w:rPr>
                <w:rFonts w:ascii="宋体" w:hAnsi="宋体" w:cs="宋体"/>
                <w:kern w:val="0"/>
                <w:szCs w:val="21"/>
              </w:rPr>
              <w:t>)</w:t>
            </w:r>
          </w:p>
        </w:tc>
        <w:tc>
          <w:tcPr>
            <w:tcW w:w="1133" w:type="dxa"/>
            <w:vAlign w:val="center"/>
          </w:tcPr>
          <w:p w:rsidR="00B644CA" w:rsidRPr="00047BD8" w:rsidRDefault="00B644CA" w:rsidP="007A5AFC">
            <w:pPr>
              <w:widowControl/>
              <w:spacing w:before="100" w:beforeAutospacing="1" w:after="375" w:line="360" w:lineRule="auto"/>
              <w:jc w:val="center"/>
              <w:rPr>
                <w:rFonts w:ascii="宋体" w:cs="宋体"/>
                <w:kern w:val="0"/>
                <w:szCs w:val="21"/>
              </w:rPr>
            </w:pPr>
            <w:r w:rsidRPr="00047BD8">
              <w:rPr>
                <w:rFonts w:ascii="宋体" w:hAnsi="宋体" w:cs="宋体" w:hint="eastAsia"/>
                <w:kern w:val="0"/>
                <w:szCs w:val="21"/>
              </w:rPr>
              <w:t>总成本占基金资产净值比例</w:t>
            </w:r>
            <w:r>
              <w:rPr>
                <w:rFonts w:ascii="宋体" w:hAnsi="宋体" w:cs="宋体" w:hint="eastAsia"/>
                <w:kern w:val="0"/>
                <w:szCs w:val="21"/>
              </w:rPr>
              <w:t>（%）</w:t>
            </w:r>
          </w:p>
        </w:tc>
        <w:tc>
          <w:tcPr>
            <w:tcW w:w="1847" w:type="dxa"/>
            <w:vAlign w:val="center"/>
          </w:tcPr>
          <w:p w:rsidR="00B644CA" w:rsidRPr="00047BD8" w:rsidRDefault="00B644CA" w:rsidP="002E69BE">
            <w:pPr>
              <w:widowControl/>
              <w:spacing w:before="100" w:beforeAutospacing="1" w:after="375" w:line="360" w:lineRule="atLeast"/>
              <w:jc w:val="center"/>
              <w:rPr>
                <w:rFonts w:ascii="宋体" w:hAnsi="宋体" w:cs="宋体"/>
                <w:kern w:val="0"/>
                <w:szCs w:val="21"/>
              </w:rPr>
            </w:pPr>
            <w:r w:rsidRPr="00047BD8">
              <w:rPr>
                <w:rFonts w:ascii="宋体" w:hAnsi="宋体" w:cs="宋体" w:hint="eastAsia"/>
                <w:kern w:val="0"/>
                <w:szCs w:val="21"/>
              </w:rPr>
              <w:t>账面价值</w:t>
            </w:r>
            <w:r w:rsidRPr="00047BD8">
              <w:rPr>
                <w:rFonts w:ascii="宋体" w:hAnsi="宋体" w:cs="宋体"/>
                <w:kern w:val="0"/>
                <w:szCs w:val="21"/>
              </w:rPr>
              <w:t>(</w:t>
            </w:r>
            <w:r w:rsidRPr="00047BD8">
              <w:rPr>
                <w:rFonts w:ascii="宋体" w:hAnsi="宋体" w:cs="宋体" w:hint="eastAsia"/>
                <w:kern w:val="0"/>
                <w:szCs w:val="21"/>
              </w:rPr>
              <w:t>元</w:t>
            </w:r>
            <w:r w:rsidRPr="00047BD8">
              <w:rPr>
                <w:rFonts w:ascii="宋体" w:hAnsi="宋体" w:cs="宋体"/>
                <w:kern w:val="0"/>
                <w:szCs w:val="21"/>
              </w:rPr>
              <w:t>)</w:t>
            </w:r>
          </w:p>
        </w:tc>
        <w:tc>
          <w:tcPr>
            <w:tcW w:w="993" w:type="dxa"/>
            <w:vAlign w:val="center"/>
          </w:tcPr>
          <w:p w:rsidR="00B644CA" w:rsidRPr="00047BD8" w:rsidRDefault="00B644CA" w:rsidP="002E69BE">
            <w:pPr>
              <w:widowControl/>
              <w:spacing w:before="100" w:beforeAutospacing="1" w:after="375" w:line="360" w:lineRule="atLeast"/>
              <w:jc w:val="center"/>
              <w:rPr>
                <w:rFonts w:ascii="宋体" w:cs="宋体"/>
                <w:kern w:val="0"/>
                <w:szCs w:val="21"/>
              </w:rPr>
            </w:pPr>
            <w:r w:rsidRPr="00047BD8">
              <w:rPr>
                <w:rFonts w:ascii="宋体" w:hAnsi="宋体" w:cs="宋体" w:hint="eastAsia"/>
                <w:kern w:val="0"/>
                <w:szCs w:val="21"/>
              </w:rPr>
              <w:t>账面价值占基金资产净值比例</w:t>
            </w:r>
            <w:r>
              <w:rPr>
                <w:rFonts w:ascii="宋体" w:hAnsi="宋体" w:cs="宋体" w:hint="eastAsia"/>
                <w:kern w:val="0"/>
                <w:szCs w:val="21"/>
              </w:rPr>
              <w:t>（%）</w:t>
            </w:r>
          </w:p>
        </w:tc>
        <w:tc>
          <w:tcPr>
            <w:tcW w:w="751" w:type="dxa"/>
            <w:vAlign w:val="center"/>
          </w:tcPr>
          <w:p w:rsidR="00B644CA" w:rsidRPr="00047BD8" w:rsidRDefault="00B644CA" w:rsidP="002E69BE">
            <w:pPr>
              <w:widowControl/>
              <w:spacing w:before="100" w:beforeAutospacing="1" w:after="375" w:line="360" w:lineRule="atLeast"/>
              <w:jc w:val="center"/>
              <w:rPr>
                <w:rFonts w:ascii="宋体" w:cs="宋体"/>
                <w:kern w:val="0"/>
                <w:szCs w:val="21"/>
              </w:rPr>
            </w:pPr>
            <w:r w:rsidRPr="00047BD8">
              <w:rPr>
                <w:rFonts w:ascii="宋体" w:hAnsi="宋体" w:cs="宋体" w:hint="eastAsia"/>
                <w:kern w:val="0"/>
                <w:szCs w:val="21"/>
              </w:rPr>
              <w:t>限售期（月）</w:t>
            </w:r>
          </w:p>
        </w:tc>
      </w:tr>
      <w:tr w:rsidR="00E7660F" w:rsidRPr="00047BD8" w:rsidTr="00B644CA">
        <w:trPr>
          <w:trHeight w:val="546"/>
          <w:jc w:val="center"/>
        </w:trPr>
        <w:tc>
          <w:tcPr>
            <w:tcW w:w="2797" w:type="dxa"/>
          </w:tcPr>
          <w:p w:rsidR="00E7660F" w:rsidRPr="00AF56D5" w:rsidRDefault="005B5EB3" w:rsidP="00B14051">
            <w:pPr>
              <w:rPr>
                <w:rFonts w:hint="eastAsia"/>
              </w:rPr>
            </w:pPr>
            <w:r>
              <w:rPr>
                <w:rFonts w:hint="eastAsia"/>
              </w:rPr>
              <w:t>富国价值优势混合型证券投资基金</w:t>
            </w:r>
          </w:p>
        </w:tc>
        <w:tc>
          <w:tcPr>
            <w:tcW w:w="1277" w:type="dxa"/>
          </w:tcPr>
          <w:p w:rsidR="00E7660F" w:rsidRPr="009B5061" w:rsidRDefault="005B5EB3" w:rsidP="001D0C33">
            <w:pPr>
              <w:jc w:val="center"/>
            </w:pPr>
            <w:r>
              <w:rPr>
                <w:rFonts w:hint="eastAsia"/>
              </w:rPr>
              <w:t>建龙微纳</w:t>
            </w:r>
          </w:p>
        </w:tc>
        <w:tc>
          <w:tcPr>
            <w:tcW w:w="1277" w:type="dxa"/>
          </w:tcPr>
          <w:p w:rsidR="00E7660F" w:rsidRPr="009B5061" w:rsidRDefault="005B5EB3" w:rsidP="001D0C33">
            <w:pPr>
              <w:jc w:val="right"/>
            </w:pPr>
            <w:r>
              <w:t>5,269.00</w:t>
            </w:r>
          </w:p>
        </w:tc>
        <w:tc>
          <w:tcPr>
            <w:tcW w:w="1419" w:type="dxa"/>
          </w:tcPr>
          <w:p w:rsidR="00E7660F" w:rsidRPr="007073CE" w:rsidRDefault="005B5EB3" w:rsidP="001D0C33">
            <w:pPr>
              <w:jc w:val="right"/>
            </w:pPr>
            <w:r>
              <w:t>827,654.52</w:t>
            </w:r>
          </w:p>
        </w:tc>
        <w:tc>
          <w:tcPr>
            <w:tcW w:w="1133" w:type="dxa"/>
          </w:tcPr>
          <w:p w:rsidR="00E7660F" w:rsidRPr="004F46FD" w:rsidRDefault="005B5EB3" w:rsidP="001D0C33">
            <w:pPr>
              <w:jc w:val="right"/>
            </w:pPr>
            <w:r>
              <w:t>0.0115</w:t>
            </w:r>
          </w:p>
        </w:tc>
        <w:tc>
          <w:tcPr>
            <w:tcW w:w="1847" w:type="dxa"/>
          </w:tcPr>
          <w:p w:rsidR="00E7660F" w:rsidRPr="00393B05" w:rsidRDefault="005B5EB3" w:rsidP="001D0C33">
            <w:pPr>
              <w:jc w:val="right"/>
            </w:pPr>
            <w:r>
              <w:t>679,332.17</w:t>
            </w:r>
          </w:p>
        </w:tc>
        <w:tc>
          <w:tcPr>
            <w:tcW w:w="993" w:type="dxa"/>
          </w:tcPr>
          <w:p w:rsidR="00E7660F" w:rsidRPr="00E3665A" w:rsidRDefault="005B5EB3" w:rsidP="001D0C33">
            <w:pPr>
              <w:jc w:val="right"/>
            </w:pPr>
            <w:r>
              <w:t>0.0094</w:t>
            </w:r>
          </w:p>
        </w:tc>
        <w:tc>
          <w:tcPr>
            <w:tcW w:w="751" w:type="dxa"/>
            <w:vAlign w:val="center"/>
          </w:tcPr>
          <w:p w:rsidR="00E7660F" w:rsidRPr="00B95123" w:rsidRDefault="005B5EB3" w:rsidP="00753AC8">
            <w:pPr>
              <w:jc w:val="center"/>
              <w:rPr>
                <w:rFonts w:ascii="??" w:hAnsi="??" w:cs="宋体" w:hint="eastAsia"/>
                <w:kern w:val="0"/>
                <w:szCs w:val="21"/>
              </w:rPr>
            </w:pPr>
            <w:r>
              <w:rPr>
                <w:rFonts w:ascii="??" w:hAnsi="??" w:cs="宋体"/>
                <w:kern w:val="0"/>
                <w:szCs w:val="21"/>
              </w:rPr>
              <w:t>6</w:t>
            </w:r>
          </w:p>
        </w:tc>
      </w:tr>
      <w:tr w:rsidR="005B5EB3" w:rsidRPr="00047BD8" w:rsidTr="00B644CA">
        <w:trPr>
          <w:trHeight w:val="546"/>
          <w:jc w:val="center"/>
        </w:trPr>
        <w:tc>
          <w:tcPr>
            <w:tcW w:w="2797" w:type="dxa"/>
          </w:tcPr>
          <w:p w:rsidR="005B5EB3" w:rsidRDefault="005B5EB3" w:rsidP="00B14051">
            <w:pPr>
              <w:rPr>
                <w:rFonts w:hint="eastAsia"/>
              </w:rPr>
            </w:pPr>
            <w:r>
              <w:rPr>
                <w:rFonts w:hint="eastAsia"/>
              </w:rPr>
              <w:t>富国科创板两年定期开放混合型证券投资基金</w:t>
            </w:r>
          </w:p>
        </w:tc>
        <w:tc>
          <w:tcPr>
            <w:tcW w:w="1277" w:type="dxa"/>
          </w:tcPr>
          <w:p w:rsidR="005B5EB3" w:rsidRDefault="005B5EB3" w:rsidP="001D0C33">
            <w:pPr>
              <w:jc w:val="center"/>
              <w:rPr>
                <w:rFonts w:hint="eastAsia"/>
              </w:rPr>
            </w:pPr>
            <w:r>
              <w:rPr>
                <w:rFonts w:hint="eastAsia"/>
              </w:rPr>
              <w:t>建龙微纳</w:t>
            </w:r>
          </w:p>
        </w:tc>
        <w:tc>
          <w:tcPr>
            <w:tcW w:w="1277" w:type="dxa"/>
          </w:tcPr>
          <w:p w:rsidR="005B5EB3" w:rsidRDefault="005B5EB3" w:rsidP="001D0C33">
            <w:pPr>
              <w:jc w:val="right"/>
            </w:pPr>
            <w:r>
              <w:t>9,660.00</w:t>
            </w:r>
          </w:p>
        </w:tc>
        <w:tc>
          <w:tcPr>
            <w:tcW w:w="1419" w:type="dxa"/>
          </w:tcPr>
          <w:p w:rsidR="005B5EB3" w:rsidRDefault="005B5EB3" w:rsidP="001D0C33">
            <w:pPr>
              <w:jc w:val="right"/>
            </w:pPr>
            <w:r>
              <w:t>1,517,392.80</w:t>
            </w:r>
          </w:p>
        </w:tc>
        <w:tc>
          <w:tcPr>
            <w:tcW w:w="1133" w:type="dxa"/>
          </w:tcPr>
          <w:p w:rsidR="005B5EB3" w:rsidRDefault="005B5EB3" w:rsidP="001D0C33">
            <w:pPr>
              <w:jc w:val="right"/>
            </w:pPr>
            <w:r>
              <w:t>0.0620</w:t>
            </w:r>
          </w:p>
        </w:tc>
        <w:tc>
          <w:tcPr>
            <w:tcW w:w="1847" w:type="dxa"/>
          </w:tcPr>
          <w:p w:rsidR="005B5EB3" w:rsidRDefault="005B5EB3" w:rsidP="001D0C33">
            <w:pPr>
              <w:jc w:val="right"/>
            </w:pPr>
            <w:r>
              <w:t>1,245,463.80</w:t>
            </w:r>
          </w:p>
        </w:tc>
        <w:tc>
          <w:tcPr>
            <w:tcW w:w="993" w:type="dxa"/>
          </w:tcPr>
          <w:p w:rsidR="005B5EB3" w:rsidRDefault="005B5EB3" w:rsidP="001D0C33">
            <w:pPr>
              <w:jc w:val="right"/>
            </w:pPr>
            <w:r>
              <w:t>0.0509</w:t>
            </w:r>
          </w:p>
        </w:tc>
        <w:tc>
          <w:tcPr>
            <w:tcW w:w="751" w:type="dxa"/>
            <w:vAlign w:val="center"/>
          </w:tcPr>
          <w:p w:rsidR="005B5EB3" w:rsidRDefault="005B5EB3" w:rsidP="00753AC8">
            <w:pPr>
              <w:jc w:val="center"/>
              <w:rPr>
                <w:rFonts w:ascii="??" w:hAnsi="??" w:cs="宋体"/>
                <w:kern w:val="0"/>
                <w:szCs w:val="21"/>
              </w:rPr>
            </w:pPr>
            <w:r>
              <w:rPr>
                <w:rFonts w:ascii="??" w:hAnsi="??" w:cs="宋体"/>
                <w:kern w:val="0"/>
                <w:szCs w:val="21"/>
              </w:rPr>
              <w:t>6</w:t>
            </w:r>
          </w:p>
        </w:tc>
      </w:tr>
      <w:tr w:rsidR="005B5EB3" w:rsidRPr="00047BD8" w:rsidTr="00B644CA">
        <w:trPr>
          <w:trHeight w:val="546"/>
          <w:jc w:val="center"/>
        </w:trPr>
        <w:tc>
          <w:tcPr>
            <w:tcW w:w="2797" w:type="dxa"/>
          </w:tcPr>
          <w:p w:rsidR="005B5EB3" w:rsidRDefault="005B5EB3" w:rsidP="00B14051">
            <w:pPr>
              <w:rPr>
                <w:rFonts w:hint="eastAsia"/>
              </w:rPr>
            </w:pPr>
            <w:r>
              <w:rPr>
                <w:rFonts w:hint="eastAsia"/>
              </w:rPr>
              <w:t>富国融泰三个月定期开放混合型发起式证券投资基金</w:t>
            </w:r>
          </w:p>
        </w:tc>
        <w:tc>
          <w:tcPr>
            <w:tcW w:w="1277" w:type="dxa"/>
          </w:tcPr>
          <w:p w:rsidR="005B5EB3" w:rsidRDefault="005B5EB3" w:rsidP="001D0C33">
            <w:pPr>
              <w:jc w:val="center"/>
              <w:rPr>
                <w:rFonts w:hint="eastAsia"/>
              </w:rPr>
            </w:pPr>
            <w:r>
              <w:rPr>
                <w:rFonts w:hint="eastAsia"/>
              </w:rPr>
              <w:t>建龙微纳</w:t>
            </w:r>
          </w:p>
        </w:tc>
        <w:tc>
          <w:tcPr>
            <w:tcW w:w="1277" w:type="dxa"/>
          </w:tcPr>
          <w:p w:rsidR="005B5EB3" w:rsidRDefault="005B5EB3" w:rsidP="001D0C33">
            <w:pPr>
              <w:jc w:val="right"/>
            </w:pPr>
            <w:r>
              <w:t>5,269.00</w:t>
            </w:r>
          </w:p>
        </w:tc>
        <w:tc>
          <w:tcPr>
            <w:tcW w:w="1419" w:type="dxa"/>
          </w:tcPr>
          <w:p w:rsidR="005B5EB3" w:rsidRDefault="005B5EB3" w:rsidP="001D0C33">
            <w:pPr>
              <w:jc w:val="right"/>
            </w:pPr>
            <w:r>
              <w:t>827,654.52</w:t>
            </w:r>
          </w:p>
        </w:tc>
        <w:tc>
          <w:tcPr>
            <w:tcW w:w="1133" w:type="dxa"/>
          </w:tcPr>
          <w:p w:rsidR="005B5EB3" w:rsidRDefault="005B5EB3" w:rsidP="001D0C33">
            <w:pPr>
              <w:jc w:val="right"/>
            </w:pPr>
            <w:r>
              <w:t>0.0241</w:t>
            </w:r>
          </w:p>
        </w:tc>
        <w:tc>
          <w:tcPr>
            <w:tcW w:w="1847" w:type="dxa"/>
          </w:tcPr>
          <w:p w:rsidR="005B5EB3" w:rsidRDefault="005B5EB3" w:rsidP="001D0C33">
            <w:pPr>
              <w:jc w:val="right"/>
            </w:pPr>
            <w:r>
              <w:t>679,332.17</w:t>
            </w:r>
          </w:p>
        </w:tc>
        <w:tc>
          <w:tcPr>
            <w:tcW w:w="993" w:type="dxa"/>
          </w:tcPr>
          <w:p w:rsidR="005B5EB3" w:rsidRDefault="005B5EB3" w:rsidP="001D0C33">
            <w:pPr>
              <w:jc w:val="right"/>
            </w:pPr>
            <w:r>
              <w:t>0.0198</w:t>
            </w:r>
          </w:p>
        </w:tc>
        <w:tc>
          <w:tcPr>
            <w:tcW w:w="751" w:type="dxa"/>
            <w:vAlign w:val="center"/>
          </w:tcPr>
          <w:p w:rsidR="005B5EB3" w:rsidRDefault="005B5EB3" w:rsidP="00753AC8">
            <w:pPr>
              <w:jc w:val="center"/>
              <w:rPr>
                <w:rFonts w:ascii="??" w:hAnsi="??" w:cs="宋体"/>
                <w:kern w:val="0"/>
                <w:szCs w:val="21"/>
              </w:rPr>
            </w:pPr>
            <w:r>
              <w:rPr>
                <w:rFonts w:ascii="??" w:hAnsi="??" w:cs="宋体"/>
                <w:kern w:val="0"/>
                <w:szCs w:val="21"/>
              </w:rPr>
              <w:t>6</w:t>
            </w:r>
          </w:p>
        </w:tc>
      </w:tr>
      <w:tr w:rsidR="005B5EB3" w:rsidRPr="00047BD8" w:rsidTr="00B644CA">
        <w:trPr>
          <w:trHeight w:val="546"/>
          <w:jc w:val="center"/>
        </w:trPr>
        <w:tc>
          <w:tcPr>
            <w:tcW w:w="2797" w:type="dxa"/>
          </w:tcPr>
          <w:p w:rsidR="005B5EB3" w:rsidRDefault="005B5EB3" w:rsidP="00B14051">
            <w:pPr>
              <w:rPr>
                <w:rFonts w:hint="eastAsia"/>
              </w:rPr>
            </w:pPr>
            <w:r>
              <w:rPr>
                <w:rFonts w:hint="eastAsia"/>
              </w:rPr>
              <w:t>富国天瑞强势地区精选混合型证券投资基金</w:t>
            </w:r>
          </w:p>
        </w:tc>
        <w:tc>
          <w:tcPr>
            <w:tcW w:w="1277" w:type="dxa"/>
          </w:tcPr>
          <w:p w:rsidR="005B5EB3" w:rsidRDefault="005B5EB3" w:rsidP="001D0C33">
            <w:pPr>
              <w:jc w:val="center"/>
              <w:rPr>
                <w:rFonts w:hint="eastAsia"/>
              </w:rPr>
            </w:pPr>
            <w:r>
              <w:rPr>
                <w:rFonts w:hint="eastAsia"/>
              </w:rPr>
              <w:t>建龙微纳</w:t>
            </w:r>
          </w:p>
        </w:tc>
        <w:tc>
          <w:tcPr>
            <w:tcW w:w="1277" w:type="dxa"/>
          </w:tcPr>
          <w:p w:rsidR="005B5EB3" w:rsidRDefault="005B5EB3" w:rsidP="001D0C33">
            <w:pPr>
              <w:jc w:val="right"/>
            </w:pPr>
            <w:r>
              <w:t>5,269.00</w:t>
            </w:r>
          </w:p>
        </w:tc>
        <w:tc>
          <w:tcPr>
            <w:tcW w:w="1419" w:type="dxa"/>
          </w:tcPr>
          <w:p w:rsidR="005B5EB3" w:rsidRDefault="005B5EB3" w:rsidP="001D0C33">
            <w:pPr>
              <w:jc w:val="right"/>
            </w:pPr>
            <w:r>
              <w:t>827,654.52</w:t>
            </w:r>
          </w:p>
        </w:tc>
        <w:tc>
          <w:tcPr>
            <w:tcW w:w="1133" w:type="dxa"/>
          </w:tcPr>
          <w:p w:rsidR="005B5EB3" w:rsidRDefault="005B5EB3" w:rsidP="001D0C33">
            <w:pPr>
              <w:jc w:val="right"/>
            </w:pPr>
            <w:r>
              <w:t>0.0171</w:t>
            </w:r>
          </w:p>
        </w:tc>
        <w:tc>
          <w:tcPr>
            <w:tcW w:w="1847" w:type="dxa"/>
          </w:tcPr>
          <w:p w:rsidR="005B5EB3" w:rsidRDefault="005B5EB3" w:rsidP="001D0C33">
            <w:pPr>
              <w:jc w:val="right"/>
            </w:pPr>
            <w:r>
              <w:t>679,332.17</w:t>
            </w:r>
          </w:p>
        </w:tc>
        <w:tc>
          <w:tcPr>
            <w:tcW w:w="993" w:type="dxa"/>
          </w:tcPr>
          <w:p w:rsidR="005B5EB3" w:rsidRDefault="005B5EB3" w:rsidP="001D0C33">
            <w:pPr>
              <w:jc w:val="right"/>
            </w:pPr>
            <w:r>
              <w:t>0.0140</w:t>
            </w:r>
          </w:p>
        </w:tc>
        <w:tc>
          <w:tcPr>
            <w:tcW w:w="751" w:type="dxa"/>
            <w:vAlign w:val="center"/>
          </w:tcPr>
          <w:p w:rsidR="005B5EB3" w:rsidRDefault="005B5EB3" w:rsidP="00753AC8">
            <w:pPr>
              <w:jc w:val="center"/>
              <w:rPr>
                <w:rFonts w:ascii="??" w:hAnsi="??" w:cs="宋体"/>
                <w:kern w:val="0"/>
                <w:szCs w:val="21"/>
              </w:rPr>
            </w:pPr>
            <w:r>
              <w:rPr>
                <w:rFonts w:ascii="??" w:hAnsi="??" w:cs="宋体"/>
                <w:kern w:val="0"/>
                <w:szCs w:val="21"/>
              </w:rPr>
              <w:t>6</w:t>
            </w:r>
          </w:p>
        </w:tc>
      </w:tr>
    </w:tbl>
    <w:p w:rsidR="001420EB" w:rsidRPr="00503051" w:rsidRDefault="001420EB" w:rsidP="00503051">
      <w:pPr>
        <w:pStyle w:val="Default"/>
        <w:spacing w:line="360" w:lineRule="auto"/>
        <w:ind w:firstLineChars="200" w:firstLine="480"/>
        <w:rPr>
          <w:rFonts w:ascii="宋体" w:eastAsia="宋体" w:hAnsi="宋体" w:cs="宋体"/>
          <w:color w:val="auto"/>
        </w:rPr>
      </w:pPr>
      <w:r w:rsidRPr="001D0C33">
        <w:rPr>
          <w:rFonts w:ascii="宋体" w:eastAsia="宋体" w:hAnsi="宋体" w:cs="宋体" w:hint="eastAsia"/>
          <w:color w:val="auto"/>
        </w:rPr>
        <w:t>注：基金资产净值、账面价值为</w:t>
      </w:r>
      <w:fldSimple w:instr=" DOCVARIABLE  THISENDDATE  \* MERGEFORMAT ">
        <w:r w:rsidR="005B5EB3">
          <w:rPr>
            <w:rFonts w:ascii="宋体" w:eastAsia="宋体" w:hAnsi="宋体" w:cs="宋体"/>
            <w:color w:val="auto"/>
          </w:rPr>
          <w:t>2022年03月10日</w:t>
        </w:r>
      </w:fldSimple>
      <w:r w:rsidRPr="001D0C33">
        <w:rPr>
          <w:rFonts w:ascii="宋体" w:eastAsia="宋体" w:hAnsi="宋体" w:cs="宋体" w:hint="eastAsia"/>
          <w:color w:val="auto"/>
        </w:rPr>
        <w:t>数据</w:t>
      </w:r>
      <w:r w:rsidRPr="00503051">
        <w:rPr>
          <w:rFonts w:ascii="宋体" w:eastAsia="宋体" w:hAnsi="宋体" w:cs="宋体" w:hint="eastAsia"/>
          <w:color w:val="auto"/>
        </w:rPr>
        <w:t>。</w:t>
      </w:r>
    </w:p>
    <w:p w:rsidR="00503051" w:rsidRPr="00503051" w:rsidRDefault="00106014" w:rsidP="00503051">
      <w:pPr>
        <w:pStyle w:val="Default"/>
        <w:spacing w:line="360" w:lineRule="auto"/>
        <w:ind w:firstLineChars="200" w:firstLine="480"/>
        <w:rPr>
          <w:rFonts w:ascii="宋体" w:eastAsia="宋体" w:hAnsi="宋体" w:cs="宋体"/>
          <w:color w:val="auto"/>
        </w:rPr>
      </w:pPr>
      <w:r w:rsidRPr="00503051">
        <w:rPr>
          <w:rFonts w:ascii="宋体" w:eastAsia="宋体" w:hAnsi="宋体" w:cs="宋体" w:hint="eastAsia"/>
          <w:color w:val="auto"/>
        </w:rPr>
        <w:t>投资者可以登陆富国基金管理有限公司网站www.fullgoal.com.cn或拨打富国基金管理有限公司客户服务热线95105686、4008880688（全国统一，均免长途费）进行相关咨询。</w:t>
      </w:r>
    </w:p>
    <w:p w:rsidR="00106014" w:rsidRPr="00503051" w:rsidRDefault="00106014" w:rsidP="00503051">
      <w:pPr>
        <w:pStyle w:val="Default"/>
        <w:spacing w:line="360" w:lineRule="auto"/>
        <w:ind w:firstLineChars="200" w:firstLine="480"/>
        <w:rPr>
          <w:rFonts w:ascii="宋体" w:eastAsia="宋体" w:hAnsi="宋体" w:cs="宋体" w:hint="eastAsia"/>
          <w:color w:val="auto"/>
        </w:rPr>
      </w:pPr>
      <w:r w:rsidRPr="00503051">
        <w:rPr>
          <w:rFonts w:ascii="宋体" w:eastAsia="宋体" w:hAnsi="宋体" w:cs="宋体" w:hint="eastAsia"/>
          <w:color w:val="auto"/>
        </w:rPr>
        <w:t>风险提示：基金管理人承诺以诚实信用、勤勉尽责的原则管理和运用基金资产，但不保证基金一定盈利，也不保证最低收益。投资者投资于</w:t>
      </w:r>
      <w:r w:rsidR="00F1353E" w:rsidRPr="00503051">
        <w:rPr>
          <w:rFonts w:ascii="宋体" w:eastAsia="宋体" w:hAnsi="宋体" w:cs="宋体" w:hint="eastAsia"/>
          <w:color w:val="auto"/>
        </w:rPr>
        <w:t>上述</w:t>
      </w:r>
      <w:r w:rsidRPr="00503051">
        <w:rPr>
          <w:rFonts w:ascii="宋体" w:eastAsia="宋体" w:hAnsi="宋体" w:cs="宋体" w:hint="eastAsia"/>
          <w:color w:val="auto"/>
        </w:rPr>
        <w:t>基金前应认真阅读相关基金的基金合同和招募说明书。</w:t>
      </w:r>
    </w:p>
    <w:p w:rsidR="00503051" w:rsidRPr="00503051" w:rsidRDefault="001420EB" w:rsidP="00503051">
      <w:pPr>
        <w:pStyle w:val="Default"/>
        <w:spacing w:line="360" w:lineRule="auto"/>
        <w:ind w:firstLineChars="200" w:firstLine="480"/>
        <w:rPr>
          <w:rFonts w:ascii="宋体" w:eastAsia="宋体" w:hAnsi="宋体" w:cs="宋体"/>
          <w:color w:val="auto"/>
        </w:rPr>
      </w:pPr>
      <w:r w:rsidRPr="00503051">
        <w:rPr>
          <w:rFonts w:ascii="宋体" w:eastAsia="宋体" w:hAnsi="宋体" w:cs="宋体" w:hint="eastAsia"/>
          <w:color w:val="auto"/>
        </w:rPr>
        <w:t>特此公告</w:t>
      </w:r>
      <w:r w:rsidR="00106014" w:rsidRPr="00503051">
        <w:rPr>
          <w:rFonts w:ascii="宋体" w:eastAsia="宋体" w:hAnsi="宋体" w:cs="宋体" w:hint="eastAsia"/>
          <w:color w:val="auto"/>
        </w:rPr>
        <w:t>。</w:t>
      </w:r>
    </w:p>
    <w:p w:rsidR="001420EB" w:rsidRPr="00047BD8" w:rsidRDefault="001420EB" w:rsidP="00503051">
      <w:pPr>
        <w:widowControl/>
        <w:spacing w:before="100" w:beforeAutospacing="1" w:after="375"/>
        <w:ind w:firstLine="420"/>
        <w:jc w:val="right"/>
        <w:rPr>
          <w:rFonts w:ascii="宋体" w:cs="宋体"/>
          <w:kern w:val="0"/>
          <w:sz w:val="24"/>
          <w:szCs w:val="24"/>
        </w:rPr>
      </w:pPr>
      <w:r w:rsidRPr="00047BD8">
        <w:rPr>
          <w:rFonts w:ascii="宋体" w:hAnsi="宋体" w:cs="宋体" w:hint="eastAsia"/>
          <w:kern w:val="0"/>
          <w:sz w:val="24"/>
          <w:szCs w:val="24"/>
        </w:rPr>
        <w:t>富国基金管理有限公司</w:t>
      </w:r>
    </w:p>
    <w:p w:rsidR="003A394A" w:rsidRPr="00B832BF" w:rsidRDefault="005B5EB3" w:rsidP="00503051">
      <w:pPr>
        <w:widowControl/>
        <w:spacing w:before="100" w:beforeAutospacing="1"/>
        <w:ind w:firstLine="420"/>
        <w:jc w:val="right"/>
        <w:rPr>
          <w:rFonts w:ascii="宋体" w:hAnsi="宋体" w:cs="宋体" w:hint="eastAsia"/>
          <w:color w:val="000000"/>
          <w:kern w:val="0"/>
          <w:sz w:val="24"/>
          <w:szCs w:val="24"/>
        </w:rPr>
      </w:pPr>
      <w:r>
        <w:rPr>
          <w:rFonts w:ascii="宋体" w:hAnsi="宋体" w:cs="宋体"/>
          <w:kern w:val="0"/>
          <w:sz w:val="24"/>
          <w:szCs w:val="24"/>
        </w:rPr>
        <w:lastRenderedPageBreak/>
        <w:t>2022年03月12日</w:t>
      </w:r>
      <w:r w:rsidR="001420EB" w:rsidRPr="00FD1D1E">
        <w:rPr>
          <w:rFonts w:ascii="宋体" w:hAnsi="宋体" w:cs="宋体"/>
          <w:color w:val="000000"/>
          <w:kern w:val="0"/>
          <w:sz w:val="24"/>
          <w:szCs w:val="24"/>
        </w:rPr>
        <w:t xml:space="preserve"> </w:t>
      </w:r>
    </w:p>
    <w:sectPr w:rsidR="003A394A" w:rsidRPr="00B832BF" w:rsidSect="00ED2E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9F8" w:rsidRDefault="00E169F8" w:rsidP="00CC37A0">
      <w:r>
        <w:separator/>
      </w:r>
    </w:p>
  </w:endnote>
  <w:endnote w:type="continuationSeparator" w:id="0">
    <w:p w:rsidR="00E169F8" w:rsidRDefault="00E169F8" w:rsidP="00CC37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9F8" w:rsidRDefault="00E169F8" w:rsidP="00CC37A0">
      <w:r>
        <w:separator/>
      </w:r>
    </w:p>
  </w:footnote>
  <w:footnote w:type="continuationSeparator" w:id="0">
    <w:p w:rsidR="00E169F8" w:rsidRDefault="00E169F8" w:rsidP="00CC37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ASTDURATION" w:val="0001年01月01日至0001年01月01日"/>
    <w:docVar w:name="LASTENDDATE" w:val="0001年01月01日"/>
    <w:docVar w:name="LASTSTARTDATE" w:val="0001年01月01日"/>
    <w:docVar w:name="THISDURATION" w:val="2022年03月10日至2022年03月10日"/>
    <w:docVar w:name="THISENDDATE" w:val="2022年03月10日"/>
    <w:docVar w:name="THISSTARTDATE" w:val="2022年03月10日"/>
  </w:docVars>
  <w:rsids>
    <w:rsidRoot w:val="00B42249"/>
    <w:rsid w:val="0000031F"/>
    <w:rsid w:val="000236E9"/>
    <w:rsid w:val="000315D0"/>
    <w:rsid w:val="00032568"/>
    <w:rsid w:val="000330E3"/>
    <w:rsid w:val="0004190E"/>
    <w:rsid w:val="00047BD8"/>
    <w:rsid w:val="00050070"/>
    <w:rsid w:val="0006489F"/>
    <w:rsid w:val="00072C5B"/>
    <w:rsid w:val="0008430E"/>
    <w:rsid w:val="00085976"/>
    <w:rsid w:val="000922AB"/>
    <w:rsid w:val="000A3F32"/>
    <w:rsid w:val="000B5BCE"/>
    <w:rsid w:val="000C2A1C"/>
    <w:rsid w:val="000C6BBA"/>
    <w:rsid w:val="000E31EF"/>
    <w:rsid w:val="000E44F6"/>
    <w:rsid w:val="000E5A74"/>
    <w:rsid w:val="000F23B7"/>
    <w:rsid w:val="000F42FC"/>
    <w:rsid w:val="000F461C"/>
    <w:rsid w:val="00106014"/>
    <w:rsid w:val="00113E78"/>
    <w:rsid w:val="00137D3A"/>
    <w:rsid w:val="001420EB"/>
    <w:rsid w:val="00142BD2"/>
    <w:rsid w:val="00146EB4"/>
    <w:rsid w:val="0015261E"/>
    <w:rsid w:val="0016522E"/>
    <w:rsid w:val="0018091A"/>
    <w:rsid w:val="0019183C"/>
    <w:rsid w:val="001957B1"/>
    <w:rsid w:val="001D0144"/>
    <w:rsid w:val="001D0C33"/>
    <w:rsid w:val="001E6159"/>
    <w:rsid w:val="001F1148"/>
    <w:rsid w:val="001F3820"/>
    <w:rsid w:val="001F535B"/>
    <w:rsid w:val="002056CB"/>
    <w:rsid w:val="00223164"/>
    <w:rsid w:val="00236FA5"/>
    <w:rsid w:val="00246F48"/>
    <w:rsid w:val="00256601"/>
    <w:rsid w:val="00261FF6"/>
    <w:rsid w:val="00265456"/>
    <w:rsid w:val="00293706"/>
    <w:rsid w:val="002950F3"/>
    <w:rsid w:val="002954E6"/>
    <w:rsid w:val="002B6658"/>
    <w:rsid w:val="002B7691"/>
    <w:rsid w:val="002C204E"/>
    <w:rsid w:val="002D668E"/>
    <w:rsid w:val="002E69BE"/>
    <w:rsid w:val="002F471D"/>
    <w:rsid w:val="0031062B"/>
    <w:rsid w:val="00311BA8"/>
    <w:rsid w:val="0034411B"/>
    <w:rsid w:val="00377F98"/>
    <w:rsid w:val="003863AF"/>
    <w:rsid w:val="003A394A"/>
    <w:rsid w:val="003B241E"/>
    <w:rsid w:val="003B35E9"/>
    <w:rsid w:val="003B480F"/>
    <w:rsid w:val="003B6B3F"/>
    <w:rsid w:val="003C6997"/>
    <w:rsid w:val="003D11F4"/>
    <w:rsid w:val="003E3D63"/>
    <w:rsid w:val="003E5026"/>
    <w:rsid w:val="003E7ADF"/>
    <w:rsid w:val="003F3D21"/>
    <w:rsid w:val="003F5BF3"/>
    <w:rsid w:val="003F5CDF"/>
    <w:rsid w:val="004109B4"/>
    <w:rsid w:val="004115C2"/>
    <w:rsid w:val="0041486D"/>
    <w:rsid w:val="00434648"/>
    <w:rsid w:val="004665EF"/>
    <w:rsid w:val="00475029"/>
    <w:rsid w:val="004822DE"/>
    <w:rsid w:val="00484009"/>
    <w:rsid w:val="004A08E2"/>
    <w:rsid w:val="004A60C7"/>
    <w:rsid w:val="004B04FC"/>
    <w:rsid w:val="004C28CD"/>
    <w:rsid w:val="004E07FB"/>
    <w:rsid w:val="004E4226"/>
    <w:rsid w:val="004E673F"/>
    <w:rsid w:val="004F3F4A"/>
    <w:rsid w:val="004F7DC6"/>
    <w:rsid w:val="005021B7"/>
    <w:rsid w:val="00503051"/>
    <w:rsid w:val="005152A1"/>
    <w:rsid w:val="0052771A"/>
    <w:rsid w:val="00530E04"/>
    <w:rsid w:val="00531E6D"/>
    <w:rsid w:val="005333C9"/>
    <w:rsid w:val="005554E5"/>
    <w:rsid w:val="00564975"/>
    <w:rsid w:val="005929EB"/>
    <w:rsid w:val="00595430"/>
    <w:rsid w:val="005B16F5"/>
    <w:rsid w:val="005B5EB3"/>
    <w:rsid w:val="005C0230"/>
    <w:rsid w:val="005C2DC3"/>
    <w:rsid w:val="006027FA"/>
    <w:rsid w:val="00603C6E"/>
    <w:rsid w:val="0060444E"/>
    <w:rsid w:val="00611390"/>
    <w:rsid w:val="0063433C"/>
    <w:rsid w:val="006371CB"/>
    <w:rsid w:val="006408E8"/>
    <w:rsid w:val="00647F2B"/>
    <w:rsid w:val="0065384E"/>
    <w:rsid w:val="006627C6"/>
    <w:rsid w:val="00670813"/>
    <w:rsid w:val="006755EA"/>
    <w:rsid w:val="006800DC"/>
    <w:rsid w:val="00696A9B"/>
    <w:rsid w:val="006B5813"/>
    <w:rsid w:val="006C1562"/>
    <w:rsid w:val="006C166E"/>
    <w:rsid w:val="006C4626"/>
    <w:rsid w:val="006C4EE4"/>
    <w:rsid w:val="006E1683"/>
    <w:rsid w:val="006E616E"/>
    <w:rsid w:val="006F75D9"/>
    <w:rsid w:val="007037F2"/>
    <w:rsid w:val="00724134"/>
    <w:rsid w:val="00724F46"/>
    <w:rsid w:val="0073671A"/>
    <w:rsid w:val="00744C6C"/>
    <w:rsid w:val="00746752"/>
    <w:rsid w:val="0075021F"/>
    <w:rsid w:val="00750345"/>
    <w:rsid w:val="00753AC8"/>
    <w:rsid w:val="007570BA"/>
    <w:rsid w:val="00761D5F"/>
    <w:rsid w:val="00764CBF"/>
    <w:rsid w:val="007779D3"/>
    <w:rsid w:val="007A021D"/>
    <w:rsid w:val="007A5AFC"/>
    <w:rsid w:val="007B2A9F"/>
    <w:rsid w:val="007B56D0"/>
    <w:rsid w:val="007B75F2"/>
    <w:rsid w:val="007C5156"/>
    <w:rsid w:val="007C75D9"/>
    <w:rsid w:val="007E1E85"/>
    <w:rsid w:val="007E1EB9"/>
    <w:rsid w:val="007E2073"/>
    <w:rsid w:val="007E30A6"/>
    <w:rsid w:val="007E4203"/>
    <w:rsid w:val="007F395E"/>
    <w:rsid w:val="007F4BAE"/>
    <w:rsid w:val="00805840"/>
    <w:rsid w:val="00810C9D"/>
    <w:rsid w:val="00812703"/>
    <w:rsid w:val="008179EF"/>
    <w:rsid w:val="008215BC"/>
    <w:rsid w:val="00821D5A"/>
    <w:rsid w:val="0082227C"/>
    <w:rsid w:val="00840965"/>
    <w:rsid w:val="0084245A"/>
    <w:rsid w:val="00853C5E"/>
    <w:rsid w:val="0086164B"/>
    <w:rsid w:val="008A037E"/>
    <w:rsid w:val="008A04CA"/>
    <w:rsid w:val="008A3F03"/>
    <w:rsid w:val="008A618C"/>
    <w:rsid w:val="008D4872"/>
    <w:rsid w:val="008F3BF0"/>
    <w:rsid w:val="00901A50"/>
    <w:rsid w:val="009069A4"/>
    <w:rsid w:val="00907BD8"/>
    <w:rsid w:val="009335FF"/>
    <w:rsid w:val="00962915"/>
    <w:rsid w:val="00964D55"/>
    <w:rsid w:val="00966552"/>
    <w:rsid w:val="009668C7"/>
    <w:rsid w:val="00974A44"/>
    <w:rsid w:val="009B482D"/>
    <w:rsid w:val="009C3F12"/>
    <w:rsid w:val="009C530A"/>
    <w:rsid w:val="009E1900"/>
    <w:rsid w:val="009E47FB"/>
    <w:rsid w:val="00A06E1C"/>
    <w:rsid w:val="00A07AC3"/>
    <w:rsid w:val="00A14545"/>
    <w:rsid w:val="00A20FBA"/>
    <w:rsid w:val="00A23F9F"/>
    <w:rsid w:val="00A24F1D"/>
    <w:rsid w:val="00A26F15"/>
    <w:rsid w:val="00A40848"/>
    <w:rsid w:val="00A40971"/>
    <w:rsid w:val="00A41A4A"/>
    <w:rsid w:val="00A65ABB"/>
    <w:rsid w:val="00A8189F"/>
    <w:rsid w:val="00A81FAD"/>
    <w:rsid w:val="00A9221A"/>
    <w:rsid w:val="00A94551"/>
    <w:rsid w:val="00AA0FD1"/>
    <w:rsid w:val="00AB2340"/>
    <w:rsid w:val="00AB306F"/>
    <w:rsid w:val="00AC3E8D"/>
    <w:rsid w:val="00AC7A1D"/>
    <w:rsid w:val="00AC7F56"/>
    <w:rsid w:val="00AD2A0D"/>
    <w:rsid w:val="00AE30A4"/>
    <w:rsid w:val="00B02503"/>
    <w:rsid w:val="00B13272"/>
    <w:rsid w:val="00B14051"/>
    <w:rsid w:val="00B15910"/>
    <w:rsid w:val="00B26E3A"/>
    <w:rsid w:val="00B42208"/>
    <w:rsid w:val="00B42249"/>
    <w:rsid w:val="00B42253"/>
    <w:rsid w:val="00B431C2"/>
    <w:rsid w:val="00B5579B"/>
    <w:rsid w:val="00B607BE"/>
    <w:rsid w:val="00B62473"/>
    <w:rsid w:val="00B644CA"/>
    <w:rsid w:val="00B72BAA"/>
    <w:rsid w:val="00B753F6"/>
    <w:rsid w:val="00B7719D"/>
    <w:rsid w:val="00B832BF"/>
    <w:rsid w:val="00B85962"/>
    <w:rsid w:val="00B95123"/>
    <w:rsid w:val="00BC6FE8"/>
    <w:rsid w:val="00BD4B84"/>
    <w:rsid w:val="00BE10B2"/>
    <w:rsid w:val="00C041C7"/>
    <w:rsid w:val="00C122D0"/>
    <w:rsid w:val="00C237D2"/>
    <w:rsid w:val="00C255A4"/>
    <w:rsid w:val="00C332F5"/>
    <w:rsid w:val="00C40659"/>
    <w:rsid w:val="00C42CBA"/>
    <w:rsid w:val="00C444CE"/>
    <w:rsid w:val="00C47340"/>
    <w:rsid w:val="00C551B8"/>
    <w:rsid w:val="00C83D31"/>
    <w:rsid w:val="00C85ED6"/>
    <w:rsid w:val="00CA08A1"/>
    <w:rsid w:val="00CC37A0"/>
    <w:rsid w:val="00CD032D"/>
    <w:rsid w:val="00CD782C"/>
    <w:rsid w:val="00CE1881"/>
    <w:rsid w:val="00CE3D83"/>
    <w:rsid w:val="00CE56A2"/>
    <w:rsid w:val="00D10A99"/>
    <w:rsid w:val="00D112B2"/>
    <w:rsid w:val="00D1291A"/>
    <w:rsid w:val="00D26CAC"/>
    <w:rsid w:val="00D41770"/>
    <w:rsid w:val="00D42E5F"/>
    <w:rsid w:val="00D55408"/>
    <w:rsid w:val="00D619BE"/>
    <w:rsid w:val="00D66FD5"/>
    <w:rsid w:val="00D727A4"/>
    <w:rsid w:val="00D74AF2"/>
    <w:rsid w:val="00D803DC"/>
    <w:rsid w:val="00D808C7"/>
    <w:rsid w:val="00D83B89"/>
    <w:rsid w:val="00D85433"/>
    <w:rsid w:val="00D96CA2"/>
    <w:rsid w:val="00DA5013"/>
    <w:rsid w:val="00DC00EB"/>
    <w:rsid w:val="00DC0FA0"/>
    <w:rsid w:val="00DD5C27"/>
    <w:rsid w:val="00DD677F"/>
    <w:rsid w:val="00DD6D6E"/>
    <w:rsid w:val="00DE3FCD"/>
    <w:rsid w:val="00DF25D2"/>
    <w:rsid w:val="00E00DC5"/>
    <w:rsid w:val="00E01F49"/>
    <w:rsid w:val="00E07149"/>
    <w:rsid w:val="00E130CA"/>
    <w:rsid w:val="00E169F8"/>
    <w:rsid w:val="00E279D2"/>
    <w:rsid w:val="00E30FF7"/>
    <w:rsid w:val="00E31B3E"/>
    <w:rsid w:val="00E458F7"/>
    <w:rsid w:val="00E50C70"/>
    <w:rsid w:val="00E5732A"/>
    <w:rsid w:val="00E57552"/>
    <w:rsid w:val="00E7660F"/>
    <w:rsid w:val="00E8077B"/>
    <w:rsid w:val="00EB165D"/>
    <w:rsid w:val="00EB4B61"/>
    <w:rsid w:val="00EC0541"/>
    <w:rsid w:val="00EC21AA"/>
    <w:rsid w:val="00EC3C3A"/>
    <w:rsid w:val="00EC4627"/>
    <w:rsid w:val="00ED2E2E"/>
    <w:rsid w:val="00ED515D"/>
    <w:rsid w:val="00ED5B31"/>
    <w:rsid w:val="00ED69ED"/>
    <w:rsid w:val="00EE1AF3"/>
    <w:rsid w:val="00EE3160"/>
    <w:rsid w:val="00EF24FC"/>
    <w:rsid w:val="00EF4B5E"/>
    <w:rsid w:val="00EF7D90"/>
    <w:rsid w:val="00F1353E"/>
    <w:rsid w:val="00F13C6A"/>
    <w:rsid w:val="00F40A0C"/>
    <w:rsid w:val="00F45241"/>
    <w:rsid w:val="00F51BD8"/>
    <w:rsid w:val="00F565E7"/>
    <w:rsid w:val="00F605B4"/>
    <w:rsid w:val="00F72B9E"/>
    <w:rsid w:val="00F81885"/>
    <w:rsid w:val="00F85CEE"/>
    <w:rsid w:val="00F862D6"/>
    <w:rsid w:val="00F91D8D"/>
    <w:rsid w:val="00FA7BE4"/>
    <w:rsid w:val="00FB5803"/>
    <w:rsid w:val="00FD0031"/>
    <w:rsid w:val="00FD1D1E"/>
    <w:rsid w:val="00FF3C86"/>
    <w:rsid w:val="00FF47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2E"/>
    <w:pPr>
      <w:widowControl w:val="0"/>
      <w:jc w:val="both"/>
    </w:pPr>
    <w:rPr>
      <w:kern w:val="2"/>
      <w:sz w:val="21"/>
      <w:szCs w:val="22"/>
    </w:rPr>
  </w:style>
  <w:style w:type="paragraph" w:styleId="1">
    <w:name w:val="heading 1"/>
    <w:basedOn w:val="a"/>
    <w:link w:val="1Char"/>
    <w:uiPriority w:val="99"/>
    <w:qFormat/>
    <w:rsid w:val="00CC37A0"/>
    <w:pPr>
      <w:widowControl/>
      <w:spacing w:before="100" w:beforeAutospacing="1" w:after="100" w:afterAutospacing="1"/>
      <w:jc w:val="left"/>
      <w:outlineLvl w:val="0"/>
    </w:pPr>
    <w:rPr>
      <w:rFonts w:ascii="宋体" w:hAnsi="宋体"/>
      <w:b/>
      <w:bCs/>
      <w:color w:val="000000"/>
      <w:kern w:val="36"/>
      <w:sz w:val="48"/>
      <w:szCs w:val="48"/>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CC37A0"/>
    <w:rPr>
      <w:rFonts w:ascii="宋体" w:eastAsia="宋体" w:hAnsi="宋体" w:cs="宋体"/>
      <w:b/>
      <w:bCs/>
      <w:color w:val="000000"/>
      <w:kern w:val="36"/>
      <w:sz w:val="48"/>
      <w:szCs w:val="48"/>
    </w:rPr>
  </w:style>
  <w:style w:type="paragraph" w:styleId="a3">
    <w:name w:val="header"/>
    <w:basedOn w:val="a"/>
    <w:link w:val="Char"/>
    <w:uiPriority w:val="99"/>
    <w:semiHidden/>
    <w:rsid w:val="00CC37A0"/>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semiHidden/>
    <w:locked/>
    <w:rsid w:val="00CC37A0"/>
    <w:rPr>
      <w:rFonts w:cs="Times New Roman"/>
      <w:sz w:val="18"/>
      <w:szCs w:val="18"/>
    </w:rPr>
  </w:style>
  <w:style w:type="paragraph" w:styleId="a4">
    <w:name w:val="footer"/>
    <w:basedOn w:val="a"/>
    <w:link w:val="Char0"/>
    <w:uiPriority w:val="99"/>
    <w:semiHidden/>
    <w:rsid w:val="00CC37A0"/>
    <w:pPr>
      <w:tabs>
        <w:tab w:val="center" w:pos="4153"/>
        <w:tab w:val="right" w:pos="8306"/>
      </w:tabs>
      <w:snapToGrid w:val="0"/>
      <w:jc w:val="left"/>
    </w:pPr>
    <w:rPr>
      <w:kern w:val="0"/>
      <w:sz w:val="18"/>
      <w:szCs w:val="18"/>
      <w:lang/>
    </w:rPr>
  </w:style>
  <w:style w:type="character" w:customStyle="1" w:styleId="Char0">
    <w:name w:val="页脚 Char"/>
    <w:link w:val="a4"/>
    <w:uiPriority w:val="99"/>
    <w:semiHidden/>
    <w:locked/>
    <w:rsid w:val="00CC37A0"/>
    <w:rPr>
      <w:rFonts w:cs="Times New Roman"/>
      <w:sz w:val="18"/>
      <w:szCs w:val="18"/>
    </w:rPr>
  </w:style>
  <w:style w:type="character" w:styleId="a5">
    <w:name w:val="Hyperlink"/>
    <w:uiPriority w:val="99"/>
    <w:semiHidden/>
    <w:rsid w:val="00CC37A0"/>
    <w:rPr>
      <w:rFonts w:cs="Times New Roman"/>
      <w:color w:val="000000"/>
      <w:u w:val="none"/>
      <w:effect w:val="none"/>
    </w:rPr>
  </w:style>
  <w:style w:type="character" w:customStyle="1" w:styleId="agreen">
    <w:name w:val="agreen"/>
    <w:uiPriority w:val="99"/>
    <w:rsid w:val="00CC37A0"/>
    <w:rPr>
      <w:rFonts w:cs="Times New Roman"/>
    </w:rPr>
  </w:style>
  <w:style w:type="table" w:styleId="a6">
    <w:name w:val="Table Grid"/>
    <w:basedOn w:val="a1"/>
    <w:uiPriority w:val="99"/>
    <w:rsid w:val="00CC37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Emphasis"/>
    <w:uiPriority w:val="99"/>
    <w:qFormat/>
    <w:rsid w:val="00F40A0C"/>
    <w:rPr>
      <w:rFonts w:cs="Times New Roman"/>
      <w:color w:val="CC0033"/>
    </w:rPr>
  </w:style>
  <w:style w:type="paragraph" w:styleId="a8">
    <w:name w:val="Balloon Text"/>
    <w:basedOn w:val="a"/>
    <w:link w:val="Char1"/>
    <w:uiPriority w:val="99"/>
    <w:semiHidden/>
    <w:unhideWhenUsed/>
    <w:rsid w:val="00AB2340"/>
    <w:rPr>
      <w:sz w:val="18"/>
      <w:szCs w:val="18"/>
      <w:lang/>
    </w:rPr>
  </w:style>
  <w:style w:type="character" w:customStyle="1" w:styleId="Char1">
    <w:name w:val="批注框文本 Char"/>
    <w:link w:val="a8"/>
    <w:uiPriority w:val="99"/>
    <w:semiHidden/>
    <w:rsid w:val="00AB2340"/>
    <w:rPr>
      <w:kern w:val="2"/>
      <w:sz w:val="18"/>
      <w:szCs w:val="18"/>
    </w:rPr>
  </w:style>
  <w:style w:type="character" w:styleId="a9">
    <w:name w:val="annotation reference"/>
    <w:uiPriority w:val="99"/>
    <w:semiHidden/>
    <w:unhideWhenUsed/>
    <w:rsid w:val="00AB2340"/>
    <w:rPr>
      <w:sz w:val="21"/>
      <w:szCs w:val="21"/>
    </w:rPr>
  </w:style>
  <w:style w:type="paragraph" w:styleId="aa">
    <w:name w:val="annotation text"/>
    <w:basedOn w:val="a"/>
    <w:link w:val="Char2"/>
    <w:uiPriority w:val="99"/>
    <w:semiHidden/>
    <w:unhideWhenUsed/>
    <w:rsid w:val="00AB2340"/>
    <w:pPr>
      <w:jc w:val="left"/>
    </w:pPr>
    <w:rPr>
      <w:lang/>
    </w:rPr>
  </w:style>
  <w:style w:type="character" w:customStyle="1" w:styleId="Char2">
    <w:name w:val="批注文字 Char"/>
    <w:link w:val="aa"/>
    <w:uiPriority w:val="99"/>
    <w:semiHidden/>
    <w:rsid w:val="00AB2340"/>
    <w:rPr>
      <w:kern w:val="2"/>
      <w:sz w:val="21"/>
      <w:szCs w:val="22"/>
    </w:rPr>
  </w:style>
  <w:style w:type="paragraph" w:styleId="ab">
    <w:name w:val="annotation subject"/>
    <w:basedOn w:val="aa"/>
    <w:next w:val="aa"/>
    <w:link w:val="Char3"/>
    <w:uiPriority w:val="99"/>
    <w:semiHidden/>
    <w:unhideWhenUsed/>
    <w:rsid w:val="00AB2340"/>
    <w:rPr>
      <w:b/>
      <w:bCs/>
    </w:rPr>
  </w:style>
  <w:style w:type="character" w:customStyle="1" w:styleId="Char3">
    <w:name w:val="批注主题 Char"/>
    <w:link w:val="ab"/>
    <w:uiPriority w:val="99"/>
    <w:semiHidden/>
    <w:rsid w:val="00AB2340"/>
    <w:rPr>
      <w:b/>
      <w:bCs/>
      <w:kern w:val="2"/>
      <w:sz w:val="21"/>
      <w:szCs w:val="22"/>
    </w:rPr>
  </w:style>
  <w:style w:type="paragraph" w:customStyle="1" w:styleId="Default">
    <w:name w:val="Default"/>
    <w:rsid w:val="00611390"/>
    <w:pPr>
      <w:widowControl w:val="0"/>
      <w:autoSpaceDE w:val="0"/>
      <w:autoSpaceDN w:val="0"/>
      <w:adjustRightInd w:val="0"/>
    </w:pPr>
    <w:rPr>
      <w:rFonts w:ascii="华文中宋" w:eastAsia="华文中宋" w:cs="华文中宋"/>
      <w:color w:val="000000"/>
      <w:sz w:val="24"/>
      <w:szCs w:val="24"/>
    </w:rPr>
  </w:style>
  <w:style w:type="paragraph" w:styleId="HTML">
    <w:name w:val="HTML Preformatted"/>
    <w:basedOn w:val="a"/>
    <w:link w:val="HTMLChar"/>
    <w:uiPriority w:val="99"/>
    <w:unhideWhenUsed/>
    <w:rsid w:val="00CE18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rPr>
  </w:style>
  <w:style w:type="character" w:customStyle="1" w:styleId="HTMLChar">
    <w:name w:val="HTML 预设格式 Char"/>
    <w:link w:val="HTML"/>
    <w:uiPriority w:val="99"/>
    <w:rsid w:val="00CE1881"/>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31273551">
      <w:bodyDiv w:val="1"/>
      <w:marLeft w:val="0"/>
      <w:marRight w:val="0"/>
      <w:marTop w:val="0"/>
      <w:marBottom w:val="0"/>
      <w:divBdr>
        <w:top w:val="none" w:sz="0" w:space="0" w:color="auto"/>
        <w:left w:val="none" w:sz="0" w:space="0" w:color="auto"/>
        <w:bottom w:val="none" w:sz="0" w:space="0" w:color="auto"/>
        <w:right w:val="none" w:sz="0" w:space="0" w:color="auto"/>
      </w:divBdr>
    </w:div>
    <w:div w:id="70978291">
      <w:bodyDiv w:val="1"/>
      <w:marLeft w:val="0"/>
      <w:marRight w:val="0"/>
      <w:marTop w:val="0"/>
      <w:marBottom w:val="0"/>
      <w:divBdr>
        <w:top w:val="none" w:sz="0" w:space="0" w:color="auto"/>
        <w:left w:val="none" w:sz="0" w:space="0" w:color="auto"/>
        <w:bottom w:val="none" w:sz="0" w:space="0" w:color="auto"/>
        <w:right w:val="none" w:sz="0" w:space="0" w:color="auto"/>
      </w:divBdr>
    </w:div>
    <w:div w:id="106169610">
      <w:bodyDiv w:val="1"/>
      <w:marLeft w:val="0"/>
      <w:marRight w:val="0"/>
      <w:marTop w:val="0"/>
      <w:marBottom w:val="0"/>
      <w:divBdr>
        <w:top w:val="none" w:sz="0" w:space="0" w:color="auto"/>
        <w:left w:val="none" w:sz="0" w:space="0" w:color="auto"/>
        <w:bottom w:val="none" w:sz="0" w:space="0" w:color="auto"/>
        <w:right w:val="none" w:sz="0" w:space="0" w:color="auto"/>
      </w:divBdr>
    </w:div>
    <w:div w:id="127207808">
      <w:bodyDiv w:val="1"/>
      <w:marLeft w:val="0"/>
      <w:marRight w:val="0"/>
      <w:marTop w:val="0"/>
      <w:marBottom w:val="0"/>
      <w:divBdr>
        <w:top w:val="none" w:sz="0" w:space="0" w:color="auto"/>
        <w:left w:val="none" w:sz="0" w:space="0" w:color="auto"/>
        <w:bottom w:val="none" w:sz="0" w:space="0" w:color="auto"/>
        <w:right w:val="none" w:sz="0" w:space="0" w:color="auto"/>
      </w:divBdr>
    </w:div>
    <w:div w:id="202595031">
      <w:bodyDiv w:val="1"/>
      <w:marLeft w:val="0"/>
      <w:marRight w:val="0"/>
      <w:marTop w:val="0"/>
      <w:marBottom w:val="0"/>
      <w:divBdr>
        <w:top w:val="none" w:sz="0" w:space="0" w:color="auto"/>
        <w:left w:val="none" w:sz="0" w:space="0" w:color="auto"/>
        <w:bottom w:val="none" w:sz="0" w:space="0" w:color="auto"/>
        <w:right w:val="none" w:sz="0" w:space="0" w:color="auto"/>
      </w:divBdr>
    </w:div>
    <w:div w:id="296616066">
      <w:bodyDiv w:val="1"/>
      <w:marLeft w:val="0"/>
      <w:marRight w:val="0"/>
      <w:marTop w:val="0"/>
      <w:marBottom w:val="0"/>
      <w:divBdr>
        <w:top w:val="none" w:sz="0" w:space="0" w:color="auto"/>
        <w:left w:val="none" w:sz="0" w:space="0" w:color="auto"/>
        <w:bottom w:val="none" w:sz="0" w:space="0" w:color="auto"/>
        <w:right w:val="none" w:sz="0" w:space="0" w:color="auto"/>
      </w:divBdr>
    </w:div>
    <w:div w:id="367267274">
      <w:bodyDiv w:val="1"/>
      <w:marLeft w:val="0"/>
      <w:marRight w:val="0"/>
      <w:marTop w:val="0"/>
      <w:marBottom w:val="0"/>
      <w:divBdr>
        <w:top w:val="none" w:sz="0" w:space="0" w:color="auto"/>
        <w:left w:val="none" w:sz="0" w:space="0" w:color="auto"/>
        <w:bottom w:val="none" w:sz="0" w:space="0" w:color="auto"/>
        <w:right w:val="none" w:sz="0" w:space="0" w:color="auto"/>
      </w:divBdr>
    </w:div>
    <w:div w:id="384765180">
      <w:bodyDiv w:val="1"/>
      <w:marLeft w:val="0"/>
      <w:marRight w:val="0"/>
      <w:marTop w:val="0"/>
      <w:marBottom w:val="0"/>
      <w:divBdr>
        <w:top w:val="none" w:sz="0" w:space="0" w:color="auto"/>
        <w:left w:val="none" w:sz="0" w:space="0" w:color="auto"/>
        <w:bottom w:val="none" w:sz="0" w:space="0" w:color="auto"/>
        <w:right w:val="none" w:sz="0" w:space="0" w:color="auto"/>
      </w:divBdr>
    </w:div>
    <w:div w:id="388774683">
      <w:bodyDiv w:val="1"/>
      <w:marLeft w:val="0"/>
      <w:marRight w:val="0"/>
      <w:marTop w:val="0"/>
      <w:marBottom w:val="0"/>
      <w:divBdr>
        <w:top w:val="none" w:sz="0" w:space="0" w:color="auto"/>
        <w:left w:val="none" w:sz="0" w:space="0" w:color="auto"/>
        <w:bottom w:val="none" w:sz="0" w:space="0" w:color="auto"/>
        <w:right w:val="none" w:sz="0" w:space="0" w:color="auto"/>
      </w:divBdr>
    </w:div>
    <w:div w:id="399251580">
      <w:bodyDiv w:val="1"/>
      <w:marLeft w:val="0"/>
      <w:marRight w:val="0"/>
      <w:marTop w:val="0"/>
      <w:marBottom w:val="0"/>
      <w:divBdr>
        <w:top w:val="none" w:sz="0" w:space="0" w:color="auto"/>
        <w:left w:val="none" w:sz="0" w:space="0" w:color="auto"/>
        <w:bottom w:val="none" w:sz="0" w:space="0" w:color="auto"/>
        <w:right w:val="none" w:sz="0" w:space="0" w:color="auto"/>
      </w:divBdr>
    </w:div>
    <w:div w:id="452602782">
      <w:bodyDiv w:val="1"/>
      <w:marLeft w:val="0"/>
      <w:marRight w:val="0"/>
      <w:marTop w:val="0"/>
      <w:marBottom w:val="0"/>
      <w:divBdr>
        <w:top w:val="none" w:sz="0" w:space="0" w:color="auto"/>
        <w:left w:val="none" w:sz="0" w:space="0" w:color="auto"/>
        <w:bottom w:val="none" w:sz="0" w:space="0" w:color="auto"/>
        <w:right w:val="none" w:sz="0" w:space="0" w:color="auto"/>
      </w:divBdr>
    </w:div>
    <w:div w:id="453912247">
      <w:bodyDiv w:val="1"/>
      <w:marLeft w:val="0"/>
      <w:marRight w:val="0"/>
      <w:marTop w:val="0"/>
      <w:marBottom w:val="0"/>
      <w:divBdr>
        <w:top w:val="none" w:sz="0" w:space="0" w:color="auto"/>
        <w:left w:val="none" w:sz="0" w:space="0" w:color="auto"/>
        <w:bottom w:val="none" w:sz="0" w:space="0" w:color="auto"/>
        <w:right w:val="none" w:sz="0" w:space="0" w:color="auto"/>
      </w:divBdr>
    </w:div>
    <w:div w:id="460224933">
      <w:bodyDiv w:val="1"/>
      <w:marLeft w:val="0"/>
      <w:marRight w:val="0"/>
      <w:marTop w:val="0"/>
      <w:marBottom w:val="0"/>
      <w:divBdr>
        <w:top w:val="none" w:sz="0" w:space="0" w:color="auto"/>
        <w:left w:val="none" w:sz="0" w:space="0" w:color="auto"/>
        <w:bottom w:val="none" w:sz="0" w:space="0" w:color="auto"/>
        <w:right w:val="none" w:sz="0" w:space="0" w:color="auto"/>
      </w:divBdr>
    </w:div>
    <w:div w:id="541556003">
      <w:bodyDiv w:val="1"/>
      <w:marLeft w:val="0"/>
      <w:marRight w:val="0"/>
      <w:marTop w:val="0"/>
      <w:marBottom w:val="0"/>
      <w:divBdr>
        <w:top w:val="none" w:sz="0" w:space="0" w:color="auto"/>
        <w:left w:val="none" w:sz="0" w:space="0" w:color="auto"/>
        <w:bottom w:val="none" w:sz="0" w:space="0" w:color="auto"/>
        <w:right w:val="none" w:sz="0" w:space="0" w:color="auto"/>
      </w:divBdr>
    </w:div>
    <w:div w:id="558593944">
      <w:bodyDiv w:val="1"/>
      <w:marLeft w:val="0"/>
      <w:marRight w:val="0"/>
      <w:marTop w:val="0"/>
      <w:marBottom w:val="0"/>
      <w:divBdr>
        <w:top w:val="none" w:sz="0" w:space="0" w:color="auto"/>
        <w:left w:val="none" w:sz="0" w:space="0" w:color="auto"/>
        <w:bottom w:val="none" w:sz="0" w:space="0" w:color="auto"/>
        <w:right w:val="none" w:sz="0" w:space="0" w:color="auto"/>
      </w:divBdr>
    </w:div>
    <w:div w:id="571426398">
      <w:bodyDiv w:val="1"/>
      <w:marLeft w:val="0"/>
      <w:marRight w:val="0"/>
      <w:marTop w:val="0"/>
      <w:marBottom w:val="0"/>
      <w:divBdr>
        <w:top w:val="none" w:sz="0" w:space="0" w:color="auto"/>
        <w:left w:val="none" w:sz="0" w:space="0" w:color="auto"/>
        <w:bottom w:val="none" w:sz="0" w:space="0" w:color="auto"/>
        <w:right w:val="none" w:sz="0" w:space="0" w:color="auto"/>
      </w:divBdr>
    </w:div>
    <w:div w:id="626543312">
      <w:bodyDiv w:val="1"/>
      <w:marLeft w:val="0"/>
      <w:marRight w:val="0"/>
      <w:marTop w:val="0"/>
      <w:marBottom w:val="0"/>
      <w:divBdr>
        <w:top w:val="none" w:sz="0" w:space="0" w:color="auto"/>
        <w:left w:val="none" w:sz="0" w:space="0" w:color="auto"/>
        <w:bottom w:val="none" w:sz="0" w:space="0" w:color="auto"/>
        <w:right w:val="none" w:sz="0" w:space="0" w:color="auto"/>
      </w:divBdr>
    </w:div>
    <w:div w:id="681124295">
      <w:bodyDiv w:val="1"/>
      <w:marLeft w:val="0"/>
      <w:marRight w:val="0"/>
      <w:marTop w:val="0"/>
      <w:marBottom w:val="0"/>
      <w:divBdr>
        <w:top w:val="none" w:sz="0" w:space="0" w:color="auto"/>
        <w:left w:val="none" w:sz="0" w:space="0" w:color="auto"/>
        <w:bottom w:val="none" w:sz="0" w:space="0" w:color="auto"/>
        <w:right w:val="none" w:sz="0" w:space="0" w:color="auto"/>
      </w:divBdr>
    </w:div>
    <w:div w:id="736323842">
      <w:bodyDiv w:val="1"/>
      <w:marLeft w:val="0"/>
      <w:marRight w:val="0"/>
      <w:marTop w:val="0"/>
      <w:marBottom w:val="0"/>
      <w:divBdr>
        <w:top w:val="none" w:sz="0" w:space="0" w:color="auto"/>
        <w:left w:val="none" w:sz="0" w:space="0" w:color="auto"/>
        <w:bottom w:val="none" w:sz="0" w:space="0" w:color="auto"/>
        <w:right w:val="none" w:sz="0" w:space="0" w:color="auto"/>
      </w:divBdr>
    </w:div>
    <w:div w:id="791948588">
      <w:bodyDiv w:val="1"/>
      <w:marLeft w:val="0"/>
      <w:marRight w:val="0"/>
      <w:marTop w:val="0"/>
      <w:marBottom w:val="0"/>
      <w:divBdr>
        <w:top w:val="none" w:sz="0" w:space="0" w:color="auto"/>
        <w:left w:val="none" w:sz="0" w:space="0" w:color="auto"/>
        <w:bottom w:val="none" w:sz="0" w:space="0" w:color="auto"/>
        <w:right w:val="none" w:sz="0" w:space="0" w:color="auto"/>
      </w:divBdr>
    </w:div>
    <w:div w:id="794258356">
      <w:bodyDiv w:val="1"/>
      <w:marLeft w:val="0"/>
      <w:marRight w:val="0"/>
      <w:marTop w:val="0"/>
      <w:marBottom w:val="0"/>
      <w:divBdr>
        <w:top w:val="none" w:sz="0" w:space="0" w:color="auto"/>
        <w:left w:val="none" w:sz="0" w:space="0" w:color="auto"/>
        <w:bottom w:val="none" w:sz="0" w:space="0" w:color="auto"/>
        <w:right w:val="none" w:sz="0" w:space="0" w:color="auto"/>
      </w:divBdr>
    </w:div>
    <w:div w:id="833758532">
      <w:bodyDiv w:val="1"/>
      <w:marLeft w:val="0"/>
      <w:marRight w:val="0"/>
      <w:marTop w:val="0"/>
      <w:marBottom w:val="0"/>
      <w:divBdr>
        <w:top w:val="none" w:sz="0" w:space="0" w:color="auto"/>
        <w:left w:val="none" w:sz="0" w:space="0" w:color="auto"/>
        <w:bottom w:val="none" w:sz="0" w:space="0" w:color="auto"/>
        <w:right w:val="none" w:sz="0" w:space="0" w:color="auto"/>
      </w:divBdr>
    </w:div>
    <w:div w:id="864633446">
      <w:bodyDiv w:val="1"/>
      <w:marLeft w:val="0"/>
      <w:marRight w:val="0"/>
      <w:marTop w:val="0"/>
      <w:marBottom w:val="0"/>
      <w:divBdr>
        <w:top w:val="none" w:sz="0" w:space="0" w:color="auto"/>
        <w:left w:val="none" w:sz="0" w:space="0" w:color="auto"/>
        <w:bottom w:val="none" w:sz="0" w:space="0" w:color="auto"/>
        <w:right w:val="none" w:sz="0" w:space="0" w:color="auto"/>
      </w:divBdr>
    </w:div>
    <w:div w:id="909847428">
      <w:bodyDiv w:val="1"/>
      <w:marLeft w:val="0"/>
      <w:marRight w:val="0"/>
      <w:marTop w:val="0"/>
      <w:marBottom w:val="0"/>
      <w:divBdr>
        <w:top w:val="none" w:sz="0" w:space="0" w:color="auto"/>
        <w:left w:val="none" w:sz="0" w:space="0" w:color="auto"/>
        <w:bottom w:val="none" w:sz="0" w:space="0" w:color="auto"/>
        <w:right w:val="none" w:sz="0" w:space="0" w:color="auto"/>
      </w:divBdr>
    </w:div>
    <w:div w:id="1089237465">
      <w:bodyDiv w:val="1"/>
      <w:marLeft w:val="0"/>
      <w:marRight w:val="0"/>
      <w:marTop w:val="0"/>
      <w:marBottom w:val="0"/>
      <w:divBdr>
        <w:top w:val="none" w:sz="0" w:space="0" w:color="auto"/>
        <w:left w:val="none" w:sz="0" w:space="0" w:color="auto"/>
        <w:bottom w:val="none" w:sz="0" w:space="0" w:color="auto"/>
        <w:right w:val="none" w:sz="0" w:space="0" w:color="auto"/>
      </w:divBdr>
    </w:div>
    <w:div w:id="1121190229">
      <w:bodyDiv w:val="1"/>
      <w:marLeft w:val="0"/>
      <w:marRight w:val="0"/>
      <w:marTop w:val="0"/>
      <w:marBottom w:val="0"/>
      <w:divBdr>
        <w:top w:val="none" w:sz="0" w:space="0" w:color="auto"/>
        <w:left w:val="none" w:sz="0" w:space="0" w:color="auto"/>
        <w:bottom w:val="none" w:sz="0" w:space="0" w:color="auto"/>
        <w:right w:val="none" w:sz="0" w:space="0" w:color="auto"/>
      </w:divBdr>
    </w:div>
    <w:div w:id="1130249194">
      <w:bodyDiv w:val="1"/>
      <w:marLeft w:val="0"/>
      <w:marRight w:val="0"/>
      <w:marTop w:val="0"/>
      <w:marBottom w:val="0"/>
      <w:divBdr>
        <w:top w:val="none" w:sz="0" w:space="0" w:color="auto"/>
        <w:left w:val="none" w:sz="0" w:space="0" w:color="auto"/>
        <w:bottom w:val="none" w:sz="0" w:space="0" w:color="auto"/>
        <w:right w:val="none" w:sz="0" w:space="0" w:color="auto"/>
      </w:divBdr>
    </w:div>
    <w:div w:id="1139879019">
      <w:bodyDiv w:val="1"/>
      <w:marLeft w:val="0"/>
      <w:marRight w:val="0"/>
      <w:marTop w:val="0"/>
      <w:marBottom w:val="0"/>
      <w:divBdr>
        <w:top w:val="none" w:sz="0" w:space="0" w:color="auto"/>
        <w:left w:val="none" w:sz="0" w:space="0" w:color="auto"/>
        <w:bottom w:val="none" w:sz="0" w:space="0" w:color="auto"/>
        <w:right w:val="none" w:sz="0" w:space="0" w:color="auto"/>
      </w:divBdr>
    </w:div>
    <w:div w:id="1190218756">
      <w:bodyDiv w:val="1"/>
      <w:marLeft w:val="0"/>
      <w:marRight w:val="0"/>
      <w:marTop w:val="0"/>
      <w:marBottom w:val="0"/>
      <w:divBdr>
        <w:top w:val="none" w:sz="0" w:space="0" w:color="auto"/>
        <w:left w:val="none" w:sz="0" w:space="0" w:color="auto"/>
        <w:bottom w:val="none" w:sz="0" w:space="0" w:color="auto"/>
        <w:right w:val="none" w:sz="0" w:space="0" w:color="auto"/>
      </w:divBdr>
    </w:div>
    <w:div w:id="1229803428">
      <w:bodyDiv w:val="1"/>
      <w:marLeft w:val="0"/>
      <w:marRight w:val="0"/>
      <w:marTop w:val="0"/>
      <w:marBottom w:val="0"/>
      <w:divBdr>
        <w:top w:val="none" w:sz="0" w:space="0" w:color="auto"/>
        <w:left w:val="none" w:sz="0" w:space="0" w:color="auto"/>
        <w:bottom w:val="none" w:sz="0" w:space="0" w:color="auto"/>
        <w:right w:val="none" w:sz="0" w:space="0" w:color="auto"/>
      </w:divBdr>
    </w:div>
    <w:div w:id="1250041078">
      <w:bodyDiv w:val="1"/>
      <w:marLeft w:val="0"/>
      <w:marRight w:val="0"/>
      <w:marTop w:val="0"/>
      <w:marBottom w:val="0"/>
      <w:divBdr>
        <w:top w:val="none" w:sz="0" w:space="0" w:color="auto"/>
        <w:left w:val="none" w:sz="0" w:space="0" w:color="auto"/>
        <w:bottom w:val="none" w:sz="0" w:space="0" w:color="auto"/>
        <w:right w:val="none" w:sz="0" w:space="0" w:color="auto"/>
      </w:divBdr>
    </w:div>
    <w:div w:id="1255015494">
      <w:bodyDiv w:val="1"/>
      <w:marLeft w:val="0"/>
      <w:marRight w:val="0"/>
      <w:marTop w:val="0"/>
      <w:marBottom w:val="0"/>
      <w:divBdr>
        <w:top w:val="none" w:sz="0" w:space="0" w:color="auto"/>
        <w:left w:val="none" w:sz="0" w:space="0" w:color="auto"/>
        <w:bottom w:val="none" w:sz="0" w:space="0" w:color="auto"/>
        <w:right w:val="none" w:sz="0" w:space="0" w:color="auto"/>
      </w:divBdr>
    </w:div>
    <w:div w:id="1258757287">
      <w:bodyDiv w:val="1"/>
      <w:marLeft w:val="0"/>
      <w:marRight w:val="0"/>
      <w:marTop w:val="0"/>
      <w:marBottom w:val="0"/>
      <w:divBdr>
        <w:top w:val="none" w:sz="0" w:space="0" w:color="auto"/>
        <w:left w:val="none" w:sz="0" w:space="0" w:color="auto"/>
        <w:bottom w:val="none" w:sz="0" w:space="0" w:color="auto"/>
        <w:right w:val="none" w:sz="0" w:space="0" w:color="auto"/>
      </w:divBdr>
    </w:div>
    <w:div w:id="1270508590">
      <w:bodyDiv w:val="1"/>
      <w:marLeft w:val="0"/>
      <w:marRight w:val="0"/>
      <w:marTop w:val="0"/>
      <w:marBottom w:val="0"/>
      <w:divBdr>
        <w:top w:val="none" w:sz="0" w:space="0" w:color="auto"/>
        <w:left w:val="none" w:sz="0" w:space="0" w:color="auto"/>
        <w:bottom w:val="none" w:sz="0" w:space="0" w:color="auto"/>
        <w:right w:val="none" w:sz="0" w:space="0" w:color="auto"/>
      </w:divBdr>
    </w:div>
    <w:div w:id="1293707347">
      <w:bodyDiv w:val="1"/>
      <w:marLeft w:val="0"/>
      <w:marRight w:val="0"/>
      <w:marTop w:val="0"/>
      <w:marBottom w:val="0"/>
      <w:divBdr>
        <w:top w:val="none" w:sz="0" w:space="0" w:color="auto"/>
        <w:left w:val="none" w:sz="0" w:space="0" w:color="auto"/>
        <w:bottom w:val="none" w:sz="0" w:space="0" w:color="auto"/>
        <w:right w:val="none" w:sz="0" w:space="0" w:color="auto"/>
      </w:divBdr>
    </w:div>
    <w:div w:id="1325279456">
      <w:bodyDiv w:val="1"/>
      <w:marLeft w:val="0"/>
      <w:marRight w:val="0"/>
      <w:marTop w:val="0"/>
      <w:marBottom w:val="0"/>
      <w:divBdr>
        <w:top w:val="none" w:sz="0" w:space="0" w:color="auto"/>
        <w:left w:val="none" w:sz="0" w:space="0" w:color="auto"/>
        <w:bottom w:val="none" w:sz="0" w:space="0" w:color="auto"/>
        <w:right w:val="none" w:sz="0" w:space="0" w:color="auto"/>
      </w:divBdr>
    </w:div>
    <w:div w:id="1425833665">
      <w:bodyDiv w:val="1"/>
      <w:marLeft w:val="0"/>
      <w:marRight w:val="0"/>
      <w:marTop w:val="0"/>
      <w:marBottom w:val="0"/>
      <w:divBdr>
        <w:top w:val="none" w:sz="0" w:space="0" w:color="auto"/>
        <w:left w:val="none" w:sz="0" w:space="0" w:color="auto"/>
        <w:bottom w:val="none" w:sz="0" w:space="0" w:color="auto"/>
        <w:right w:val="none" w:sz="0" w:space="0" w:color="auto"/>
      </w:divBdr>
    </w:div>
    <w:div w:id="1481728655">
      <w:bodyDiv w:val="1"/>
      <w:marLeft w:val="0"/>
      <w:marRight w:val="0"/>
      <w:marTop w:val="0"/>
      <w:marBottom w:val="0"/>
      <w:divBdr>
        <w:top w:val="none" w:sz="0" w:space="0" w:color="auto"/>
        <w:left w:val="none" w:sz="0" w:space="0" w:color="auto"/>
        <w:bottom w:val="none" w:sz="0" w:space="0" w:color="auto"/>
        <w:right w:val="none" w:sz="0" w:space="0" w:color="auto"/>
      </w:divBdr>
    </w:div>
    <w:div w:id="1552114796">
      <w:bodyDiv w:val="1"/>
      <w:marLeft w:val="0"/>
      <w:marRight w:val="0"/>
      <w:marTop w:val="0"/>
      <w:marBottom w:val="0"/>
      <w:divBdr>
        <w:top w:val="none" w:sz="0" w:space="0" w:color="auto"/>
        <w:left w:val="none" w:sz="0" w:space="0" w:color="auto"/>
        <w:bottom w:val="none" w:sz="0" w:space="0" w:color="auto"/>
        <w:right w:val="none" w:sz="0" w:space="0" w:color="auto"/>
      </w:divBdr>
    </w:div>
    <w:div w:id="1554002134">
      <w:bodyDiv w:val="1"/>
      <w:marLeft w:val="0"/>
      <w:marRight w:val="0"/>
      <w:marTop w:val="0"/>
      <w:marBottom w:val="0"/>
      <w:divBdr>
        <w:top w:val="none" w:sz="0" w:space="0" w:color="auto"/>
        <w:left w:val="none" w:sz="0" w:space="0" w:color="auto"/>
        <w:bottom w:val="none" w:sz="0" w:space="0" w:color="auto"/>
        <w:right w:val="none" w:sz="0" w:space="0" w:color="auto"/>
      </w:divBdr>
    </w:div>
    <w:div w:id="1561209212">
      <w:bodyDiv w:val="1"/>
      <w:marLeft w:val="0"/>
      <w:marRight w:val="0"/>
      <w:marTop w:val="0"/>
      <w:marBottom w:val="0"/>
      <w:divBdr>
        <w:top w:val="none" w:sz="0" w:space="0" w:color="auto"/>
        <w:left w:val="none" w:sz="0" w:space="0" w:color="auto"/>
        <w:bottom w:val="none" w:sz="0" w:space="0" w:color="auto"/>
        <w:right w:val="none" w:sz="0" w:space="0" w:color="auto"/>
      </w:divBdr>
    </w:div>
    <w:div w:id="1630745061">
      <w:bodyDiv w:val="1"/>
      <w:marLeft w:val="0"/>
      <w:marRight w:val="0"/>
      <w:marTop w:val="0"/>
      <w:marBottom w:val="0"/>
      <w:divBdr>
        <w:top w:val="none" w:sz="0" w:space="0" w:color="auto"/>
        <w:left w:val="none" w:sz="0" w:space="0" w:color="auto"/>
        <w:bottom w:val="none" w:sz="0" w:space="0" w:color="auto"/>
        <w:right w:val="none" w:sz="0" w:space="0" w:color="auto"/>
      </w:divBdr>
    </w:div>
    <w:div w:id="1652901583">
      <w:marLeft w:val="0"/>
      <w:marRight w:val="0"/>
      <w:marTop w:val="0"/>
      <w:marBottom w:val="0"/>
      <w:divBdr>
        <w:top w:val="none" w:sz="0" w:space="0" w:color="auto"/>
        <w:left w:val="none" w:sz="0" w:space="0" w:color="auto"/>
        <w:bottom w:val="none" w:sz="0" w:space="0" w:color="auto"/>
        <w:right w:val="none" w:sz="0" w:space="0" w:color="auto"/>
      </w:divBdr>
      <w:divsChild>
        <w:div w:id="1652901581">
          <w:marLeft w:val="0"/>
          <w:marRight w:val="0"/>
          <w:marTop w:val="0"/>
          <w:marBottom w:val="0"/>
          <w:divBdr>
            <w:top w:val="none" w:sz="0" w:space="0" w:color="auto"/>
            <w:left w:val="none" w:sz="0" w:space="0" w:color="auto"/>
            <w:bottom w:val="none" w:sz="0" w:space="0" w:color="auto"/>
            <w:right w:val="none" w:sz="0" w:space="0" w:color="auto"/>
          </w:divBdr>
          <w:divsChild>
            <w:div w:id="1652901585">
              <w:marLeft w:val="0"/>
              <w:marRight w:val="120"/>
              <w:marTop w:val="0"/>
              <w:marBottom w:val="0"/>
              <w:divBdr>
                <w:top w:val="none" w:sz="0" w:space="0" w:color="auto"/>
                <w:left w:val="none" w:sz="0" w:space="0" w:color="auto"/>
                <w:bottom w:val="none" w:sz="0" w:space="0" w:color="auto"/>
                <w:right w:val="none" w:sz="0" w:space="0" w:color="auto"/>
              </w:divBdr>
              <w:divsChild>
                <w:div w:id="1652901582">
                  <w:marLeft w:val="0"/>
                  <w:marRight w:val="0"/>
                  <w:marTop w:val="0"/>
                  <w:marBottom w:val="0"/>
                  <w:divBdr>
                    <w:top w:val="none" w:sz="0" w:space="0" w:color="auto"/>
                    <w:left w:val="none" w:sz="0" w:space="0" w:color="auto"/>
                    <w:bottom w:val="none" w:sz="0" w:space="0" w:color="auto"/>
                    <w:right w:val="none" w:sz="0" w:space="0" w:color="auto"/>
                  </w:divBdr>
                  <w:divsChild>
                    <w:div w:id="1652901584">
                      <w:marLeft w:val="0"/>
                      <w:marRight w:val="0"/>
                      <w:marTop w:val="300"/>
                      <w:marBottom w:val="420"/>
                      <w:divBdr>
                        <w:top w:val="none" w:sz="0" w:space="0" w:color="auto"/>
                        <w:left w:val="none" w:sz="0" w:space="0" w:color="auto"/>
                        <w:bottom w:val="none" w:sz="0" w:space="0" w:color="auto"/>
                        <w:right w:val="none" w:sz="0" w:space="0" w:color="auto"/>
                      </w:divBdr>
                    </w:div>
                  </w:divsChild>
                </w:div>
              </w:divsChild>
            </w:div>
          </w:divsChild>
        </w:div>
      </w:divsChild>
    </w:div>
    <w:div w:id="1676684293">
      <w:bodyDiv w:val="1"/>
      <w:marLeft w:val="0"/>
      <w:marRight w:val="0"/>
      <w:marTop w:val="0"/>
      <w:marBottom w:val="0"/>
      <w:divBdr>
        <w:top w:val="none" w:sz="0" w:space="0" w:color="auto"/>
        <w:left w:val="none" w:sz="0" w:space="0" w:color="auto"/>
        <w:bottom w:val="none" w:sz="0" w:space="0" w:color="auto"/>
        <w:right w:val="none" w:sz="0" w:space="0" w:color="auto"/>
      </w:divBdr>
    </w:div>
    <w:div w:id="1772310512">
      <w:bodyDiv w:val="1"/>
      <w:marLeft w:val="0"/>
      <w:marRight w:val="0"/>
      <w:marTop w:val="0"/>
      <w:marBottom w:val="0"/>
      <w:divBdr>
        <w:top w:val="none" w:sz="0" w:space="0" w:color="auto"/>
        <w:left w:val="none" w:sz="0" w:space="0" w:color="auto"/>
        <w:bottom w:val="none" w:sz="0" w:space="0" w:color="auto"/>
        <w:right w:val="none" w:sz="0" w:space="0" w:color="auto"/>
      </w:divBdr>
    </w:div>
    <w:div w:id="1784691489">
      <w:bodyDiv w:val="1"/>
      <w:marLeft w:val="0"/>
      <w:marRight w:val="0"/>
      <w:marTop w:val="0"/>
      <w:marBottom w:val="0"/>
      <w:divBdr>
        <w:top w:val="none" w:sz="0" w:space="0" w:color="auto"/>
        <w:left w:val="none" w:sz="0" w:space="0" w:color="auto"/>
        <w:bottom w:val="none" w:sz="0" w:space="0" w:color="auto"/>
        <w:right w:val="none" w:sz="0" w:space="0" w:color="auto"/>
      </w:divBdr>
    </w:div>
    <w:div w:id="1936857780">
      <w:bodyDiv w:val="1"/>
      <w:marLeft w:val="0"/>
      <w:marRight w:val="0"/>
      <w:marTop w:val="0"/>
      <w:marBottom w:val="0"/>
      <w:divBdr>
        <w:top w:val="none" w:sz="0" w:space="0" w:color="auto"/>
        <w:left w:val="none" w:sz="0" w:space="0" w:color="auto"/>
        <w:bottom w:val="none" w:sz="0" w:space="0" w:color="auto"/>
        <w:right w:val="none" w:sz="0" w:space="0" w:color="auto"/>
      </w:divBdr>
    </w:div>
    <w:div w:id="2022396393">
      <w:bodyDiv w:val="1"/>
      <w:marLeft w:val="0"/>
      <w:marRight w:val="0"/>
      <w:marTop w:val="0"/>
      <w:marBottom w:val="0"/>
      <w:divBdr>
        <w:top w:val="none" w:sz="0" w:space="0" w:color="auto"/>
        <w:left w:val="none" w:sz="0" w:space="0" w:color="auto"/>
        <w:bottom w:val="none" w:sz="0" w:space="0" w:color="auto"/>
        <w:right w:val="none" w:sz="0" w:space="0" w:color="auto"/>
      </w:divBdr>
    </w:div>
    <w:div w:id="2056544033">
      <w:bodyDiv w:val="1"/>
      <w:marLeft w:val="0"/>
      <w:marRight w:val="0"/>
      <w:marTop w:val="0"/>
      <w:marBottom w:val="0"/>
      <w:divBdr>
        <w:top w:val="none" w:sz="0" w:space="0" w:color="auto"/>
        <w:left w:val="none" w:sz="0" w:space="0" w:color="auto"/>
        <w:bottom w:val="none" w:sz="0" w:space="0" w:color="auto"/>
        <w:right w:val="none" w:sz="0" w:space="0" w:color="auto"/>
      </w:divBdr>
    </w:div>
    <w:div w:id="20658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tNetWorkSpace\smartdoc\&#20849;&#21516;&#22522;&#37329;_&#20020;&#26102;&#20844;&#21578;(&#25237;&#36164;&#38750;&#20844;&#24320;&#21457;&#34892;&#35777;&#21048;&#20844;&#21578;)_LS0000_&#20844;&#21215;&#20020;&#26102;&#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6CB1B-3430-44AD-9BBD-E53EEC9B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共同基金_临时公告(投资非公开发行证券公告)_LS0000_公募临时公告.dot</Template>
  <TotalTime>0</TotalTime>
  <Pages>2</Pages>
  <Words>136</Words>
  <Characters>781</Characters>
  <Application>Microsoft Office Word</Application>
  <DocSecurity>4</DocSecurity>
  <Lines>6</Lines>
  <Paragraphs>1</Paragraphs>
  <ScaleCrop>false</ScaleCrop>
  <Company>fullgoal</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富国基金管理有限公司投资非公开发行证券公告(公募临时公告)</dc:title>
  <dc:subject>834851</dc:subject>
  <dc:creator>林鹏</dc:creator>
  <cp:keywords/>
  <cp:lastModifiedBy>ZHONGM</cp:lastModifiedBy>
  <cp:revision>2</cp:revision>
  <cp:lastPrinted>2010-07-02T11:05:00Z</cp:lastPrinted>
  <dcterms:created xsi:type="dcterms:W3CDTF">2022-03-11T16:01:00Z</dcterms:created>
  <dcterms:modified xsi:type="dcterms:W3CDTF">2022-03-11T16:01:00Z</dcterms:modified>
</cp:coreProperties>
</file>