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22" w:rsidRDefault="00463B22" w:rsidP="004879FF">
      <w:pPr>
        <w:spacing w:line="360" w:lineRule="auto"/>
        <w:jc w:val="center"/>
        <w:rPr>
          <w:rFonts w:ascii="黑体" w:eastAsia="黑体" w:hAnsi="黑体"/>
          <w:b/>
          <w:sz w:val="36"/>
          <w:szCs w:val="36"/>
        </w:rPr>
      </w:pPr>
      <w:bookmarkStart w:id="0" w:name="_GoBack"/>
      <w:bookmarkEnd w:id="0"/>
    </w:p>
    <w:p w:rsidR="00463B22" w:rsidRPr="004879FF" w:rsidRDefault="00B51B8E" w:rsidP="004879FF">
      <w:pPr>
        <w:spacing w:line="360" w:lineRule="auto"/>
        <w:jc w:val="center"/>
        <w:rPr>
          <w:rFonts w:ascii="黑体" w:eastAsia="黑体" w:hAnsi="黑体"/>
          <w:b/>
          <w:sz w:val="36"/>
          <w:szCs w:val="36"/>
        </w:rPr>
      </w:pPr>
      <w:r w:rsidRPr="004879FF">
        <w:rPr>
          <w:rFonts w:ascii="黑体" w:eastAsia="黑体" w:hAnsi="黑体" w:hint="eastAsia"/>
          <w:b/>
          <w:sz w:val="36"/>
          <w:szCs w:val="36"/>
        </w:rPr>
        <w:t>圆信永丰基金管理有限公司关于旗下基金持有债券估值价格调整的公告</w:t>
      </w:r>
    </w:p>
    <w:p w:rsidR="00463B22" w:rsidRPr="004879FF" w:rsidRDefault="00463B22" w:rsidP="004879FF">
      <w:pPr>
        <w:spacing w:line="360" w:lineRule="auto"/>
        <w:ind w:firstLineChars="200" w:firstLine="480"/>
        <w:jc w:val="left"/>
        <w:rPr>
          <w:rFonts w:asciiTheme="minorEastAsia" w:hAnsiTheme="minorEastAsia"/>
          <w:sz w:val="24"/>
          <w:szCs w:val="24"/>
        </w:rPr>
      </w:pPr>
    </w:p>
    <w:p w:rsidR="00463B22" w:rsidRPr="004879FF" w:rsidRDefault="006C5D44" w:rsidP="004879FF">
      <w:pPr>
        <w:spacing w:line="360" w:lineRule="auto"/>
        <w:ind w:firstLineChars="200" w:firstLine="560"/>
        <w:jc w:val="left"/>
        <w:rPr>
          <w:rFonts w:asciiTheme="minorEastAsia" w:hAnsiTheme="minorEastAsia"/>
          <w:sz w:val="28"/>
          <w:szCs w:val="28"/>
        </w:rPr>
      </w:pPr>
      <w:r w:rsidRPr="00173F81">
        <w:rPr>
          <w:rFonts w:asciiTheme="minorEastAsia" w:hAnsiTheme="minorEastAsia"/>
          <w:sz w:val="28"/>
          <w:szCs w:val="28"/>
        </w:rPr>
        <w:t>根</w:t>
      </w:r>
      <w:r w:rsidR="00B51B8E" w:rsidRPr="004879FF">
        <w:rPr>
          <w:rFonts w:asciiTheme="minorEastAsia" w:hAnsiTheme="minorEastAsia" w:hint="eastAsia"/>
          <w:sz w:val="28"/>
          <w:szCs w:val="28"/>
        </w:rPr>
        <w:t>据</w:t>
      </w:r>
      <w:r w:rsidR="009F3BC0" w:rsidRPr="00173F81">
        <w:rPr>
          <w:rFonts w:asciiTheme="minorEastAsia" w:hAnsiTheme="minorEastAsia" w:hint="eastAsia"/>
          <w:sz w:val="28"/>
          <w:szCs w:val="28"/>
        </w:rPr>
        <w:t>中国证监会发布的〔</w:t>
      </w:r>
      <w:r w:rsidR="009F3BC0" w:rsidRPr="00173F81">
        <w:rPr>
          <w:rFonts w:asciiTheme="minorEastAsia" w:hAnsiTheme="minorEastAsia"/>
          <w:sz w:val="28"/>
          <w:szCs w:val="28"/>
        </w:rPr>
        <w:t>2017〕13号公告</w:t>
      </w:r>
      <w:r w:rsidR="00B51B8E" w:rsidRPr="004879FF">
        <w:rPr>
          <w:rFonts w:asciiTheme="minorEastAsia" w:hAnsiTheme="minorEastAsia" w:hint="eastAsia"/>
          <w:sz w:val="28"/>
          <w:szCs w:val="28"/>
        </w:rPr>
        <w:t>《中国证监会关于证券投资基金估值业务的指导意见》等有关规定，为使旗下相关基金的估值公平、合理，圆信永丰基金管理有限公司经与基金托管人及会计</w:t>
      </w:r>
      <w:r w:rsidR="00C36867">
        <w:rPr>
          <w:rFonts w:asciiTheme="minorEastAsia" w:hAnsiTheme="minorEastAsia"/>
          <w:sz w:val="28"/>
          <w:szCs w:val="28"/>
        </w:rPr>
        <w:t>师</w:t>
      </w:r>
      <w:r w:rsidR="00B51B8E" w:rsidRPr="004879FF">
        <w:rPr>
          <w:rFonts w:asciiTheme="minorEastAsia" w:hAnsiTheme="minorEastAsia" w:hint="eastAsia"/>
          <w:sz w:val="28"/>
          <w:szCs w:val="28"/>
        </w:rPr>
        <w:t>事务所协商，决定自</w:t>
      </w:r>
      <w:r w:rsidR="00B51B8E" w:rsidRPr="004879FF">
        <w:rPr>
          <w:rFonts w:asciiTheme="minorEastAsia" w:hAnsiTheme="minorEastAsia"/>
          <w:sz w:val="28"/>
          <w:szCs w:val="28"/>
        </w:rPr>
        <w:t>2022</w:t>
      </w:r>
      <w:r w:rsidR="00B51B8E" w:rsidRPr="004879FF">
        <w:rPr>
          <w:rFonts w:asciiTheme="minorEastAsia" w:hAnsiTheme="minorEastAsia" w:hint="eastAsia"/>
          <w:sz w:val="28"/>
          <w:szCs w:val="28"/>
        </w:rPr>
        <w:t>年</w:t>
      </w:r>
      <w:r w:rsidR="00B51B8E" w:rsidRPr="004879FF">
        <w:rPr>
          <w:rFonts w:asciiTheme="minorEastAsia" w:hAnsiTheme="minorEastAsia"/>
          <w:sz w:val="28"/>
          <w:szCs w:val="28"/>
        </w:rPr>
        <w:t>3</w:t>
      </w:r>
      <w:r w:rsidR="00B51B8E" w:rsidRPr="004879FF">
        <w:rPr>
          <w:rFonts w:asciiTheme="minorEastAsia" w:hAnsiTheme="minorEastAsia" w:hint="eastAsia"/>
          <w:sz w:val="28"/>
          <w:szCs w:val="28"/>
        </w:rPr>
        <w:t>月</w:t>
      </w:r>
      <w:r w:rsidR="00B51B8E" w:rsidRPr="004879FF">
        <w:rPr>
          <w:rFonts w:asciiTheme="minorEastAsia" w:hAnsiTheme="minorEastAsia"/>
          <w:sz w:val="28"/>
          <w:szCs w:val="28"/>
        </w:rPr>
        <w:t>7</w:t>
      </w:r>
      <w:r w:rsidR="00B51B8E" w:rsidRPr="004879FF">
        <w:rPr>
          <w:rFonts w:asciiTheme="minorEastAsia" w:hAnsiTheme="minorEastAsia" w:hint="eastAsia"/>
          <w:sz w:val="28"/>
          <w:szCs w:val="28"/>
        </w:rPr>
        <w:t>日起对本公司旗下基金所持有的“</w:t>
      </w:r>
      <w:r w:rsidR="00B51B8E" w:rsidRPr="004879FF">
        <w:rPr>
          <w:rFonts w:asciiTheme="minorEastAsia" w:hAnsiTheme="minorEastAsia"/>
          <w:sz w:val="28"/>
          <w:szCs w:val="28"/>
        </w:rPr>
        <w:t>19</w:t>
      </w:r>
      <w:r w:rsidR="00B51B8E" w:rsidRPr="004879FF">
        <w:rPr>
          <w:rFonts w:asciiTheme="minorEastAsia" w:hAnsiTheme="minorEastAsia" w:hint="eastAsia"/>
          <w:sz w:val="28"/>
          <w:szCs w:val="28"/>
        </w:rPr>
        <w:t>龙控</w:t>
      </w:r>
      <w:r w:rsidR="00B51B8E" w:rsidRPr="004879FF">
        <w:rPr>
          <w:rFonts w:asciiTheme="minorEastAsia" w:hAnsiTheme="minorEastAsia"/>
          <w:sz w:val="28"/>
          <w:szCs w:val="28"/>
        </w:rPr>
        <w:t>01</w:t>
      </w:r>
      <w:r w:rsidR="00B51B8E" w:rsidRPr="004879FF">
        <w:rPr>
          <w:rFonts w:asciiTheme="minorEastAsia" w:hAnsiTheme="minorEastAsia" w:hint="eastAsia"/>
          <w:sz w:val="28"/>
          <w:szCs w:val="28"/>
        </w:rPr>
        <w:t>”（证券代码：</w:t>
      </w:r>
      <w:r w:rsidR="00B51B8E" w:rsidRPr="004879FF">
        <w:rPr>
          <w:rFonts w:asciiTheme="minorEastAsia" w:hAnsiTheme="minorEastAsia"/>
          <w:sz w:val="28"/>
          <w:szCs w:val="28"/>
        </w:rPr>
        <w:t>112875</w:t>
      </w:r>
      <w:r w:rsidR="00B51B8E" w:rsidRPr="004879FF">
        <w:rPr>
          <w:rFonts w:asciiTheme="minorEastAsia" w:hAnsiTheme="minorEastAsia" w:hint="eastAsia"/>
          <w:sz w:val="28"/>
          <w:szCs w:val="28"/>
        </w:rPr>
        <w:t>）进行估值价</w:t>
      </w:r>
      <w:r w:rsidR="002F75A8">
        <w:rPr>
          <w:rFonts w:asciiTheme="minorEastAsia" w:hAnsiTheme="minorEastAsia" w:hint="eastAsia"/>
          <w:sz w:val="28"/>
          <w:szCs w:val="28"/>
        </w:rPr>
        <w:t>格</w:t>
      </w:r>
      <w:r w:rsidR="00B51B8E" w:rsidRPr="004879FF">
        <w:rPr>
          <w:rFonts w:asciiTheme="minorEastAsia" w:hAnsiTheme="minorEastAsia" w:hint="eastAsia"/>
          <w:sz w:val="28"/>
          <w:szCs w:val="28"/>
        </w:rPr>
        <w:t>调整。</w:t>
      </w:r>
    </w:p>
    <w:p w:rsidR="00463B22" w:rsidRPr="004879FF" w:rsidRDefault="00463B22" w:rsidP="004879FF">
      <w:pPr>
        <w:spacing w:line="360" w:lineRule="auto"/>
        <w:ind w:firstLineChars="200" w:firstLine="560"/>
        <w:jc w:val="left"/>
        <w:rPr>
          <w:rFonts w:asciiTheme="minorEastAsia" w:hAnsiTheme="minorEastAsia"/>
          <w:sz w:val="28"/>
          <w:szCs w:val="28"/>
        </w:rPr>
      </w:pPr>
    </w:p>
    <w:p w:rsidR="00463B22" w:rsidRPr="004879FF" w:rsidRDefault="00B51B8E" w:rsidP="004879FF">
      <w:pPr>
        <w:spacing w:line="360" w:lineRule="auto"/>
        <w:ind w:firstLineChars="200" w:firstLine="560"/>
        <w:jc w:val="left"/>
        <w:rPr>
          <w:rFonts w:asciiTheme="minorEastAsia" w:hAnsiTheme="minorEastAsia"/>
          <w:sz w:val="28"/>
          <w:szCs w:val="28"/>
        </w:rPr>
      </w:pPr>
      <w:r w:rsidRPr="004879FF">
        <w:rPr>
          <w:rFonts w:asciiTheme="minorEastAsia" w:hAnsiTheme="minorEastAsia" w:hint="eastAsia"/>
          <w:sz w:val="28"/>
          <w:szCs w:val="28"/>
        </w:rPr>
        <w:t>特此公告。</w:t>
      </w:r>
    </w:p>
    <w:p w:rsidR="00463B22" w:rsidRPr="004879FF" w:rsidRDefault="00B51B8E" w:rsidP="004879FF">
      <w:pPr>
        <w:spacing w:line="360" w:lineRule="auto"/>
        <w:ind w:firstLineChars="200" w:firstLine="560"/>
        <w:jc w:val="right"/>
        <w:rPr>
          <w:rFonts w:asciiTheme="minorEastAsia" w:hAnsiTheme="minorEastAsia"/>
          <w:sz w:val="28"/>
          <w:szCs w:val="28"/>
        </w:rPr>
      </w:pPr>
      <w:r w:rsidRPr="004879FF">
        <w:rPr>
          <w:rFonts w:asciiTheme="minorEastAsia" w:hAnsiTheme="minorEastAsia" w:hint="eastAsia"/>
          <w:sz w:val="28"/>
          <w:szCs w:val="28"/>
        </w:rPr>
        <w:t>圆信永丰基金管理有限公司</w:t>
      </w:r>
    </w:p>
    <w:p w:rsidR="00526E0F" w:rsidRPr="004879FF" w:rsidRDefault="00B51B8E" w:rsidP="004879FF">
      <w:pPr>
        <w:spacing w:line="360" w:lineRule="auto"/>
        <w:ind w:firstLineChars="200" w:firstLine="560"/>
        <w:jc w:val="right"/>
        <w:rPr>
          <w:rFonts w:asciiTheme="minorEastAsia" w:hAnsiTheme="minorEastAsia"/>
          <w:sz w:val="28"/>
          <w:szCs w:val="28"/>
        </w:rPr>
      </w:pPr>
      <w:r w:rsidRPr="004879FF">
        <w:rPr>
          <w:rFonts w:asciiTheme="minorEastAsia" w:hAnsiTheme="minorEastAsia"/>
          <w:sz w:val="28"/>
          <w:szCs w:val="28"/>
        </w:rPr>
        <w:t>2022</w:t>
      </w:r>
      <w:r w:rsidRPr="004879FF">
        <w:rPr>
          <w:rFonts w:asciiTheme="minorEastAsia" w:hAnsiTheme="minorEastAsia" w:hint="eastAsia"/>
          <w:sz w:val="28"/>
          <w:szCs w:val="28"/>
        </w:rPr>
        <w:t>年</w:t>
      </w:r>
      <w:r w:rsidRPr="004879FF">
        <w:rPr>
          <w:rFonts w:asciiTheme="minorEastAsia" w:hAnsiTheme="minorEastAsia"/>
          <w:sz w:val="28"/>
          <w:szCs w:val="28"/>
        </w:rPr>
        <w:t>3</w:t>
      </w:r>
      <w:r w:rsidRPr="004879FF">
        <w:rPr>
          <w:rFonts w:asciiTheme="minorEastAsia" w:hAnsiTheme="minorEastAsia" w:hint="eastAsia"/>
          <w:sz w:val="28"/>
          <w:szCs w:val="28"/>
        </w:rPr>
        <w:t>月</w:t>
      </w:r>
      <w:r w:rsidRPr="004879FF">
        <w:rPr>
          <w:rFonts w:asciiTheme="minorEastAsia" w:hAnsiTheme="minorEastAsia"/>
          <w:sz w:val="28"/>
          <w:szCs w:val="28"/>
        </w:rPr>
        <w:t>9</w:t>
      </w:r>
      <w:r w:rsidRPr="004879FF">
        <w:rPr>
          <w:rFonts w:asciiTheme="minorEastAsia" w:hAnsiTheme="minorEastAsia" w:hint="eastAsia"/>
          <w:sz w:val="28"/>
          <w:szCs w:val="28"/>
        </w:rPr>
        <w:t>日</w:t>
      </w:r>
    </w:p>
    <w:sectPr w:rsidR="00526E0F" w:rsidRPr="004879FF" w:rsidSect="00B51B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47" w:rsidRDefault="00EB1647" w:rsidP="00D57BFF">
      <w:r>
        <w:separator/>
      </w:r>
    </w:p>
  </w:endnote>
  <w:endnote w:type="continuationSeparator" w:id="0">
    <w:p w:rsidR="00EB1647" w:rsidRDefault="00EB1647" w:rsidP="00D57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47" w:rsidRDefault="00EB1647" w:rsidP="00D57BFF">
      <w:r>
        <w:separator/>
      </w:r>
    </w:p>
  </w:footnote>
  <w:footnote w:type="continuationSeparator" w:id="0">
    <w:p w:rsidR="00EB1647" w:rsidRDefault="00EB1647" w:rsidP="00D57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602"/>
    <w:rsid w:val="00035581"/>
    <w:rsid w:val="00091846"/>
    <w:rsid w:val="0016694E"/>
    <w:rsid w:val="00173F81"/>
    <w:rsid w:val="002F75A8"/>
    <w:rsid w:val="0032293E"/>
    <w:rsid w:val="0043417A"/>
    <w:rsid w:val="00463B22"/>
    <w:rsid w:val="004879FF"/>
    <w:rsid w:val="004A05FF"/>
    <w:rsid w:val="00526E0F"/>
    <w:rsid w:val="006C5D44"/>
    <w:rsid w:val="00986AFA"/>
    <w:rsid w:val="009F3BC0"/>
    <w:rsid w:val="00B1658C"/>
    <w:rsid w:val="00B51B8E"/>
    <w:rsid w:val="00B621F5"/>
    <w:rsid w:val="00C36867"/>
    <w:rsid w:val="00C53602"/>
    <w:rsid w:val="00CB5788"/>
    <w:rsid w:val="00CF0948"/>
    <w:rsid w:val="00D57BFF"/>
    <w:rsid w:val="00D94226"/>
    <w:rsid w:val="00EB1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BFF"/>
    <w:rPr>
      <w:sz w:val="18"/>
      <w:szCs w:val="18"/>
    </w:rPr>
  </w:style>
  <w:style w:type="paragraph" w:styleId="a4">
    <w:name w:val="footer"/>
    <w:basedOn w:val="a"/>
    <w:link w:val="Char0"/>
    <w:uiPriority w:val="99"/>
    <w:unhideWhenUsed/>
    <w:rsid w:val="00D57BFF"/>
    <w:pPr>
      <w:tabs>
        <w:tab w:val="center" w:pos="4153"/>
        <w:tab w:val="right" w:pos="8306"/>
      </w:tabs>
      <w:snapToGrid w:val="0"/>
      <w:jc w:val="left"/>
    </w:pPr>
    <w:rPr>
      <w:sz w:val="18"/>
      <w:szCs w:val="18"/>
    </w:rPr>
  </w:style>
  <w:style w:type="character" w:customStyle="1" w:styleId="Char0">
    <w:name w:val="页脚 Char"/>
    <w:basedOn w:val="a0"/>
    <w:link w:val="a4"/>
    <w:uiPriority w:val="99"/>
    <w:rsid w:val="00D57BFF"/>
    <w:rPr>
      <w:sz w:val="18"/>
      <w:szCs w:val="18"/>
    </w:rPr>
  </w:style>
  <w:style w:type="paragraph" w:styleId="a5">
    <w:name w:val="Balloon Text"/>
    <w:basedOn w:val="a"/>
    <w:link w:val="Char1"/>
    <w:uiPriority w:val="99"/>
    <w:semiHidden/>
    <w:unhideWhenUsed/>
    <w:rsid w:val="0043417A"/>
    <w:rPr>
      <w:sz w:val="18"/>
      <w:szCs w:val="18"/>
    </w:rPr>
  </w:style>
  <w:style w:type="character" w:customStyle="1" w:styleId="Char1">
    <w:name w:val="批注框文本 Char"/>
    <w:basedOn w:val="a0"/>
    <w:link w:val="a5"/>
    <w:uiPriority w:val="99"/>
    <w:semiHidden/>
    <w:rsid w:val="0043417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4</DocSecurity>
  <Lines>1</Lines>
  <Paragraphs>1</Paragraphs>
  <ScaleCrop>false</ScaleCrop>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陶佳婧</dc:creator>
  <cp:keywords/>
  <dc:description/>
  <cp:lastModifiedBy>ZHONGM</cp:lastModifiedBy>
  <cp:revision>2</cp:revision>
  <dcterms:created xsi:type="dcterms:W3CDTF">2022-03-08T16:01:00Z</dcterms:created>
  <dcterms:modified xsi:type="dcterms:W3CDTF">2022-03-08T16:01:00Z</dcterms:modified>
</cp:coreProperties>
</file>