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C" w:rsidRDefault="00CE310C" w:rsidP="003D3775">
      <w:pPr>
        <w:jc w:val="center"/>
        <w:rPr>
          <w:rFonts w:asciiTheme="minorEastAsia" w:hAnsiTheme="minorEastAsia"/>
          <w:b/>
          <w:sz w:val="28"/>
          <w:szCs w:val="28"/>
        </w:rPr>
      </w:pPr>
      <w:r w:rsidRPr="00CE310C">
        <w:rPr>
          <w:rFonts w:asciiTheme="minorEastAsia" w:hAnsiTheme="minorEastAsia" w:hint="eastAsia"/>
          <w:b/>
          <w:sz w:val="28"/>
          <w:szCs w:val="28"/>
        </w:rPr>
        <w:t>国金标普中国</w:t>
      </w:r>
      <w:r w:rsidRPr="00CE310C">
        <w:rPr>
          <w:rFonts w:asciiTheme="minorEastAsia" w:hAnsiTheme="minorEastAsia"/>
          <w:b/>
          <w:sz w:val="28"/>
          <w:szCs w:val="28"/>
        </w:rPr>
        <w:t>A股低波红利指数增强证券投资基金（LOF）</w:t>
      </w:r>
    </w:p>
    <w:p w:rsidR="00FE4123" w:rsidRPr="00AF43A4" w:rsidRDefault="005160BA" w:rsidP="003D3775">
      <w:pPr>
        <w:jc w:val="center"/>
        <w:rPr>
          <w:rFonts w:asciiTheme="minorEastAsia" w:hAnsiTheme="minorEastAsia"/>
          <w:b/>
          <w:sz w:val="28"/>
          <w:szCs w:val="28"/>
        </w:rPr>
      </w:pPr>
      <w:r w:rsidRPr="005160BA">
        <w:rPr>
          <w:rFonts w:asciiTheme="minorEastAsia" w:hAnsiTheme="minorEastAsia" w:hint="eastAsia"/>
          <w:b/>
          <w:sz w:val="28"/>
          <w:szCs w:val="28"/>
        </w:rPr>
        <w:t>终止上市的公告</w:t>
      </w:r>
    </w:p>
    <w:p w:rsidR="00DF4937" w:rsidRDefault="00DF4937"/>
    <w:p w:rsidR="00D35CEF" w:rsidRDefault="00FA2287" w:rsidP="00D35CEF">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依据《中华人民共和国证券投资基金法》（以下简称“《基金法》”）、《公开募集证券投资基金运作管理办法》（以下简称“《运作管理办法》”）、《</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基金合同》（以下简称“《基金合同》”</w:t>
      </w:r>
      <w:r w:rsidR="00272B6F">
        <w:rPr>
          <w:rFonts w:ascii="宋体" w:eastAsia="宋体" w:hAnsi="宋体"/>
          <w:sz w:val="24"/>
          <w:szCs w:val="24"/>
        </w:rPr>
        <w:t>）</w:t>
      </w:r>
      <w:r w:rsidR="00D35CEF">
        <w:rPr>
          <w:rFonts w:ascii="宋体" w:eastAsia="宋体" w:hAnsi="宋体" w:hint="eastAsia"/>
          <w:sz w:val="24"/>
          <w:szCs w:val="24"/>
        </w:rPr>
        <w:t>、</w:t>
      </w:r>
      <w:r w:rsidR="00D35CEF" w:rsidRPr="00D35CEF">
        <w:rPr>
          <w:rFonts w:ascii="宋体" w:eastAsia="宋体" w:hAnsi="宋体" w:hint="eastAsia"/>
          <w:sz w:val="24"/>
          <w:szCs w:val="24"/>
        </w:rPr>
        <w:t>《上海证券交易所证券投资基金上市规则》等</w:t>
      </w:r>
      <w:r w:rsidR="00272B6F">
        <w:rPr>
          <w:rFonts w:ascii="宋体" w:eastAsia="宋体" w:hAnsi="宋体"/>
          <w:sz w:val="24"/>
          <w:szCs w:val="24"/>
        </w:rPr>
        <w:t>有关规定，</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（以下简称“本基金”</w:t>
      </w:r>
      <w:r w:rsidR="00272B6F">
        <w:rPr>
          <w:rFonts w:ascii="宋体" w:eastAsia="宋体" w:hAnsi="宋体" w:hint="eastAsia"/>
          <w:sz w:val="24"/>
          <w:szCs w:val="24"/>
        </w:rPr>
        <w:t>，</w:t>
      </w:r>
      <w:r w:rsidR="00272B6F" w:rsidRPr="00272B6F">
        <w:rPr>
          <w:rFonts w:ascii="宋体" w:eastAsia="宋体" w:hAnsi="宋体" w:hint="eastAsia"/>
          <w:sz w:val="24"/>
          <w:szCs w:val="24"/>
        </w:rPr>
        <w:t>基金代</w:t>
      </w:r>
      <w:r w:rsidR="00272B6F" w:rsidRPr="00675547">
        <w:rPr>
          <w:rFonts w:ascii="宋体" w:eastAsia="宋体" w:hAnsi="宋体" w:hint="eastAsia"/>
          <w:sz w:val="24"/>
          <w:szCs w:val="24"/>
        </w:rPr>
        <w:t>码</w:t>
      </w:r>
      <w:r w:rsidR="00272B6F" w:rsidRPr="00675547">
        <w:rPr>
          <w:rFonts w:ascii="宋体" w:eastAsia="宋体" w:hAnsi="宋体"/>
          <w:sz w:val="24"/>
          <w:szCs w:val="24"/>
        </w:rPr>
        <w:t>“501</w:t>
      </w:r>
      <w:r w:rsidR="00675547" w:rsidRPr="00675547">
        <w:rPr>
          <w:rFonts w:ascii="宋体" w:eastAsia="宋体" w:hAnsi="宋体"/>
          <w:sz w:val="24"/>
          <w:szCs w:val="24"/>
        </w:rPr>
        <w:t>072</w:t>
      </w:r>
      <w:r w:rsidR="00272B6F" w:rsidRPr="00675547">
        <w:rPr>
          <w:rFonts w:ascii="宋体" w:eastAsia="宋体" w:hAnsi="宋体"/>
          <w:sz w:val="24"/>
          <w:szCs w:val="24"/>
        </w:rPr>
        <w:t>”</w:t>
      </w:r>
      <w:r w:rsidRPr="00FA2287">
        <w:rPr>
          <w:rFonts w:ascii="宋体" w:eastAsia="宋体" w:hAnsi="宋体"/>
          <w:sz w:val="24"/>
          <w:szCs w:val="24"/>
        </w:rPr>
        <w:t>）</w:t>
      </w:r>
      <w:r w:rsidR="00C152EF" w:rsidRPr="00C152EF">
        <w:rPr>
          <w:rFonts w:ascii="宋体" w:eastAsia="宋体" w:hAnsi="宋体" w:hint="eastAsia"/>
          <w:sz w:val="24"/>
          <w:szCs w:val="24"/>
        </w:rPr>
        <w:t>的基金管理人</w:t>
      </w:r>
      <w:r w:rsidR="00C152EF">
        <w:rPr>
          <w:rFonts w:ascii="宋体" w:eastAsia="宋体" w:hAnsi="宋体" w:hint="eastAsia"/>
          <w:sz w:val="24"/>
          <w:szCs w:val="24"/>
        </w:rPr>
        <w:t>国金</w:t>
      </w:r>
      <w:r w:rsidR="00C152EF" w:rsidRPr="00C152EF">
        <w:rPr>
          <w:rFonts w:ascii="宋体" w:eastAsia="宋体" w:hAnsi="宋体" w:hint="eastAsia"/>
          <w:sz w:val="24"/>
          <w:szCs w:val="24"/>
        </w:rPr>
        <w:t>基金管理有限公司（以下简称“本基金管理人”）</w:t>
      </w:r>
      <w:r w:rsidR="00D35CEF" w:rsidRPr="00D35CEF">
        <w:rPr>
          <w:rFonts w:ascii="宋体" w:eastAsia="宋体" w:hAnsi="宋体" w:hint="eastAsia"/>
          <w:sz w:val="24"/>
          <w:szCs w:val="24"/>
        </w:rPr>
        <w:t>向上海证券交易所申请本基金终止上市，并获得上海证券交易所《关于</w:t>
      </w:r>
      <w:r w:rsidR="00D35CEF" w:rsidRPr="00AF43A4">
        <w:rPr>
          <w:rFonts w:ascii="宋体" w:eastAsia="宋体" w:hAnsi="宋体" w:hint="eastAsia"/>
          <w:sz w:val="24"/>
          <w:szCs w:val="24"/>
        </w:rPr>
        <w:t>国金标普中国A股低波红利指数增强证券投资基金（LOF）</w:t>
      </w:r>
      <w:r w:rsidR="00D35CEF" w:rsidRPr="00D35CEF">
        <w:rPr>
          <w:rFonts w:ascii="宋体" w:eastAsia="宋体" w:hAnsi="宋体"/>
          <w:sz w:val="24"/>
          <w:szCs w:val="24"/>
        </w:rPr>
        <w:t>终止上市的决定》（上海证券交易所自律监管决定书</w:t>
      </w:r>
      <w:r w:rsidR="00D35CEF">
        <w:rPr>
          <w:rFonts w:ascii="宋体" w:eastAsia="宋体" w:hAnsi="宋体"/>
          <w:sz w:val="24"/>
          <w:szCs w:val="24"/>
        </w:rPr>
        <w:t>[2022</w:t>
      </w:r>
      <w:r w:rsidR="00D35CEF" w:rsidRPr="00C152EF">
        <w:rPr>
          <w:rFonts w:ascii="宋体" w:eastAsia="宋体" w:hAnsi="宋体"/>
          <w:sz w:val="24"/>
          <w:szCs w:val="24"/>
        </w:rPr>
        <w:t>]</w:t>
      </w:r>
      <w:r w:rsidR="00D35CEF">
        <w:rPr>
          <w:rFonts w:ascii="宋体" w:eastAsia="宋体" w:hAnsi="宋体"/>
          <w:sz w:val="24"/>
          <w:szCs w:val="24"/>
        </w:rPr>
        <w:t>45</w:t>
      </w:r>
      <w:r w:rsidR="00D35CEF">
        <w:rPr>
          <w:rFonts w:ascii="宋体" w:eastAsia="宋体" w:hAnsi="宋体" w:hint="eastAsia"/>
          <w:sz w:val="24"/>
          <w:szCs w:val="24"/>
        </w:rPr>
        <w:t>号</w:t>
      </w:r>
      <w:r w:rsidR="00D35CEF" w:rsidRPr="00D35CEF">
        <w:rPr>
          <w:rFonts w:ascii="宋体" w:eastAsia="宋体" w:hAnsi="宋体"/>
          <w:sz w:val="24"/>
          <w:szCs w:val="24"/>
        </w:rPr>
        <w:t>）同意。现将本基金终止上市相关内容公告如下：</w:t>
      </w:r>
    </w:p>
    <w:p w:rsidR="00C152EF" w:rsidRPr="006C7501" w:rsidRDefault="00C152EF" w:rsidP="00C152EF">
      <w:pPr>
        <w:spacing w:line="360" w:lineRule="auto"/>
        <w:ind w:firstLineChars="200" w:firstLine="482"/>
        <w:rPr>
          <w:rFonts w:ascii="宋体" w:eastAsia="宋体" w:hAnsi="宋体"/>
          <w:b/>
          <w:sz w:val="24"/>
          <w:szCs w:val="24"/>
        </w:rPr>
      </w:pPr>
      <w:r w:rsidRPr="006C7501">
        <w:rPr>
          <w:rFonts w:ascii="宋体" w:eastAsia="宋体" w:hAnsi="宋体" w:hint="eastAsia"/>
          <w:b/>
          <w:sz w:val="24"/>
          <w:szCs w:val="24"/>
        </w:rPr>
        <w:t>一、终止上市基金的基本信息</w:t>
      </w:r>
      <w:r w:rsidRPr="006C7501">
        <w:rPr>
          <w:rFonts w:ascii="宋体" w:eastAsia="宋体" w:hAnsi="宋体"/>
          <w:b/>
          <w:sz w:val="24"/>
          <w:szCs w:val="24"/>
        </w:rPr>
        <w:t xml:space="preserve"> </w:t>
      </w:r>
    </w:p>
    <w:p w:rsidR="00C152EF" w:rsidRP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基金名称：</w:t>
      </w:r>
      <w:r w:rsidRPr="00AF43A4">
        <w:rPr>
          <w:rFonts w:ascii="宋体" w:eastAsia="宋体" w:hAnsi="宋体" w:hint="eastAsia"/>
          <w:sz w:val="24"/>
          <w:szCs w:val="24"/>
        </w:rPr>
        <w:t>国金标普中国A股低波红利指数增强证券投资基金（LOF）</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场内简称：红利增强</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扩位证券简称</w:t>
      </w:r>
      <w:r>
        <w:rPr>
          <w:rFonts w:ascii="宋体" w:eastAsia="宋体" w:hAnsi="宋体" w:hint="eastAsia"/>
          <w:sz w:val="24"/>
          <w:szCs w:val="24"/>
        </w:rPr>
        <w:t>：</w:t>
      </w:r>
      <w:r w:rsidRPr="00C152EF">
        <w:rPr>
          <w:rFonts w:ascii="宋体" w:eastAsia="宋体" w:hAnsi="宋体" w:hint="eastAsia"/>
          <w:sz w:val="24"/>
          <w:szCs w:val="24"/>
        </w:rPr>
        <w:t>标普红利增强</w:t>
      </w:r>
      <w:r w:rsidRPr="00C152EF">
        <w:rPr>
          <w:rFonts w:ascii="宋体" w:eastAsia="宋体" w:hAnsi="宋体"/>
          <w:sz w:val="24"/>
          <w:szCs w:val="24"/>
        </w:rPr>
        <w:t>LOF</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交易代码：</w:t>
      </w:r>
      <w:r w:rsidRPr="00C152EF">
        <w:rPr>
          <w:rFonts w:ascii="宋体" w:eastAsia="宋体" w:hAnsi="宋体"/>
          <w:sz w:val="24"/>
          <w:szCs w:val="24"/>
        </w:rPr>
        <w:t>501072</w:t>
      </w:r>
    </w:p>
    <w:p w:rsidR="006C7501" w:rsidRPr="006C7501" w:rsidRDefault="006C7501" w:rsidP="006C7501">
      <w:pPr>
        <w:spacing w:line="360" w:lineRule="auto"/>
        <w:ind w:firstLineChars="200" w:firstLine="480"/>
        <w:rPr>
          <w:rFonts w:ascii="宋体" w:eastAsia="宋体" w:hAnsi="宋体"/>
          <w:sz w:val="24"/>
          <w:szCs w:val="24"/>
        </w:rPr>
      </w:pPr>
      <w:r w:rsidRPr="006C7501">
        <w:rPr>
          <w:rFonts w:ascii="宋体" w:eastAsia="宋体" w:hAnsi="宋体" w:hint="eastAsia"/>
          <w:sz w:val="24"/>
          <w:szCs w:val="24"/>
        </w:rPr>
        <w:t>基金运作方式：交易型开放式</w:t>
      </w:r>
    </w:p>
    <w:p w:rsidR="00D35CEF" w:rsidRPr="00C152EF" w:rsidRDefault="006C7501" w:rsidP="006C7501">
      <w:pPr>
        <w:spacing w:line="360" w:lineRule="auto"/>
        <w:ind w:firstLineChars="200" w:firstLine="480"/>
        <w:rPr>
          <w:rFonts w:ascii="宋体" w:eastAsia="宋体" w:hAnsi="宋体"/>
          <w:sz w:val="24"/>
          <w:szCs w:val="24"/>
        </w:rPr>
      </w:pPr>
      <w:r w:rsidRPr="006C7501">
        <w:rPr>
          <w:rFonts w:ascii="宋体" w:eastAsia="宋体" w:hAnsi="宋体" w:hint="eastAsia"/>
          <w:sz w:val="24"/>
          <w:szCs w:val="24"/>
        </w:rPr>
        <w:t>基金份额上市的证券交易所：上海证券交易所</w:t>
      </w:r>
    </w:p>
    <w:p w:rsidR="00C152EF" w:rsidRP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终止上市日：</w:t>
      </w:r>
      <w:r w:rsidRPr="00C152EF">
        <w:rPr>
          <w:rFonts w:ascii="宋体" w:eastAsia="宋体" w:hAnsi="宋体"/>
          <w:sz w:val="24"/>
          <w:szCs w:val="24"/>
        </w:rPr>
        <w:t>2022年</w:t>
      </w:r>
      <w:r>
        <w:rPr>
          <w:rFonts w:ascii="宋体" w:eastAsia="宋体" w:hAnsi="宋体" w:hint="eastAsia"/>
          <w:sz w:val="24"/>
          <w:szCs w:val="24"/>
        </w:rPr>
        <w:t>2</w:t>
      </w:r>
      <w:r w:rsidRPr="00C152EF">
        <w:rPr>
          <w:rFonts w:ascii="宋体" w:eastAsia="宋体" w:hAnsi="宋体"/>
          <w:sz w:val="24"/>
          <w:szCs w:val="24"/>
        </w:rPr>
        <w:t>月</w:t>
      </w:r>
      <w:r>
        <w:rPr>
          <w:rFonts w:ascii="宋体" w:eastAsia="宋体" w:hAnsi="宋体"/>
          <w:sz w:val="24"/>
          <w:szCs w:val="24"/>
        </w:rPr>
        <w:t>25</w:t>
      </w:r>
      <w:r w:rsidRPr="00C152EF">
        <w:rPr>
          <w:rFonts w:ascii="宋体" w:eastAsia="宋体" w:hAnsi="宋体"/>
          <w:sz w:val="24"/>
          <w:szCs w:val="24"/>
        </w:rPr>
        <w:t xml:space="preserve">日 </w:t>
      </w:r>
    </w:p>
    <w:p w:rsidR="0089529A" w:rsidRPr="006C7501" w:rsidRDefault="0089529A" w:rsidP="0089529A">
      <w:pPr>
        <w:spacing w:line="360" w:lineRule="auto"/>
        <w:ind w:firstLineChars="200" w:firstLine="482"/>
        <w:rPr>
          <w:rFonts w:ascii="宋体" w:eastAsia="宋体" w:hAnsi="宋体"/>
          <w:b/>
          <w:sz w:val="24"/>
          <w:szCs w:val="24"/>
        </w:rPr>
      </w:pPr>
      <w:r w:rsidRPr="006C7501">
        <w:rPr>
          <w:rFonts w:ascii="宋体" w:eastAsia="宋体" w:hAnsi="宋体" w:hint="eastAsia"/>
          <w:b/>
          <w:sz w:val="24"/>
          <w:szCs w:val="24"/>
        </w:rPr>
        <w:t>二、</w:t>
      </w:r>
      <w:r w:rsidR="006C7501" w:rsidRPr="006C7501">
        <w:rPr>
          <w:rFonts w:ascii="宋体" w:eastAsia="宋体" w:hAnsi="宋体"/>
          <w:b/>
          <w:sz w:val="24"/>
          <w:szCs w:val="24"/>
        </w:rPr>
        <w:t>有关基金终止上市决定的主要内容</w:t>
      </w:r>
      <w:r w:rsidRPr="006C7501">
        <w:rPr>
          <w:rFonts w:ascii="宋体" w:eastAsia="宋体" w:hAnsi="宋体"/>
          <w:b/>
          <w:sz w:val="24"/>
          <w:szCs w:val="24"/>
        </w:rPr>
        <w:t xml:space="preserve"> </w:t>
      </w:r>
    </w:p>
    <w:p w:rsidR="006C7501" w:rsidRDefault="006C7501" w:rsidP="006C7501">
      <w:pPr>
        <w:spacing w:line="360" w:lineRule="auto"/>
        <w:ind w:firstLineChars="200" w:firstLine="480"/>
        <w:rPr>
          <w:rFonts w:ascii="宋体" w:eastAsia="宋体" w:hAnsi="宋体"/>
          <w:sz w:val="24"/>
          <w:szCs w:val="24"/>
        </w:rPr>
      </w:pPr>
      <w:r w:rsidRPr="006C7501">
        <w:rPr>
          <w:rFonts w:ascii="宋体" w:eastAsia="宋体" w:hAnsi="宋体"/>
          <w:sz w:val="24"/>
          <w:szCs w:val="24"/>
        </w:rPr>
        <w:t xml:space="preserve"> 本基金出现基金合同约定的终止事由后，本公司已根据相关法律法规的规定成立基金财产清算小组，履行基金财产清算程序，</w:t>
      </w:r>
      <w:r w:rsidRPr="006C7501">
        <w:rPr>
          <w:rFonts w:ascii="宋体" w:eastAsia="宋体" w:hAnsi="宋体" w:hint="eastAsia"/>
          <w:sz w:val="24"/>
          <w:szCs w:val="24"/>
        </w:rPr>
        <w:t>本基金清算期自</w:t>
      </w:r>
      <w:r w:rsidRPr="006C7501">
        <w:rPr>
          <w:rFonts w:ascii="宋体" w:eastAsia="宋体" w:hAnsi="宋体"/>
          <w:sz w:val="24"/>
          <w:szCs w:val="24"/>
        </w:rPr>
        <w:t>2021年12月8日起至2022年1月7日</w:t>
      </w:r>
      <w:r>
        <w:rPr>
          <w:rFonts w:ascii="宋体" w:eastAsia="宋体" w:hAnsi="宋体" w:hint="eastAsia"/>
          <w:sz w:val="24"/>
          <w:szCs w:val="24"/>
        </w:rPr>
        <w:t>止。</w:t>
      </w:r>
      <w:r w:rsidRPr="006C7501">
        <w:rPr>
          <w:rFonts w:ascii="宋体" w:eastAsia="宋体" w:hAnsi="宋体"/>
          <w:sz w:val="24"/>
          <w:szCs w:val="24"/>
        </w:rPr>
        <w:t>基金财产清算相关事项详见本基金管理人于202</w:t>
      </w:r>
      <w:r w:rsidR="00651FDA">
        <w:rPr>
          <w:rFonts w:ascii="宋体" w:eastAsia="宋体" w:hAnsi="宋体"/>
          <w:sz w:val="24"/>
          <w:szCs w:val="24"/>
        </w:rPr>
        <w:t>2</w:t>
      </w:r>
      <w:r w:rsidRPr="006C7501">
        <w:rPr>
          <w:rFonts w:ascii="宋体" w:eastAsia="宋体" w:hAnsi="宋体"/>
          <w:sz w:val="24"/>
          <w:szCs w:val="24"/>
        </w:rPr>
        <w:t>年</w:t>
      </w:r>
      <w:r w:rsidR="00651FDA">
        <w:rPr>
          <w:rFonts w:ascii="宋体" w:eastAsia="宋体" w:hAnsi="宋体"/>
          <w:sz w:val="24"/>
          <w:szCs w:val="24"/>
        </w:rPr>
        <w:t>1</w:t>
      </w:r>
      <w:r w:rsidRPr="006C7501">
        <w:rPr>
          <w:rFonts w:ascii="宋体" w:eastAsia="宋体" w:hAnsi="宋体"/>
          <w:sz w:val="24"/>
          <w:szCs w:val="24"/>
        </w:rPr>
        <w:t>月</w:t>
      </w:r>
      <w:r w:rsidR="00651FDA">
        <w:rPr>
          <w:rFonts w:ascii="宋体" w:eastAsia="宋体" w:hAnsi="宋体"/>
          <w:sz w:val="24"/>
          <w:szCs w:val="24"/>
        </w:rPr>
        <w:t>20日发布的《</w:t>
      </w:r>
      <w:r w:rsidR="00651FDA">
        <w:rPr>
          <w:rFonts w:ascii="宋体" w:eastAsia="宋体" w:hAnsi="宋体" w:hint="eastAsia"/>
          <w:sz w:val="24"/>
          <w:szCs w:val="24"/>
        </w:rPr>
        <w:t>国金</w:t>
      </w:r>
      <w:r w:rsidRPr="006C7501">
        <w:rPr>
          <w:rFonts w:ascii="宋体" w:eastAsia="宋体" w:hAnsi="宋体"/>
          <w:sz w:val="24"/>
          <w:szCs w:val="24"/>
        </w:rPr>
        <w:t>基金管理有限公司</w:t>
      </w:r>
      <w:r w:rsidR="00651FDA" w:rsidRPr="00651FDA">
        <w:rPr>
          <w:rFonts w:ascii="宋体" w:eastAsia="宋体" w:hAnsi="宋体" w:hint="eastAsia"/>
          <w:sz w:val="24"/>
          <w:szCs w:val="24"/>
        </w:rPr>
        <w:t>国金标普中国</w:t>
      </w:r>
      <w:r w:rsidR="00651FDA" w:rsidRPr="00651FDA">
        <w:rPr>
          <w:rFonts w:ascii="宋体" w:eastAsia="宋体" w:hAnsi="宋体"/>
          <w:sz w:val="24"/>
          <w:szCs w:val="24"/>
        </w:rPr>
        <w:t>A股低波红利指数增强证券投资基金（LOF）清算报告</w:t>
      </w:r>
      <w:r w:rsidRPr="006C7501">
        <w:rPr>
          <w:rFonts w:ascii="宋体" w:eastAsia="宋体" w:hAnsi="宋体"/>
          <w:sz w:val="24"/>
          <w:szCs w:val="24"/>
        </w:rPr>
        <w:t>》、于202</w:t>
      </w:r>
      <w:r w:rsidR="00651FDA">
        <w:rPr>
          <w:rFonts w:ascii="宋体" w:eastAsia="宋体" w:hAnsi="宋体"/>
          <w:sz w:val="24"/>
          <w:szCs w:val="24"/>
        </w:rPr>
        <w:t>2</w:t>
      </w:r>
      <w:r w:rsidRPr="006C7501">
        <w:rPr>
          <w:rFonts w:ascii="宋体" w:eastAsia="宋体" w:hAnsi="宋体"/>
          <w:sz w:val="24"/>
          <w:szCs w:val="24"/>
        </w:rPr>
        <w:t>年2月</w:t>
      </w:r>
      <w:r w:rsidR="00651FDA">
        <w:rPr>
          <w:rFonts w:ascii="宋体" w:eastAsia="宋体" w:hAnsi="宋体"/>
          <w:sz w:val="24"/>
          <w:szCs w:val="24"/>
        </w:rPr>
        <w:t>8</w:t>
      </w:r>
      <w:r w:rsidRPr="006C7501">
        <w:rPr>
          <w:rFonts w:ascii="宋体" w:eastAsia="宋体" w:hAnsi="宋体"/>
          <w:sz w:val="24"/>
          <w:szCs w:val="24"/>
        </w:rPr>
        <w:t>日发布的《</w:t>
      </w:r>
      <w:r w:rsidR="00651FDA" w:rsidRPr="00651FDA">
        <w:rPr>
          <w:rFonts w:ascii="宋体" w:eastAsia="宋体" w:hAnsi="宋体" w:hint="eastAsia"/>
          <w:sz w:val="24"/>
          <w:szCs w:val="24"/>
        </w:rPr>
        <w:t>国金标普中国</w:t>
      </w:r>
      <w:r w:rsidR="00651FDA" w:rsidRPr="00651FDA">
        <w:rPr>
          <w:rFonts w:ascii="宋体" w:eastAsia="宋体" w:hAnsi="宋体"/>
          <w:sz w:val="24"/>
          <w:szCs w:val="24"/>
        </w:rPr>
        <w:t>A股低波红利指数增强证券投资基金（LOF）清算资金发放公告</w:t>
      </w:r>
      <w:r w:rsidRPr="006C7501">
        <w:rPr>
          <w:rFonts w:ascii="宋体" w:eastAsia="宋体" w:hAnsi="宋体"/>
          <w:sz w:val="24"/>
          <w:szCs w:val="24"/>
        </w:rPr>
        <w:t>》等相关公告。</w:t>
      </w:r>
    </w:p>
    <w:p w:rsidR="00651FDA" w:rsidRPr="00651FDA" w:rsidRDefault="00651FDA" w:rsidP="00651FDA">
      <w:pPr>
        <w:spacing w:line="360" w:lineRule="auto"/>
        <w:ind w:firstLineChars="200" w:firstLine="482"/>
        <w:rPr>
          <w:rFonts w:ascii="宋体" w:eastAsia="宋体" w:hAnsi="宋体"/>
          <w:b/>
          <w:sz w:val="24"/>
          <w:szCs w:val="24"/>
        </w:rPr>
      </w:pPr>
      <w:r w:rsidRPr="00651FDA">
        <w:rPr>
          <w:rFonts w:ascii="宋体" w:eastAsia="宋体" w:hAnsi="宋体" w:hint="eastAsia"/>
          <w:b/>
          <w:sz w:val="24"/>
          <w:szCs w:val="24"/>
        </w:rPr>
        <w:lastRenderedPageBreak/>
        <w:t>三、基金终止上市后续事项说明</w:t>
      </w:r>
    </w:p>
    <w:p w:rsidR="00FD1DDD" w:rsidRPr="00FD1DDD" w:rsidRDefault="00651FDA" w:rsidP="00FD1DDD">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本基金终止上市后，</w:t>
      </w:r>
      <w:r>
        <w:rPr>
          <w:rFonts w:ascii="宋体" w:eastAsia="宋体" w:hAnsi="宋体" w:hint="eastAsia"/>
          <w:sz w:val="24"/>
          <w:szCs w:val="24"/>
        </w:rPr>
        <w:t>本</w:t>
      </w:r>
      <w:r w:rsidRPr="00651FDA">
        <w:rPr>
          <w:rFonts w:ascii="宋体" w:eastAsia="宋体" w:hAnsi="宋体" w:hint="eastAsia"/>
          <w:sz w:val="24"/>
          <w:szCs w:val="24"/>
        </w:rPr>
        <w:t>基金管理人将按照中国证券登记结算有限责任公司的规定办理基金退出登记等业务。</w:t>
      </w:r>
      <w:r w:rsidR="00675547">
        <w:rPr>
          <w:rFonts w:ascii="宋体" w:eastAsia="宋体" w:hAnsi="宋体" w:hint="eastAsia"/>
          <w:sz w:val="24"/>
          <w:szCs w:val="24"/>
        </w:rPr>
        <w:t>投资者</w:t>
      </w:r>
      <w:r w:rsidR="00FD1DDD" w:rsidRPr="00FD1DDD">
        <w:rPr>
          <w:rFonts w:ascii="宋体" w:eastAsia="宋体" w:hAnsi="宋体" w:hint="eastAsia"/>
          <w:sz w:val="24"/>
          <w:szCs w:val="24"/>
        </w:rPr>
        <w:t>可以登录国金基金管理有限公司网站（www.gfund.com）或拨打客户服务热线4000-2000-18咨询相关情况。</w:t>
      </w:r>
    </w:p>
    <w:p w:rsidR="00662C41" w:rsidRDefault="00662C41" w:rsidP="00662C41">
      <w:pPr>
        <w:spacing w:line="360" w:lineRule="auto"/>
        <w:ind w:firstLineChars="200" w:firstLine="480"/>
        <w:rPr>
          <w:rFonts w:ascii="宋体" w:eastAsia="宋体" w:hAnsi="宋体"/>
          <w:sz w:val="24"/>
          <w:szCs w:val="24"/>
        </w:rPr>
      </w:pPr>
    </w:p>
    <w:p w:rsidR="00651FDA" w:rsidRPr="00651FDA" w:rsidRDefault="00651FDA" w:rsidP="00651FDA">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风险提示：</w:t>
      </w:r>
      <w:r>
        <w:rPr>
          <w:rFonts w:ascii="宋体" w:eastAsia="宋体" w:hAnsi="宋体" w:hint="eastAsia"/>
          <w:sz w:val="24"/>
          <w:szCs w:val="24"/>
        </w:rPr>
        <w:t>基金管理人</w:t>
      </w:r>
      <w:r w:rsidRPr="00651FDA">
        <w:rPr>
          <w:rFonts w:ascii="宋体" w:eastAsia="宋体" w:hAnsi="宋体" w:hint="eastAsia"/>
          <w:sz w:val="24"/>
          <w:szCs w:val="24"/>
        </w:rPr>
        <w:t>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651FDA" w:rsidRPr="00651FDA" w:rsidRDefault="00651FDA" w:rsidP="00651FDA">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本公告的有关内容在法律法规允许范围内由本公司负责解释。</w:t>
      </w: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bookmarkStart w:id="0" w:name="_GoBack"/>
      <w:bookmarkEnd w:id="0"/>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89529A" w:rsidRPr="00662C41">
        <w:rPr>
          <w:rFonts w:ascii="宋体" w:eastAsia="宋体" w:hAnsi="宋体"/>
          <w:sz w:val="24"/>
          <w:szCs w:val="24"/>
        </w:rPr>
        <w:t>202</w:t>
      </w:r>
      <w:r w:rsidR="0089529A">
        <w:rPr>
          <w:rFonts w:ascii="宋体" w:eastAsia="宋体" w:hAnsi="宋体"/>
          <w:sz w:val="24"/>
          <w:szCs w:val="24"/>
        </w:rPr>
        <w:t>2</w:t>
      </w:r>
      <w:r w:rsidR="0089529A" w:rsidRPr="00662C41">
        <w:rPr>
          <w:rFonts w:ascii="宋体" w:eastAsia="宋体" w:hAnsi="宋体" w:hint="eastAsia"/>
          <w:sz w:val="24"/>
          <w:szCs w:val="24"/>
        </w:rPr>
        <w:t>年</w:t>
      </w:r>
      <w:r w:rsidR="0089529A">
        <w:rPr>
          <w:rFonts w:ascii="宋体" w:eastAsia="宋体" w:hAnsi="宋体"/>
          <w:sz w:val="24"/>
          <w:szCs w:val="24"/>
        </w:rPr>
        <w:t>2</w:t>
      </w:r>
      <w:r w:rsidR="0089529A" w:rsidRPr="00662C41">
        <w:rPr>
          <w:rFonts w:ascii="宋体" w:eastAsia="宋体" w:hAnsi="宋体" w:hint="eastAsia"/>
          <w:sz w:val="24"/>
          <w:szCs w:val="24"/>
        </w:rPr>
        <w:t>月</w:t>
      </w:r>
      <w:r w:rsidR="0089529A">
        <w:rPr>
          <w:rFonts w:ascii="宋体" w:eastAsia="宋体" w:hAnsi="宋体"/>
          <w:sz w:val="24"/>
          <w:szCs w:val="24"/>
        </w:rPr>
        <w:t>23</w:t>
      </w:r>
      <w:r w:rsidRPr="00662C41">
        <w:rPr>
          <w:rFonts w:ascii="宋体" w:eastAsia="宋体" w:hAnsi="宋体" w:hint="eastAsia"/>
          <w:sz w:val="24"/>
          <w:szCs w:val="24"/>
        </w:rPr>
        <w:t>日</w:t>
      </w:r>
    </w:p>
    <w:sectPr w:rsidR="00DF4937" w:rsidRPr="00662C41" w:rsidSect="00046C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D6" w:rsidRDefault="003F53D6" w:rsidP="00DF4937">
      <w:r>
        <w:separator/>
      </w:r>
    </w:p>
  </w:endnote>
  <w:endnote w:type="continuationSeparator" w:id="0">
    <w:p w:rsidR="003F53D6" w:rsidRDefault="003F53D6"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D6" w:rsidRDefault="003F53D6" w:rsidP="00DF4937">
      <w:r>
        <w:separator/>
      </w:r>
    </w:p>
  </w:footnote>
  <w:footnote w:type="continuationSeparator" w:id="0">
    <w:p w:rsidR="003F53D6" w:rsidRDefault="003F53D6"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00F3D"/>
    <w:rsid w:val="00046C6F"/>
    <w:rsid w:val="000838EE"/>
    <w:rsid w:val="000845F3"/>
    <w:rsid w:val="000B3F07"/>
    <w:rsid w:val="0014424A"/>
    <w:rsid w:val="00184BF2"/>
    <w:rsid w:val="001B395B"/>
    <w:rsid w:val="001D47D7"/>
    <w:rsid w:val="001E24D9"/>
    <w:rsid w:val="00225CE5"/>
    <w:rsid w:val="00252FB9"/>
    <w:rsid w:val="00272B6F"/>
    <w:rsid w:val="00346407"/>
    <w:rsid w:val="003825A2"/>
    <w:rsid w:val="003B2219"/>
    <w:rsid w:val="003C5AE7"/>
    <w:rsid w:val="003D2C06"/>
    <w:rsid w:val="003D3775"/>
    <w:rsid w:val="003F53D6"/>
    <w:rsid w:val="004173FF"/>
    <w:rsid w:val="00446275"/>
    <w:rsid w:val="00471AB5"/>
    <w:rsid w:val="0048509C"/>
    <w:rsid w:val="004D77AC"/>
    <w:rsid w:val="005160BA"/>
    <w:rsid w:val="00552F87"/>
    <w:rsid w:val="005639F4"/>
    <w:rsid w:val="005706DF"/>
    <w:rsid w:val="005F125B"/>
    <w:rsid w:val="005F552A"/>
    <w:rsid w:val="00602C71"/>
    <w:rsid w:val="00651FDA"/>
    <w:rsid w:val="00662C41"/>
    <w:rsid w:val="00675547"/>
    <w:rsid w:val="006821A5"/>
    <w:rsid w:val="00687C2D"/>
    <w:rsid w:val="006A3A04"/>
    <w:rsid w:val="006C7501"/>
    <w:rsid w:val="00741407"/>
    <w:rsid w:val="007C4491"/>
    <w:rsid w:val="007D18A0"/>
    <w:rsid w:val="007D6F23"/>
    <w:rsid w:val="0080207C"/>
    <w:rsid w:val="00817C38"/>
    <w:rsid w:val="0089529A"/>
    <w:rsid w:val="008B21EB"/>
    <w:rsid w:val="008E742F"/>
    <w:rsid w:val="009633C4"/>
    <w:rsid w:val="00981708"/>
    <w:rsid w:val="00A21623"/>
    <w:rsid w:val="00A607E5"/>
    <w:rsid w:val="00A638BA"/>
    <w:rsid w:val="00AF43A4"/>
    <w:rsid w:val="00B81F5C"/>
    <w:rsid w:val="00BA3D94"/>
    <w:rsid w:val="00BC4A6D"/>
    <w:rsid w:val="00BD2DEA"/>
    <w:rsid w:val="00BE7482"/>
    <w:rsid w:val="00C152EF"/>
    <w:rsid w:val="00C31B72"/>
    <w:rsid w:val="00CE310C"/>
    <w:rsid w:val="00D21267"/>
    <w:rsid w:val="00D35CEF"/>
    <w:rsid w:val="00D35F2C"/>
    <w:rsid w:val="00DA5EFC"/>
    <w:rsid w:val="00DE667F"/>
    <w:rsid w:val="00DF4937"/>
    <w:rsid w:val="00E06382"/>
    <w:rsid w:val="00E11B63"/>
    <w:rsid w:val="00E43A57"/>
    <w:rsid w:val="00E51534"/>
    <w:rsid w:val="00EC0837"/>
    <w:rsid w:val="00F6455F"/>
    <w:rsid w:val="00F663A3"/>
    <w:rsid w:val="00F86543"/>
    <w:rsid w:val="00FA2287"/>
    <w:rsid w:val="00FD1DDD"/>
    <w:rsid w:val="00FE07F2"/>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E07F2"/>
  </w:style>
  <w:style w:type="paragraph" w:customStyle="1" w:styleId="Default">
    <w:name w:val="Default"/>
    <w:rsid w:val="00CE310C"/>
    <w:pPr>
      <w:widowControl w:val="0"/>
      <w:autoSpaceDE w:val="0"/>
      <w:autoSpaceDN w:val="0"/>
      <w:adjustRightInd w:val="0"/>
    </w:pPr>
    <w:rPr>
      <w:rFonts w:ascii="宋体" w:eastAsia="宋体" w:cs="宋体"/>
      <w:color w:val="000000"/>
      <w:kern w:val="0"/>
      <w:sz w:val="24"/>
      <w:szCs w:val="24"/>
    </w:rPr>
  </w:style>
  <w:style w:type="paragraph" w:customStyle="1" w:styleId="2">
    <w:name w:val="！正文缩进2字符"/>
    <w:basedOn w:val="a"/>
    <w:qFormat/>
    <w:rsid w:val="00FD1DDD"/>
    <w:pPr>
      <w:spacing w:line="360" w:lineRule="auto"/>
      <w:ind w:firstLineChars="200"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19025352">
      <w:bodyDiv w:val="1"/>
      <w:marLeft w:val="0"/>
      <w:marRight w:val="0"/>
      <w:marTop w:val="0"/>
      <w:marBottom w:val="0"/>
      <w:divBdr>
        <w:top w:val="none" w:sz="0" w:space="0" w:color="auto"/>
        <w:left w:val="none" w:sz="0" w:space="0" w:color="auto"/>
        <w:bottom w:val="none" w:sz="0" w:space="0" w:color="auto"/>
        <w:right w:val="none" w:sz="0" w:space="0" w:color="auto"/>
      </w:divBdr>
    </w:div>
    <w:div w:id="1400905672">
      <w:bodyDiv w:val="1"/>
      <w:marLeft w:val="0"/>
      <w:marRight w:val="0"/>
      <w:marTop w:val="0"/>
      <w:marBottom w:val="0"/>
      <w:divBdr>
        <w:top w:val="none" w:sz="0" w:space="0" w:color="auto"/>
        <w:left w:val="none" w:sz="0" w:space="0" w:color="auto"/>
        <w:bottom w:val="none" w:sz="0" w:space="0" w:color="auto"/>
        <w:right w:val="none" w:sz="0" w:space="0" w:color="auto"/>
      </w:divBdr>
    </w:div>
    <w:div w:id="1612279775">
      <w:bodyDiv w:val="1"/>
      <w:marLeft w:val="0"/>
      <w:marRight w:val="0"/>
      <w:marTop w:val="0"/>
      <w:marBottom w:val="0"/>
      <w:divBdr>
        <w:top w:val="none" w:sz="0" w:space="0" w:color="auto"/>
        <w:left w:val="none" w:sz="0" w:space="0" w:color="auto"/>
        <w:bottom w:val="none" w:sz="0" w:space="0" w:color="auto"/>
        <w:right w:val="none" w:sz="0" w:space="0" w:color="auto"/>
      </w:divBdr>
    </w:div>
    <w:div w:id="2011174283">
      <w:bodyDiv w:val="1"/>
      <w:marLeft w:val="0"/>
      <w:marRight w:val="0"/>
      <w:marTop w:val="0"/>
      <w:marBottom w:val="0"/>
      <w:divBdr>
        <w:top w:val="none" w:sz="0" w:space="0" w:color="auto"/>
        <w:left w:val="none" w:sz="0" w:space="0" w:color="auto"/>
        <w:bottom w:val="none" w:sz="0" w:space="0" w:color="auto"/>
        <w:right w:val="none" w:sz="0" w:space="0" w:color="auto"/>
      </w:divBdr>
    </w:div>
    <w:div w:id="2013946889">
      <w:bodyDiv w:val="1"/>
      <w:marLeft w:val="0"/>
      <w:marRight w:val="0"/>
      <w:marTop w:val="0"/>
      <w:marBottom w:val="0"/>
      <w:divBdr>
        <w:top w:val="none" w:sz="0" w:space="0" w:color="auto"/>
        <w:left w:val="none" w:sz="0" w:space="0" w:color="auto"/>
        <w:bottom w:val="none" w:sz="0" w:space="0" w:color="auto"/>
        <w:right w:val="none" w:sz="0" w:space="0" w:color="auto"/>
      </w:divBdr>
    </w:div>
    <w:div w:id="2048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C809-7998-4999-8D47-8104E781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4</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2022-02-22T16:01:00Z</dcterms:created>
  <dcterms:modified xsi:type="dcterms:W3CDTF">2022-02-22T16:01:00Z</dcterms:modified>
</cp:coreProperties>
</file>