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83" w:rsidRPr="005063A8" w:rsidRDefault="00583F83">
      <w:pPr>
        <w:spacing w:after="0" w:line="358" w:lineRule="auto"/>
        <w:ind w:left="4526" w:right="4446" w:firstLine="0"/>
        <w:jc w:val="center"/>
        <w:rPr>
          <w:rFonts w:ascii="Times New Roman" w:hAnsi="Times New Roman" w:cs="Times New Roman"/>
        </w:rPr>
      </w:pPr>
    </w:p>
    <w:p w:rsidR="00583F83" w:rsidRPr="005063A8" w:rsidRDefault="00583F83">
      <w:pPr>
        <w:spacing w:after="0" w:line="358" w:lineRule="auto"/>
        <w:ind w:left="4526" w:right="4446" w:firstLine="0"/>
        <w:jc w:val="center"/>
        <w:rPr>
          <w:rFonts w:ascii="Times New Roman" w:hAnsi="Times New Roman" w:cs="Times New Roman"/>
        </w:rPr>
      </w:pPr>
    </w:p>
    <w:p w:rsidR="00583F83" w:rsidRPr="005063A8" w:rsidRDefault="00583F83">
      <w:pPr>
        <w:spacing w:after="246"/>
        <w:ind w:left="80" w:firstLine="0"/>
        <w:jc w:val="center"/>
        <w:rPr>
          <w:rFonts w:ascii="Times New Roman" w:hAnsi="Times New Roman" w:cs="Times New Roman"/>
        </w:rPr>
      </w:pPr>
    </w:p>
    <w:p w:rsidR="00583F83" w:rsidRPr="00630436" w:rsidRDefault="00424D7A" w:rsidP="00630436">
      <w:pPr>
        <w:spacing w:after="0" w:line="420" w:lineRule="auto"/>
        <w:ind w:left="510" w:right="493" w:firstLine="0"/>
        <w:jc w:val="center"/>
        <w:rPr>
          <w:rFonts w:ascii="Times New Roman" w:hAnsi="Times New Roman" w:cs="Times New Roman"/>
          <w:sz w:val="32"/>
        </w:rPr>
      </w:pPr>
      <w:r>
        <w:rPr>
          <w:rFonts w:ascii="Times New Roman" w:hAnsi="Times New Roman" w:cs="Times New Roman" w:hint="eastAsia"/>
          <w:sz w:val="32"/>
        </w:rPr>
        <w:t>泰达宏利创盈灵活配置混合型证券投资基金</w:t>
      </w:r>
      <w:r w:rsidR="00E22DB5" w:rsidRPr="005063A8">
        <w:rPr>
          <w:rFonts w:ascii="Times New Roman" w:hAnsi="Times New Roman" w:cs="Times New Roman"/>
          <w:sz w:val="32"/>
        </w:rPr>
        <w:t>清算报告</w:t>
      </w: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13"/>
        <w:ind w:left="0" w:firstLine="0"/>
        <w:rPr>
          <w:rFonts w:ascii="Times New Roman" w:hAnsi="Times New Roman" w:cs="Times New Roman"/>
        </w:rPr>
      </w:pPr>
    </w:p>
    <w:p w:rsidR="009E2C1E" w:rsidRPr="00AE52DB"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4C1BAB"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9E2C1E">
      <w:pPr>
        <w:spacing w:after="13"/>
        <w:ind w:left="0" w:firstLine="0"/>
        <w:rPr>
          <w:rFonts w:ascii="Times New Roman" w:hAnsi="Times New Roman" w:cs="Times New Roman"/>
        </w:rPr>
      </w:pPr>
    </w:p>
    <w:p w:rsidR="009E2C1E" w:rsidRPr="005063A8" w:rsidRDefault="00E22DB5">
      <w:pPr>
        <w:spacing w:after="0" w:line="378" w:lineRule="auto"/>
        <w:ind w:left="1987" w:firstLine="0"/>
        <w:rPr>
          <w:rFonts w:ascii="Times New Roman" w:hAnsi="Times New Roman" w:cs="Times New Roman"/>
          <w:sz w:val="28"/>
        </w:rPr>
      </w:pPr>
      <w:r w:rsidRPr="005063A8">
        <w:rPr>
          <w:rFonts w:ascii="Times New Roman" w:hAnsi="Times New Roman" w:cs="Times New Roman"/>
          <w:sz w:val="28"/>
        </w:rPr>
        <w:t>基金管理人：</w:t>
      </w:r>
      <w:r w:rsidR="002201AA" w:rsidRPr="005063A8">
        <w:rPr>
          <w:rFonts w:ascii="Times New Roman" w:hAnsi="Times New Roman" w:cs="Times New Roman"/>
          <w:sz w:val="28"/>
        </w:rPr>
        <w:t>泰达宏利</w:t>
      </w:r>
      <w:r w:rsidRPr="005063A8">
        <w:rPr>
          <w:rFonts w:ascii="Times New Roman" w:hAnsi="Times New Roman" w:cs="Times New Roman"/>
          <w:sz w:val="28"/>
        </w:rPr>
        <w:t>基金管理有限公司</w:t>
      </w:r>
    </w:p>
    <w:p w:rsidR="009E2C1E" w:rsidRPr="005063A8" w:rsidRDefault="00E22DB5">
      <w:pPr>
        <w:spacing w:after="0" w:line="378" w:lineRule="auto"/>
        <w:ind w:left="1987" w:firstLine="0"/>
        <w:rPr>
          <w:rFonts w:ascii="Times New Roman" w:hAnsi="Times New Roman" w:cs="Times New Roman"/>
          <w:sz w:val="28"/>
        </w:rPr>
      </w:pPr>
      <w:r w:rsidRPr="005063A8">
        <w:rPr>
          <w:rFonts w:ascii="Times New Roman" w:hAnsi="Times New Roman" w:cs="Times New Roman"/>
          <w:sz w:val="28"/>
        </w:rPr>
        <w:t>基金托管人：</w:t>
      </w:r>
      <w:r w:rsidR="00424D7A">
        <w:rPr>
          <w:rFonts w:ascii="Times New Roman" w:hAnsi="Times New Roman" w:cs="Times New Roman" w:hint="eastAsia"/>
          <w:sz w:val="28"/>
        </w:rPr>
        <w:t>华夏</w:t>
      </w:r>
      <w:r w:rsidR="000C044C" w:rsidRPr="000C044C">
        <w:rPr>
          <w:rFonts w:ascii="Times New Roman" w:hAnsi="Times New Roman" w:cs="Times New Roman" w:hint="eastAsia"/>
          <w:sz w:val="28"/>
        </w:rPr>
        <w:t>银行股份有限公司</w:t>
      </w:r>
    </w:p>
    <w:p w:rsidR="000468B4" w:rsidRPr="005063A8" w:rsidRDefault="00E22DB5">
      <w:pPr>
        <w:spacing w:after="0" w:line="378" w:lineRule="auto"/>
        <w:ind w:left="1987" w:firstLine="0"/>
        <w:rPr>
          <w:rFonts w:ascii="Times New Roman" w:hAnsi="Times New Roman" w:cs="Times New Roman"/>
          <w:sz w:val="28"/>
        </w:rPr>
      </w:pPr>
      <w:r w:rsidRPr="005063A8">
        <w:rPr>
          <w:rFonts w:ascii="Times New Roman" w:hAnsi="Times New Roman" w:cs="Times New Roman"/>
          <w:sz w:val="28"/>
        </w:rPr>
        <w:t>清算报告出具日：</w:t>
      </w:r>
      <w:r w:rsidR="000C044C">
        <w:rPr>
          <w:rFonts w:ascii="Times New Roman" w:hAnsi="Times New Roman" w:cs="Times New Roman" w:hint="eastAsia"/>
          <w:sz w:val="28"/>
        </w:rPr>
        <w:t>2022</w:t>
      </w:r>
      <w:r w:rsidR="00277593" w:rsidRPr="005063A8">
        <w:rPr>
          <w:rFonts w:ascii="Times New Roman" w:hAnsi="Times New Roman" w:cs="Times New Roman"/>
          <w:sz w:val="28"/>
        </w:rPr>
        <w:t>年</w:t>
      </w:r>
      <w:r w:rsidR="002504B6">
        <w:rPr>
          <w:rFonts w:ascii="Times New Roman" w:hAnsi="Times New Roman" w:cs="Times New Roman" w:hint="eastAsia"/>
          <w:sz w:val="28"/>
        </w:rPr>
        <w:t>12</w:t>
      </w:r>
      <w:r w:rsidR="00407EBF" w:rsidRPr="005063A8">
        <w:rPr>
          <w:rFonts w:ascii="Times New Roman" w:hAnsi="Times New Roman" w:cs="Times New Roman"/>
          <w:sz w:val="28"/>
        </w:rPr>
        <w:t>月</w:t>
      </w:r>
      <w:r w:rsidR="002504B6">
        <w:rPr>
          <w:rFonts w:ascii="Times New Roman" w:hAnsi="Times New Roman" w:cs="Times New Roman" w:hint="eastAsia"/>
          <w:sz w:val="28"/>
        </w:rPr>
        <w:t>23</w:t>
      </w:r>
      <w:r w:rsidR="00277593" w:rsidRPr="005063A8">
        <w:rPr>
          <w:rFonts w:ascii="Times New Roman" w:hAnsi="Times New Roman" w:cs="Times New Roman"/>
          <w:sz w:val="28"/>
        </w:rPr>
        <w:t>日</w:t>
      </w:r>
    </w:p>
    <w:p w:rsidR="009E2C1E" w:rsidRPr="005063A8" w:rsidRDefault="00E22DB5" w:rsidP="00CD5624">
      <w:pPr>
        <w:spacing w:after="0" w:line="378" w:lineRule="auto"/>
        <w:ind w:left="1985" w:firstLine="0"/>
        <w:rPr>
          <w:rFonts w:ascii="Times New Roman" w:hAnsi="Times New Roman" w:cs="Times New Roman"/>
        </w:rPr>
      </w:pPr>
      <w:r w:rsidRPr="005063A8">
        <w:rPr>
          <w:rFonts w:ascii="Times New Roman" w:hAnsi="Times New Roman" w:cs="Times New Roman"/>
          <w:sz w:val="28"/>
        </w:rPr>
        <w:t>清算报告公告日：</w:t>
      </w:r>
      <w:r w:rsidR="000C044C">
        <w:rPr>
          <w:rFonts w:ascii="Times New Roman" w:hAnsi="Times New Roman" w:cs="Times New Roman" w:hint="eastAsia"/>
          <w:sz w:val="28"/>
        </w:rPr>
        <w:t>2022</w:t>
      </w:r>
      <w:r w:rsidRPr="005063A8">
        <w:rPr>
          <w:rFonts w:ascii="Times New Roman" w:hAnsi="Times New Roman" w:cs="Times New Roman"/>
          <w:sz w:val="28"/>
        </w:rPr>
        <w:t>年</w:t>
      </w:r>
      <w:r w:rsidR="0044627A">
        <w:rPr>
          <w:rFonts w:ascii="Times New Roman" w:hAnsi="Times New Roman" w:cs="Times New Roman" w:hint="eastAsia"/>
          <w:sz w:val="28"/>
        </w:rPr>
        <w:t>12</w:t>
      </w:r>
      <w:r w:rsidRPr="005063A8">
        <w:rPr>
          <w:rFonts w:ascii="Times New Roman" w:hAnsi="Times New Roman" w:cs="Times New Roman"/>
          <w:sz w:val="28"/>
        </w:rPr>
        <w:t>月</w:t>
      </w:r>
      <w:r w:rsidR="0044627A">
        <w:rPr>
          <w:rFonts w:ascii="Times New Roman" w:hAnsi="Times New Roman" w:cs="Times New Roman" w:hint="eastAsia"/>
          <w:sz w:val="28"/>
        </w:rPr>
        <w:t>31</w:t>
      </w:r>
      <w:r w:rsidRPr="005063A8">
        <w:rPr>
          <w:rFonts w:ascii="Times New Roman" w:hAnsi="Times New Roman" w:cs="Times New Roman"/>
          <w:sz w:val="28"/>
        </w:rPr>
        <w:t>日</w:t>
      </w:r>
    </w:p>
    <w:p w:rsidR="00575B76" w:rsidRPr="005063A8" w:rsidRDefault="00575B76">
      <w:pPr>
        <w:spacing w:after="0" w:line="240" w:lineRule="auto"/>
        <w:ind w:left="0" w:firstLine="0"/>
        <w:rPr>
          <w:rFonts w:ascii="Times New Roman" w:hAnsi="Times New Roman" w:cs="Times New Roman"/>
          <w:sz w:val="28"/>
        </w:rPr>
      </w:pPr>
      <w:r w:rsidRPr="005063A8">
        <w:rPr>
          <w:rFonts w:ascii="Times New Roman" w:hAnsi="Times New Roman" w:cs="Times New Roman"/>
        </w:rPr>
        <w:br w:type="page"/>
      </w:r>
    </w:p>
    <w:p w:rsidR="00EE60CB" w:rsidRPr="006D500B" w:rsidRDefault="00EE60CB">
      <w:pPr>
        <w:pStyle w:val="2"/>
        <w:spacing w:after="364"/>
        <w:ind w:left="10" w:right="60"/>
        <w:rPr>
          <w:rFonts w:ascii="Times New Roman" w:hAnsi="Times New Roman" w:cs="Times New Roman"/>
        </w:rPr>
      </w:pPr>
    </w:p>
    <w:p w:rsidR="00583F83" w:rsidRPr="005063A8" w:rsidRDefault="00E22DB5">
      <w:pPr>
        <w:pStyle w:val="2"/>
        <w:spacing w:after="364"/>
        <w:ind w:left="10" w:right="60"/>
        <w:rPr>
          <w:rFonts w:ascii="Times New Roman" w:hAnsi="Times New Roman" w:cs="Times New Roman"/>
        </w:rPr>
      </w:pPr>
      <w:r w:rsidRPr="005063A8">
        <w:rPr>
          <w:rFonts w:ascii="Times New Roman" w:hAnsi="Times New Roman" w:cs="Times New Roman"/>
        </w:rPr>
        <w:t>目录</w:t>
      </w:r>
    </w:p>
    <w:sdt>
      <w:sdtPr>
        <w:rPr>
          <w:rFonts w:ascii="宋体" w:eastAsia="宋体" w:hAnsi="宋体" w:cs="宋体"/>
          <w:sz w:val="24"/>
        </w:rPr>
        <w:id w:val="-635868030"/>
        <w:docPartObj>
          <w:docPartGallery w:val="Table of Contents"/>
        </w:docPartObj>
      </w:sdtPr>
      <w:sdtContent>
        <w:p w:rsidR="009D68AA" w:rsidRDefault="00571FE9">
          <w:pPr>
            <w:pStyle w:val="10"/>
            <w:tabs>
              <w:tab w:val="right" w:leader="dot" w:pos="9103"/>
            </w:tabs>
            <w:rPr>
              <w:rFonts w:asciiTheme="minorHAnsi" w:eastAsiaTheme="minorEastAsia" w:hAnsiTheme="minorHAnsi" w:cstheme="minorBidi"/>
              <w:noProof/>
              <w:color w:val="auto"/>
            </w:rPr>
          </w:pPr>
          <w:r w:rsidRPr="00571FE9">
            <w:rPr>
              <w:rFonts w:eastAsia="宋体"/>
            </w:rPr>
            <w:fldChar w:fldCharType="begin"/>
          </w:r>
          <w:r w:rsidR="00E22DB5" w:rsidRPr="005063A8">
            <w:rPr>
              <w:rFonts w:eastAsia="宋体"/>
            </w:rPr>
            <w:instrText xml:space="preserve"> TOC \o "1-1" \h \z \u </w:instrText>
          </w:r>
          <w:r w:rsidRPr="00571FE9">
            <w:rPr>
              <w:rFonts w:eastAsia="宋体"/>
            </w:rPr>
            <w:fldChar w:fldCharType="separate"/>
          </w:r>
          <w:hyperlink w:anchor="_Toc123313453" w:history="1">
            <w:r w:rsidR="009D68AA" w:rsidRPr="00E65831">
              <w:rPr>
                <w:rStyle w:val="a9"/>
                <w:rFonts w:ascii="宋体" w:eastAsia="宋体" w:hAnsi="宋体" w:cs="宋体" w:hint="eastAsia"/>
                <w:noProof/>
              </w:rPr>
              <w:t>重要提示</w:t>
            </w:r>
            <w:r w:rsidR="009D68AA">
              <w:rPr>
                <w:noProof/>
                <w:webHidden/>
              </w:rPr>
              <w:tab/>
            </w:r>
            <w:r>
              <w:rPr>
                <w:noProof/>
                <w:webHidden/>
              </w:rPr>
              <w:fldChar w:fldCharType="begin"/>
            </w:r>
            <w:r w:rsidR="009D68AA">
              <w:rPr>
                <w:noProof/>
                <w:webHidden/>
              </w:rPr>
              <w:instrText xml:space="preserve"> PAGEREF _Toc123313453 \h </w:instrText>
            </w:r>
            <w:r>
              <w:rPr>
                <w:noProof/>
                <w:webHidden/>
              </w:rPr>
            </w:r>
            <w:r>
              <w:rPr>
                <w:noProof/>
                <w:webHidden/>
              </w:rPr>
              <w:fldChar w:fldCharType="separate"/>
            </w:r>
            <w:r w:rsidR="009D68AA">
              <w:rPr>
                <w:noProof/>
                <w:webHidden/>
              </w:rPr>
              <w:t>2</w:t>
            </w:r>
            <w:r>
              <w:rPr>
                <w:noProof/>
                <w:webHidden/>
              </w:rPr>
              <w:fldChar w:fldCharType="end"/>
            </w:r>
          </w:hyperlink>
        </w:p>
        <w:p w:rsidR="009D68AA" w:rsidRDefault="00571FE9">
          <w:pPr>
            <w:pStyle w:val="10"/>
            <w:tabs>
              <w:tab w:val="right" w:leader="dot" w:pos="9103"/>
            </w:tabs>
            <w:rPr>
              <w:rFonts w:asciiTheme="minorHAnsi" w:eastAsiaTheme="minorEastAsia" w:hAnsiTheme="minorHAnsi" w:cstheme="minorBidi"/>
              <w:noProof/>
              <w:color w:val="auto"/>
            </w:rPr>
          </w:pPr>
          <w:hyperlink w:anchor="_Toc123313454" w:history="1">
            <w:r w:rsidR="009D68AA" w:rsidRPr="00E65831">
              <w:rPr>
                <w:rStyle w:val="a9"/>
                <w:rFonts w:ascii="宋体" w:eastAsia="宋体" w:hAnsi="宋体" w:cs="宋体" w:hint="eastAsia"/>
                <w:noProof/>
              </w:rPr>
              <w:t>一、基金概况</w:t>
            </w:r>
            <w:r w:rsidR="009D68AA">
              <w:rPr>
                <w:noProof/>
                <w:webHidden/>
              </w:rPr>
              <w:tab/>
            </w:r>
            <w:r>
              <w:rPr>
                <w:noProof/>
                <w:webHidden/>
              </w:rPr>
              <w:fldChar w:fldCharType="begin"/>
            </w:r>
            <w:r w:rsidR="009D68AA">
              <w:rPr>
                <w:noProof/>
                <w:webHidden/>
              </w:rPr>
              <w:instrText xml:space="preserve"> PAGEREF _Toc123313454 \h </w:instrText>
            </w:r>
            <w:r>
              <w:rPr>
                <w:noProof/>
                <w:webHidden/>
              </w:rPr>
            </w:r>
            <w:r>
              <w:rPr>
                <w:noProof/>
                <w:webHidden/>
              </w:rPr>
              <w:fldChar w:fldCharType="separate"/>
            </w:r>
            <w:r w:rsidR="009D68AA">
              <w:rPr>
                <w:noProof/>
                <w:webHidden/>
              </w:rPr>
              <w:t>2</w:t>
            </w:r>
            <w:r>
              <w:rPr>
                <w:noProof/>
                <w:webHidden/>
              </w:rPr>
              <w:fldChar w:fldCharType="end"/>
            </w:r>
          </w:hyperlink>
        </w:p>
        <w:p w:rsidR="009D68AA" w:rsidRDefault="00571FE9">
          <w:pPr>
            <w:pStyle w:val="10"/>
            <w:tabs>
              <w:tab w:val="right" w:leader="dot" w:pos="9103"/>
            </w:tabs>
            <w:rPr>
              <w:rFonts w:asciiTheme="minorHAnsi" w:eastAsiaTheme="minorEastAsia" w:hAnsiTheme="minorHAnsi" w:cstheme="minorBidi"/>
              <w:noProof/>
              <w:color w:val="auto"/>
            </w:rPr>
          </w:pPr>
          <w:hyperlink w:anchor="_Toc123313455" w:history="1">
            <w:r w:rsidR="009D68AA" w:rsidRPr="00E65831">
              <w:rPr>
                <w:rStyle w:val="a9"/>
                <w:rFonts w:ascii="宋体" w:eastAsia="宋体" w:hAnsi="宋体" w:cs="宋体" w:hint="eastAsia"/>
                <w:noProof/>
              </w:rPr>
              <w:t>二、基金运作情况</w:t>
            </w:r>
            <w:r w:rsidR="009D68AA">
              <w:rPr>
                <w:noProof/>
                <w:webHidden/>
              </w:rPr>
              <w:tab/>
            </w:r>
            <w:r>
              <w:rPr>
                <w:noProof/>
                <w:webHidden/>
              </w:rPr>
              <w:fldChar w:fldCharType="begin"/>
            </w:r>
            <w:r w:rsidR="009D68AA">
              <w:rPr>
                <w:noProof/>
                <w:webHidden/>
              </w:rPr>
              <w:instrText xml:space="preserve"> PAGEREF _Toc123313455 \h </w:instrText>
            </w:r>
            <w:r>
              <w:rPr>
                <w:noProof/>
                <w:webHidden/>
              </w:rPr>
            </w:r>
            <w:r>
              <w:rPr>
                <w:noProof/>
                <w:webHidden/>
              </w:rPr>
              <w:fldChar w:fldCharType="separate"/>
            </w:r>
            <w:r w:rsidR="009D68AA">
              <w:rPr>
                <w:noProof/>
                <w:webHidden/>
              </w:rPr>
              <w:t>3</w:t>
            </w:r>
            <w:r>
              <w:rPr>
                <w:noProof/>
                <w:webHidden/>
              </w:rPr>
              <w:fldChar w:fldCharType="end"/>
            </w:r>
          </w:hyperlink>
        </w:p>
        <w:p w:rsidR="009D68AA" w:rsidRDefault="00571FE9">
          <w:pPr>
            <w:pStyle w:val="10"/>
            <w:tabs>
              <w:tab w:val="right" w:leader="dot" w:pos="9103"/>
            </w:tabs>
            <w:rPr>
              <w:rFonts w:asciiTheme="minorHAnsi" w:eastAsiaTheme="minorEastAsia" w:hAnsiTheme="minorHAnsi" w:cstheme="minorBidi"/>
              <w:noProof/>
              <w:color w:val="auto"/>
            </w:rPr>
          </w:pPr>
          <w:hyperlink w:anchor="_Toc123313456" w:history="1">
            <w:r w:rsidR="009D68AA" w:rsidRPr="00E65831">
              <w:rPr>
                <w:rStyle w:val="a9"/>
                <w:rFonts w:ascii="宋体" w:eastAsia="宋体" w:hAnsi="宋体" w:cs="宋体" w:hint="eastAsia"/>
                <w:noProof/>
              </w:rPr>
              <w:t>三、财务会计报告</w:t>
            </w:r>
            <w:r w:rsidR="009D68AA">
              <w:rPr>
                <w:noProof/>
                <w:webHidden/>
              </w:rPr>
              <w:tab/>
            </w:r>
            <w:r>
              <w:rPr>
                <w:noProof/>
                <w:webHidden/>
              </w:rPr>
              <w:fldChar w:fldCharType="begin"/>
            </w:r>
            <w:r w:rsidR="009D68AA">
              <w:rPr>
                <w:noProof/>
                <w:webHidden/>
              </w:rPr>
              <w:instrText xml:space="preserve"> PAGEREF _Toc123313456 \h </w:instrText>
            </w:r>
            <w:r>
              <w:rPr>
                <w:noProof/>
                <w:webHidden/>
              </w:rPr>
            </w:r>
            <w:r>
              <w:rPr>
                <w:noProof/>
                <w:webHidden/>
              </w:rPr>
              <w:fldChar w:fldCharType="separate"/>
            </w:r>
            <w:r w:rsidR="009D68AA">
              <w:rPr>
                <w:noProof/>
                <w:webHidden/>
              </w:rPr>
              <w:t>4</w:t>
            </w:r>
            <w:r>
              <w:rPr>
                <w:noProof/>
                <w:webHidden/>
              </w:rPr>
              <w:fldChar w:fldCharType="end"/>
            </w:r>
          </w:hyperlink>
        </w:p>
        <w:p w:rsidR="009D68AA" w:rsidRDefault="00571FE9">
          <w:pPr>
            <w:pStyle w:val="10"/>
            <w:tabs>
              <w:tab w:val="right" w:leader="dot" w:pos="9103"/>
            </w:tabs>
            <w:rPr>
              <w:rFonts w:asciiTheme="minorHAnsi" w:eastAsiaTheme="minorEastAsia" w:hAnsiTheme="minorHAnsi" w:cstheme="minorBidi"/>
              <w:noProof/>
              <w:color w:val="auto"/>
            </w:rPr>
          </w:pPr>
          <w:hyperlink w:anchor="_Toc123313457" w:history="1">
            <w:r w:rsidR="009D68AA" w:rsidRPr="00E65831">
              <w:rPr>
                <w:rStyle w:val="a9"/>
                <w:rFonts w:ascii="宋体" w:eastAsia="宋体" w:hAnsi="宋体" w:cs="宋体" w:hint="eastAsia"/>
                <w:noProof/>
              </w:rPr>
              <w:t>四、清算情况</w:t>
            </w:r>
            <w:r w:rsidR="009D68AA">
              <w:rPr>
                <w:noProof/>
                <w:webHidden/>
              </w:rPr>
              <w:tab/>
            </w:r>
            <w:r>
              <w:rPr>
                <w:noProof/>
                <w:webHidden/>
              </w:rPr>
              <w:fldChar w:fldCharType="begin"/>
            </w:r>
            <w:r w:rsidR="009D68AA">
              <w:rPr>
                <w:noProof/>
                <w:webHidden/>
              </w:rPr>
              <w:instrText xml:space="preserve"> PAGEREF _Toc123313457 \h </w:instrText>
            </w:r>
            <w:r>
              <w:rPr>
                <w:noProof/>
                <w:webHidden/>
              </w:rPr>
            </w:r>
            <w:r>
              <w:rPr>
                <w:noProof/>
                <w:webHidden/>
              </w:rPr>
              <w:fldChar w:fldCharType="separate"/>
            </w:r>
            <w:r w:rsidR="009D68AA">
              <w:rPr>
                <w:noProof/>
                <w:webHidden/>
              </w:rPr>
              <w:t>5</w:t>
            </w:r>
            <w:r>
              <w:rPr>
                <w:noProof/>
                <w:webHidden/>
              </w:rPr>
              <w:fldChar w:fldCharType="end"/>
            </w:r>
          </w:hyperlink>
        </w:p>
        <w:p w:rsidR="009D68AA" w:rsidRDefault="00571FE9">
          <w:pPr>
            <w:pStyle w:val="10"/>
            <w:tabs>
              <w:tab w:val="right" w:leader="dot" w:pos="9103"/>
            </w:tabs>
            <w:rPr>
              <w:rFonts w:asciiTheme="minorHAnsi" w:eastAsiaTheme="minorEastAsia" w:hAnsiTheme="minorHAnsi" w:cstheme="minorBidi"/>
              <w:noProof/>
              <w:color w:val="auto"/>
            </w:rPr>
          </w:pPr>
          <w:hyperlink w:anchor="_Toc123313458" w:history="1">
            <w:r w:rsidR="009D68AA" w:rsidRPr="00E65831">
              <w:rPr>
                <w:rStyle w:val="a9"/>
                <w:rFonts w:ascii="宋体" w:eastAsia="宋体" w:hAnsi="宋体" w:cs="宋体" w:hint="eastAsia"/>
                <w:noProof/>
              </w:rPr>
              <w:t>五、备查文件</w:t>
            </w:r>
            <w:r w:rsidR="009D68AA">
              <w:rPr>
                <w:noProof/>
                <w:webHidden/>
              </w:rPr>
              <w:tab/>
            </w:r>
            <w:r>
              <w:rPr>
                <w:noProof/>
                <w:webHidden/>
              </w:rPr>
              <w:fldChar w:fldCharType="begin"/>
            </w:r>
            <w:r w:rsidR="009D68AA">
              <w:rPr>
                <w:noProof/>
                <w:webHidden/>
              </w:rPr>
              <w:instrText xml:space="preserve"> PAGEREF _Toc123313458 \h </w:instrText>
            </w:r>
            <w:r>
              <w:rPr>
                <w:noProof/>
                <w:webHidden/>
              </w:rPr>
            </w:r>
            <w:r>
              <w:rPr>
                <w:noProof/>
                <w:webHidden/>
              </w:rPr>
              <w:fldChar w:fldCharType="separate"/>
            </w:r>
            <w:r w:rsidR="009D68AA">
              <w:rPr>
                <w:noProof/>
                <w:webHidden/>
              </w:rPr>
              <w:t>7</w:t>
            </w:r>
            <w:r>
              <w:rPr>
                <w:noProof/>
                <w:webHidden/>
              </w:rPr>
              <w:fldChar w:fldCharType="end"/>
            </w:r>
          </w:hyperlink>
        </w:p>
        <w:p w:rsidR="00583F83" w:rsidRPr="005063A8" w:rsidRDefault="00571FE9" w:rsidP="00146FB3">
          <w:pPr>
            <w:ind w:left="0" w:firstLine="0"/>
            <w:rPr>
              <w:rFonts w:ascii="Times New Roman" w:hAnsi="Times New Roman" w:cs="Times New Roman"/>
            </w:rPr>
          </w:pPr>
          <w:r w:rsidRPr="005063A8">
            <w:rPr>
              <w:rFonts w:ascii="Times New Roman" w:hAnsi="Times New Roman" w:cs="Times New Roman"/>
            </w:rPr>
            <w:fldChar w:fldCharType="end"/>
          </w:r>
        </w:p>
      </w:sdtContent>
    </w:sdt>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p>
    <w:p w:rsidR="00583F83" w:rsidRPr="005063A8" w:rsidRDefault="00583F83">
      <w:pPr>
        <w:spacing w:after="0"/>
        <w:ind w:left="0" w:firstLine="0"/>
        <w:rPr>
          <w:rFonts w:ascii="Times New Roman" w:hAnsi="Times New Roman" w:cs="Times New Roman"/>
        </w:rPr>
      </w:pPr>
      <w:bookmarkStart w:id="0" w:name="_GoBack"/>
      <w:bookmarkEnd w:id="0"/>
    </w:p>
    <w:p w:rsidR="00583F83" w:rsidRPr="005063A8" w:rsidRDefault="00E22DB5">
      <w:pPr>
        <w:spacing w:after="0"/>
        <w:ind w:left="0" w:firstLine="0"/>
        <w:rPr>
          <w:rFonts w:ascii="Times New Roman" w:hAnsi="Times New Roman" w:cs="Times New Roman"/>
        </w:rPr>
      </w:pPr>
      <w:r w:rsidRPr="005063A8">
        <w:rPr>
          <w:rFonts w:ascii="Times New Roman" w:hAnsi="Times New Roman" w:cs="Times New Roman"/>
        </w:rPr>
        <w:br w:type="page"/>
      </w:r>
    </w:p>
    <w:p w:rsidR="00B86DEE" w:rsidRPr="00C744C5" w:rsidRDefault="00B86DEE" w:rsidP="00C744C5">
      <w:pPr>
        <w:pStyle w:val="1"/>
        <w:spacing w:after="434"/>
        <w:ind w:left="10" w:right="62"/>
        <w:rPr>
          <w:rFonts w:ascii="Times New Roman" w:hAnsi="Times New Roman" w:cs="Times New Roman"/>
          <w:b/>
        </w:rPr>
      </w:pPr>
      <w:bookmarkStart w:id="1" w:name="_Toc12455"/>
      <w:bookmarkStart w:id="2" w:name="_Toc122679849"/>
      <w:bookmarkStart w:id="3" w:name="_Toc123313453"/>
      <w:r w:rsidRPr="005063A8">
        <w:rPr>
          <w:rFonts w:ascii="Times New Roman" w:hAnsi="Times New Roman" w:cs="Times New Roman"/>
        </w:rPr>
        <w:lastRenderedPageBreak/>
        <w:t>重要提示</w:t>
      </w:r>
      <w:bookmarkEnd w:id="1"/>
      <w:bookmarkEnd w:id="2"/>
      <w:bookmarkEnd w:id="3"/>
    </w:p>
    <w:p w:rsidR="00FF1519" w:rsidRPr="005063A8" w:rsidRDefault="00424D7A" w:rsidP="007554ED">
      <w:pPr>
        <w:spacing w:after="0" w:line="360" w:lineRule="auto"/>
        <w:ind w:left="0" w:firstLineChars="200" w:firstLine="480"/>
        <w:jc w:val="both"/>
        <w:rPr>
          <w:rFonts w:ascii="Times New Roman" w:hAnsi="Times New Roman" w:cs="Times New Roman"/>
        </w:rPr>
      </w:pPr>
      <w:r>
        <w:rPr>
          <w:rFonts w:ascii="Times New Roman" w:hAnsi="Times New Roman" w:cs="Times New Roman" w:hint="eastAsia"/>
        </w:rPr>
        <w:t>泰达宏利创盈灵活配置混合型证券投资基金</w:t>
      </w:r>
      <w:r w:rsidR="00FF1519" w:rsidRPr="005063A8">
        <w:rPr>
          <w:rFonts w:ascii="Times New Roman" w:hAnsi="Times New Roman" w:cs="Times New Roman"/>
        </w:rPr>
        <w:t>（以下简称</w:t>
      </w:r>
      <w:r w:rsidR="007554ED" w:rsidRPr="007554ED">
        <w:rPr>
          <w:rFonts w:ascii="Times New Roman" w:hAnsi="Times New Roman" w:cs="Times New Roman" w:hint="eastAsia"/>
        </w:rPr>
        <w:t>“</w:t>
      </w:r>
      <w:r w:rsidR="00FF1519" w:rsidRPr="005063A8">
        <w:rPr>
          <w:rFonts w:ascii="Times New Roman" w:hAnsi="Times New Roman" w:cs="Times New Roman"/>
        </w:rPr>
        <w:t>本基金</w:t>
      </w:r>
      <w:r w:rsidR="007554ED">
        <w:rPr>
          <w:rFonts w:ascii="Times New Roman" w:hAnsi="Times New Roman" w:cs="Times New Roman" w:hint="eastAsia"/>
        </w:rPr>
        <w:t>”</w:t>
      </w:r>
      <w:r w:rsidR="00FF1519" w:rsidRPr="005063A8">
        <w:rPr>
          <w:rFonts w:ascii="Times New Roman" w:hAnsi="Times New Roman" w:cs="Times New Roman"/>
        </w:rPr>
        <w:t>）经中国证券监督管理委员会（以下简称</w:t>
      </w:r>
      <w:r w:rsidR="007554ED" w:rsidRPr="007554ED">
        <w:rPr>
          <w:rFonts w:ascii="Times New Roman" w:hAnsi="Times New Roman" w:cs="Times New Roman" w:hint="eastAsia"/>
        </w:rPr>
        <w:t>“</w:t>
      </w:r>
      <w:r w:rsidR="00FF1519" w:rsidRPr="005063A8">
        <w:rPr>
          <w:rFonts w:ascii="Times New Roman" w:hAnsi="Times New Roman" w:cs="Times New Roman"/>
        </w:rPr>
        <w:t>中国证监会</w:t>
      </w:r>
      <w:r w:rsidR="007554ED">
        <w:rPr>
          <w:rFonts w:ascii="Times New Roman" w:hAnsi="Times New Roman" w:cs="Times New Roman" w:hint="eastAsia"/>
        </w:rPr>
        <w:t>”</w:t>
      </w:r>
      <w:r w:rsidR="00FF1519" w:rsidRPr="005063A8">
        <w:rPr>
          <w:rFonts w:ascii="Times New Roman" w:hAnsi="Times New Roman" w:cs="Times New Roman"/>
        </w:rPr>
        <w:t>）证监许可</w:t>
      </w:r>
      <w:r w:rsidR="0043383A">
        <w:rPr>
          <w:rFonts w:ascii="Times New Roman" w:hAnsi="Times New Roman" w:cs="Times New Roman" w:hint="eastAsia"/>
        </w:rPr>
        <w:t>【</w:t>
      </w:r>
      <w:r w:rsidR="0043383A">
        <w:rPr>
          <w:rFonts w:ascii="Times New Roman" w:hAnsi="Times New Roman" w:cs="Times New Roman" w:hint="eastAsia"/>
        </w:rPr>
        <w:t>201</w:t>
      </w:r>
      <w:r>
        <w:rPr>
          <w:rFonts w:ascii="Times New Roman" w:hAnsi="Times New Roman" w:cs="Times New Roman"/>
        </w:rPr>
        <w:t>4</w:t>
      </w:r>
      <w:r w:rsidR="0043383A">
        <w:rPr>
          <w:rFonts w:ascii="Times New Roman" w:hAnsi="Times New Roman" w:cs="Times New Roman" w:hint="eastAsia"/>
        </w:rPr>
        <w:t>】</w:t>
      </w:r>
      <w:r>
        <w:rPr>
          <w:rFonts w:ascii="Times New Roman" w:hAnsi="Times New Roman" w:cs="Times New Roman"/>
        </w:rPr>
        <w:t>249</w:t>
      </w:r>
      <w:r w:rsidR="0043383A">
        <w:rPr>
          <w:rFonts w:ascii="Times New Roman" w:hAnsi="Times New Roman" w:cs="Times New Roman" w:hint="eastAsia"/>
        </w:rPr>
        <w:t>号</w:t>
      </w:r>
      <w:r w:rsidR="00FF1519" w:rsidRPr="005063A8">
        <w:rPr>
          <w:rFonts w:ascii="Times New Roman" w:hAnsi="Times New Roman" w:cs="Times New Roman"/>
        </w:rPr>
        <w:t>予以注册，于</w:t>
      </w:r>
      <w:r w:rsidR="00FF1519" w:rsidRPr="005063A8">
        <w:rPr>
          <w:rFonts w:ascii="Times New Roman" w:hAnsi="Times New Roman" w:cs="Times New Roman"/>
        </w:rPr>
        <w:t>201</w:t>
      </w:r>
      <w:r>
        <w:rPr>
          <w:rFonts w:ascii="Times New Roman" w:hAnsi="Times New Roman" w:cs="Times New Roman"/>
        </w:rPr>
        <w:t>5</w:t>
      </w:r>
      <w:r w:rsidR="00FF1519" w:rsidRPr="005063A8">
        <w:rPr>
          <w:rFonts w:ascii="Times New Roman" w:hAnsi="Times New Roman" w:cs="Times New Roman"/>
        </w:rPr>
        <w:t>年</w:t>
      </w:r>
      <w:r>
        <w:rPr>
          <w:rFonts w:ascii="Times New Roman" w:hAnsi="Times New Roman" w:cs="Times New Roman"/>
        </w:rPr>
        <w:t>3</w:t>
      </w:r>
      <w:r w:rsidR="00FF1519" w:rsidRPr="005063A8">
        <w:rPr>
          <w:rFonts w:ascii="Times New Roman" w:hAnsi="Times New Roman" w:cs="Times New Roman"/>
        </w:rPr>
        <w:t>月</w:t>
      </w:r>
      <w:r w:rsidR="005628B5">
        <w:rPr>
          <w:rFonts w:ascii="Times New Roman" w:hAnsi="Times New Roman" w:cs="Times New Roman"/>
        </w:rPr>
        <w:t>30</w:t>
      </w:r>
      <w:r w:rsidR="00FF1519" w:rsidRPr="005063A8">
        <w:rPr>
          <w:rFonts w:ascii="Times New Roman" w:hAnsi="Times New Roman" w:cs="Times New Roman"/>
        </w:rPr>
        <w:t>日成立并正式运作。</w:t>
      </w:r>
    </w:p>
    <w:p w:rsidR="0035409D" w:rsidRDefault="00FF1519" w:rsidP="00424D7A">
      <w:pPr>
        <w:spacing w:line="360" w:lineRule="auto"/>
        <w:ind w:firstLineChars="200" w:firstLine="480"/>
        <w:jc w:val="both"/>
        <w:rPr>
          <w:rFonts w:ascii="Times New Roman" w:hAnsi="Times New Roman" w:cs="Times New Roman"/>
        </w:rPr>
      </w:pPr>
      <w:r w:rsidRPr="005063A8">
        <w:rPr>
          <w:rFonts w:ascii="Times New Roman" w:hAnsi="Times New Roman" w:cs="Times New Roman"/>
        </w:rPr>
        <w:t>根据《中华人民共和国证券投资基金法》、《公开募集证券投资基金运作管理办法》</w:t>
      </w:r>
      <w:r w:rsidR="007A6B35">
        <w:rPr>
          <w:rFonts w:ascii="Times New Roman" w:hAnsi="Times New Roman" w:cs="Times New Roman" w:hint="eastAsia"/>
        </w:rPr>
        <w:t>和</w:t>
      </w:r>
      <w:r w:rsidRPr="005063A8">
        <w:rPr>
          <w:rFonts w:ascii="Times New Roman" w:hAnsi="Times New Roman" w:cs="Times New Roman"/>
        </w:rPr>
        <w:t>《</w:t>
      </w:r>
      <w:r w:rsidR="00424D7A">
        <w:rPr>
          <w:rFonts w:ascii="Times New Roman" w:hAnsi="Times New Roman" w:cs="Times New Roman" w:hint="eastAsia"/>
        </w:rPr>
        <w:t>泰达宏利创盈灵活配置混合型证券投资基金</w:t>
      </w:r>
      <w:r w:rsidRPr="005063A8">
        <w:rPr>
          <w:rFonts w:ascii="Times New Roman" w:hAnsi="Times New Roman" w:cs="Times New Roman"/>
        </w:rPr>
        <w:t>基金合同》（以下简称</w:t>
      </w:r>
      <w:r w:rsidRPr="005063A8">
        <w:rPr>
          <w:rFonts w:ascii="Times New Roman" w:hAnsi="Times New Roman" w:cs="Times New Roman"/>
        </w:rPr>
        <w:t>“</w:t>
      </w:r>
      <w:r w:rsidRPr="005063A8">
        <w:rPr>
          <w:rFonts w:ascii="Times New Roman" w:hAnsi="Times New Roman" w:cs="Times New Roman"/>
        </w:rPr>
        <w:t>基金合同</w:t>
      </w:r>
      <w:r w:rsidRPr="005063A8">
        <w:rPr>
          <w:rFonts w:ascii="Times New Roman" w:hAnsi="Times New Roman" w:cs="Times New Roman"/>
        </w:rPr>
        <w:t>”</w:t>
      </w:r>
      <w:r w:rsidRPr="005063A8">
        <w:rPr>
          <w:rFonts w:ascii="Times New Roman" w:hAnsi="Times New Roman" w:cs="Times New Roman"/>
        </w:rPr>
        <w:t>）等有关规定</w:t>
      </w:r>
      <w:r w:rsidR="0035409D">
        <w:rPr>
          <w:rFonts w:ascii="Times New Roman" w:hAnsi="Times New Roman" w:cs="Times New Roman" w:hint="eastAsia"/>
        </w:rPr>
        <w:t>:</w:t>
      </w:r>
    </w:p>
    <w:p w:rsidR="00424D7A" w:rsidRPr="00424D7A" w:rsidRDefault="007554ED" w:rsidP="00424D7A">
      <w:pPr>
        <w:spacing w:line="360" w:lineRule="auto"/>
        <w:ind w:firstLineChars="200" w:firstLine="480"/>
        <w:jc w:val="both"/>
        <w:rPr>
          <w:rFonts w:ascii="Times New Roman" w:hAnsi="Times New Roman" w:cs="Times New Roman"/>
        </w:rPr>
      </w:pPr>
      <w:r w:rsidRPr="007554ED">
        <w:rPr>
          <w:rFonts w:ascii="Times New Roman" w:hAnsi="Times New Roman" w:cs="Times New Roman" w:hint="eastAsia"/>
        </w:rPr>
        <w:t>“</w:t>
      </w:r>
      <w:r w:rsidR="00424D7A" w:rsidRPr="00424D7A">
        <w:rPr>
          <w:rFonts w:ascii="Times New Roman" w:hAnsi="Times New Roman" w:cs="Times New Roman" w:hint="eastAsia"/>
        </w:rPr>
        <w:t>《基金合同》生效后，基金份额持有人数量不满</w:t>
      </w:r>
      <w:r w:rsidR="00424D7A" w:rsidRPr="00424D7A">
        <w:rPr>
          <w:rFonts w:ascii="Times New Roman" w:hAnsi="Times New Roman" w:cs="Times New Roman"/>
        </w:rPr>
        <w:t>200</w:t>
      </w:r>
      <w:r w:rsidR="00424D7A" w:rsidRPr="00424D7A">
        <w:rPr>
          <w:rFonts w:ascii="Times New Roman" w:hAnsi="Times New Roman" w:cs="Times New Roman"/>
        </w:rPr>
        <w:t>人或者基金资产净值低于</w:t>
      </w:r>
      <w:r w:rsidR="00424D7A" w:rsidRPr="00424D7A">
        <w:rPr>
          <w:rFonts w:ascii="Times New Roman" w:hAnsi="Times New Roman" w:cs="Times New Roman"/>
        </w:rPr>
        <w:t>5000</w:t>
      </w:r>
      <w:r w:rsidR="00424D7A" w:rsidRPr="00424D7A">
        <w:rPr>
          <w:rFonts w:ascii="Times New Roman" w:hAnsi="Times New Roman" w:cs="Times New Roman"/>
        </w:rPr>
        <w:t>万元的，基金管理人应当及时报告中国证监会；连续</w:t>
      </w:r>
      <w:r w:rsidR="00424D7A" w:rsidRPr="00424D7A">
        <w:rPr>
          <w:rFonts w:ascii="Times New Roman" w:hAnsi="Times New Roman" w:cs="Times New Roman"/>
        </w:rPr>
        <w:t>20</w:t>
      </w:r>
      <w:r w:rsidR="00424D7A" w:rsidRPr="00424D7A">
        <w:rPr>
          <w:rFonts w:ascii="Times New Roman" w:hAnsi="Times New Roman" w:cs="Times New Roman"/>
        </w:rPr>
        <w:t>个工作日出现前述情形的，基金管理人应当向中国证监会说明原因并报送解决方案。</w:t>
      </w:r>
    </w:p>
    <w:p w:rsidR="00424D7A" w:rsidRPr="00424D7A" w:rsidRDefault="00424D7A" w:rsidP="00424D7A">
      <w:pPr>
        <w:spacing w:line="360" w:lineRule="auto"/>
        <w:ind w:firstLineChars="200" w:firstLine="480"/>
        <w:jc w:val="both"/>
        <w:rPr>
          <w:rFonts w:ascii="Times New Roman" w:hAnsi="Times New Roman" w:cs="Times New Roman"/>
        </w:rPr>
      </w:pPr>
      <w:r w:rsidRPr="00424D7A">
        <w:rPr>
          <w:rFonts w:ascii="Times New Roman" w:hAnsi="Times New Roman" w:cs="Times New Roman" w:hint="eastAsia"/>
        </w:rPr>
        <w:t>自基金合同生效日起，出现如下情形之一的，经与基金托管人协商一致后，基金合同应当终止并根据基金合同第十九部分的约定进行基金财产清算，而无需召开基金份额持有人大会：</w:t>
      </w:r>
    </w:p>
    <w:p w:rsidR="00424D7A" w:rsidRPr="00424D7A" w:rsidRDefault="00424D7A" w:rsidP="00424D7A">
      <w:pPr>
        <w:spacing w:line="360" w:lineRule="auto"/>
        <w:ind w:firstLineChars="200" w:firstLine="480"/>
        <w:jc w:val="both"/>
        <w:rPr>
          <w:rFonts w:ascii="Times New Roman" w:hAnsi="Times New Roman" w:cs="Times New Roman"/>
        </w:rPr>
      </w:pPr>
      <w:r w:rsidRPr="00424D7A">
        <w:rPr>
          <w:rFonts w:ascii="Times New Roman" w:hAnsi="Times New Roman" w:cs="Times New Roman"/>
        </w:rPr>
        <w:t>1</w:t>
      </w:r>
      <w:r w:rsidRPr="00424D7A">
        <w:rPr>
          <w:rFonts w:ascii="Times New Roman" w:hAnsi="Times New Roman" w:cs="Times New Roman"/>
        </w:rPr>
        <w:t>、连续</w:t>
      </w:r>
      <w:r w:rsidRPr="00424D7A">
        <w:rPr>
          <w:rFonts w:ascii="Times New Roman" w:hAnsi="Times New Roman" w:cs="Times New Roman"/>
        </w:rPr>
        <w:t>60</w:t>
      </w:r>
      <w:r w:rsidRPr="00424D7A">
        <w:rPr>
          <w:rFonts w:ascii="Times New Roman" w:hAnsi="Times New Roman" w:cs="Times New Roman"/>
        </w:rPr>
        <w:t>个工作日，基金资产净值低于</w:t>
      </w:r>
      <w:r w:rsidRPr="00424D7A">
        <w:rPr>
          <w:rFonts w:ascii="Times New Roman" w:hAnsi="Times New Roman" w:cs="Times New Roman"/>
        </w:rPr>
        <w:t>5000</w:t>
      </w:r>
      <w:r w:rsidRPr="00424D7A">
        <w:rPr>
          <w:rFonts w:ascii="Times New Roman" w:hAnsi="Times New Roman" w:cs="Times New Roman"/>
        </w:rPr>
        <w:t>万元；</w:t>
      </w:r>
    </w:p>
    <w:p w:rsidR="00424D7A" w:rsidRPr="00424D7A" w:rsidRDefault="00424D7A" w:rsidP="00424D7A">
      <w:pPr>
        <w:spacing w:line="360" w:lineRule="auto"/>
        <w:ind w:firstLineChars="200" w:firstLine="480"/>
        <w:jc w:val="both"/>
        <w:rPr>
          <w:rFonts w:ascii="Times New Roman" w:hAnsi="Times New Roman" w:cs="Times New Roman"/>
        </w:rPr>
      </w:pPr>
      <w:r w:rsidRPr="00424D7A">
        <w:rPr>
          <w:rFonts w:ascii="Times New Roman" w:hAnsi="Times New Roman" w:cs="Times New Roman"/>
        </w:rPr>
        <w:t>2</w:t>
      </w:r>
      <w:r w:rsidRPr="00424D7A">
        <w:rPr>
          <w:rFonts w:ascii="Times New Roman" w:hAnsi="Times New Roman" w:cs="Times New Roman"/>
        </w:rPr>
        <w:t>、连续</w:t>
      </w:r>
      <w:r w:rsidRPr="00424D7A">
        <w:rPr>
          <w:rFonts w:ascii="Times New Roman" w:hAnsi="Times New Roman" w:cs="Times New Roman"/>
        </w:rPr>
        <w:t>60</w:t>
      </w:r>
      <w:r w:rsidRPr="00424D7A">
        <w:rPr>
          <w:rFonts w:ascii="Times New Roman" w:hAnsi="Times New Roman" w:cs="Times New Roman"/>
        </w:rPr>
        <w:t>个工作日，有效申请确认后基金份额持有人数量少于</w:t>
      </w:r>
      <w:r w:rsidRPr="00424D7A">
        <w:rPr>
          <w:rFonts w:ascii="Times New Roman" w:hAnsi="Times New Roman" w:cs="Times New Roman"/>
        </w:rPr>
        <w:t>200</w:t>
      </w:r>
      <w:r w:rsidRPr="00424D7A">
        <w:rPr>
          <w:rFonts w:ascii="Times New Roman" w:hAnsi="Times New Roman" w:cs="Times New Roman"/>
        </w:rPr>
        <w:t>人。</w:t>
      </w:r>
    </w:p>
    <w:p w:rsidR="0035409D" w:rsidRDefault="00424D7A" w:rsidP="00424D7A">
      <w:pPr>
        <w:spacing w:line="360" w:lineRule="auto"/>
        <w:ind w:firstLineChars="200" w:firstLine="480"/>
        <w:jc w:val="both"/>
        <w:rPr>
          <w:rFonts w:ascii="Times New Roman" w:hAnsi="Times New Roman" w:cs="Times New Roman"/>
        </w:rPr>
      </w:pPr>
      <w:r w:rsidRPr="00424D7A">
        <w:rPr>
          <w:rFonts w:ascii="Times New Roman" w:hAnsi="Times New Roman" w:cs="Times New Roman" w:hint="eastAsia"/>
        </w:rPr>
        <w:t>法律法规另有规定时，从其规定。</w:t>
      </w:r>
      <w:r w:rsidR="007554ED">
        <w:rPr>
          <w:rFonts w:ascii="Times New Roman" w:hAnsi="Times New Roman" w:cs="Times New Roman" w:hint="eastAsia"/>
        </w:rPr>
        <w:t>”</w:t>
      </w:r>
    </w:p>
    <w:p w:rsidR="004C5DCA" w:rsidRPr="007554ED" w:rsidRDefault="004C5DCA" w:rsidP="00424D7A">
      <w:pPr>
        <w:spacing w:line="360" w:lineRule="auto"/>
        <w:ind w:firstLineChars="200" w:firstLine="480"/>
        <w:jc w:val="both"/>
        <w:rPr>
          <w:rFonts w:ascii="Times New Roman" w:hAnsi="Times New Roman" w:cs="Times New Roman"/>
        </w:rPr>
      </w:pPr>
      <w:r w:rsidRPr="00AA432A">
        <w:rPr>
          <w:rFonts w:ascii="Times New Roman" w:hAnsi="Times New Roman" w:cs="Times New Roman" w:hint="eastAsia"/>
        </w:rPr>
        <w:t>本基金基金资产净值</w:t>
      </w:r>
      <w:r w:rsidR="007A6B35" w:rsidRPr="00AA432A">
        <w:rPr>
          <w:rFonts w:ascii="Times New Roman" w:hAnsi="Times New Roman" w:cs="Times New Roman" w:hint="eastAsia"/>
        </w:rPr>
        <w:t>自</w:t>
      </w:r>
      <w:r w:rsidR="007A6B35" w:rsidRPr="003A7287">
        <w:rPr>
          <w:rFonts w:ascii="Times New Roman" w:hAnsi="Times New Roman" w:cs="Times New Roman"/>
        </w:rPr>
        <w:t>202</w:t>
      </w:r>
      <w:r w:rsidR="00454DBC" w:rsidRPr="003A7287">
        <w:rPr>
          <w:rFonts w:ascii="Times New Roman" w:hAnsi="Times New Roman" w:cs="Times New Roman"/>
        </w:rPr>
        <w:t>2</w:t>
      </w:r>
      <w:r w:rsidR="007A6B35" w:rsidRPr="003A7287">
        <w:rPr>
          <w:rFonts w:ascii="Times New Roman" w:hAnsi="Times New Roman" w:cs="Times New Roman"/>
        </w:rPr>
        <w:t>年</w:t>
      </w:r>
      <w:r w:rsidR="0035409D" w:rsidRPr="003A7287">
        <w:rPr>
          <w:rFonts w:ascii="Times New Roman" w:hAnsi="Times New Roman" w:cs="Times New Roman"/>
        </w:rPr>
        <w:t>9</w:t>
      </w:r>
      <w:r w:rsidR="007A6B35" w:rsidRPr="003A7287">
        <w:rPr>
          <w:rFonts w:ascii="Times New Roman" w:hAnsi="Times New Roman" w:cs="Times New Roman"/>
        </w:rPr>
        <w:t>月</w:t>
      </w:r>
      <w:r w:rsidR="0035409D" w:rsidRPr="003A7287">
        <w:rPr>
          <w:rFonts w:ascii="Times New Roman" w:hAnsi="Times New Roman" w:cs="Times New Roman"/>
        </w:rPr>
        <w:t>8</w:t>
      </w:r>
      <w:r w:rsidR="007A6B35" w:rsidRPr="003A7287">
        <w:rPr>
          <w:rFonts w:ascii="Times New Roman" w:hAnsi="Times New Roman" w:cs="Times New Roman"/>
        </w:rPr>
        <w:t>日</w:t>
      </w:r>
      <w:r w:rsidR="007A6B35" w:rsidRPr="00AA432A">
        <w:rPr>
          <w:rFonts w:ascii="Times New Roman" w:hAnsi="Times New Roman" w:cs="Times New Roman"/>
        </w:rPr>
        <w:t>起低于</w:t>
      </w:r>
      <w:r w:rsidR="007A6B35" w:rsidRPr="00AA432A">
        <w:rPr>
          <w:rFonts w:ascii="Times New Roman" w:hAnsi="Times New Roman" w:cs="Times New Roman"/>
        </w:rPr>
        <w:t>5000</w:t>
      </w:r>
      <w:r w:rsidR="007A6B35" w:rsidRPr="00AA432A">
        <w:rPr>
          <w:rFonts w:ascii="Times New Roman" w:hAnsi="Times New Roman" w:cs="Times New Roman"/>
        </w:rPr>
        <w:t>万元</w:t>
      </w:r>
      <w:r w:rsidR="007A6B35" w:rsidRPr="00AA432A">
        <w:rPr>
          <w:rFonts w:ascii="Times New Roman" w:hAnsi="Times New Roman" w:cs="Times New Roman" w:hint="eastAsia"/>
        </w:rPr>
        <w:t>，</w:t>
      </w:r>
      <w:r w:rsidR="007554ED" w:rsidRPr="00AA432A">
        <w:rPr>
          <w:rFonts w:ascii="Times New Roman" w:hAnsi="Times New Roman" w:cs="Times New Roman"/>
        </w:rPr>
        <w:t>截至</w:t>
      </w:r>
      <w:r w:rsidR="000C044C" w:rsidRPr="00AA432A">
        <w:rPr>
          <w:rFonts w:ascii="Times New Roman" w:hAnsi="Times New Roman" w:cs="Times New Roman" w:hint="eastAsia"/>
        </w:rPr>
        <w:t>2022</w:t>
      </w:r>
      <w:r w:rsidR="007554ED" w:rsidRPr="00AA432A">
        <w:rPr>
          <w:rFonts w:ascii="Times New Roman" w:hAnsi="Times New Roman" w:cs="Times New Roman"/>
        </w:rPr>
        <w:t>年</w:t>
      </w:r>
      <w:r w:rsidR="005628B5" w:rsidRPr="00AA432A">
        <w:rPr>
          <w:rFonts w:ascii="Times New Roman" w:hAnsi="Times New Roman" w:cs="Times New Roman"/>
        </w:rPr>
        <w:t>1</w:t>
      </w:r>
      <w:r w:rsidR="0035409D" w:rsidRPr="00AA432A">
        <w:rPr>
          <w:rFonts w:ascii="Times New Roman" w:hAnsi="Times New Roman" w:cs="Times New Roman"/>
        </w:rPr>
        <w:t>2</w:t>
      </w:r>
      <w:r w:rsidR="007554ED" w:rsidRPr="00AA432A">
        <w:rPr>
          <w:rFonts w:ascii="Times New Roman" w:hAnsi="Times New Roman" w:cs="Times New Roman"/>
        </w:rPr>
        <w:t>月</w:t>
      </w:r>
      <w:r w:rsidR="0035409D" w:rsidRPr="00AA432A">
        <w:rPr>
          <w:rFonts w:ascii="Times New Roman" w:hAnsi="Times New Roman" w:cs="Times New Roman"/>
        </w:rPr>
        <w:t>8</w:t>
      </w:r>
      <w:r w:rsidR="007554ED" w:rsidRPr="00AA432A">
        <w:rPr>
          <w:rFonts w:ascii="Times New Roman" w:hAnsi="Times New Roman" w:cs="Times New Roman"/>
        </w:rPr>
        <w:t>日日终，已出现连续</w:t>
      </w:r>
      <w:r w:rsidR="007554ED" w:rsidRPr="00AA432A">
        <w:rPr>
          <w:rFonts w:ascii="Times New Roman" w:hAnsi="Times New Roman" w:cs="Times New Roman"/>
        </w:rPr>
        <w:t>60</w:t>
      </w:r>
      <w:r w:rsidR="007554ED" w:rsidRPr="00AA432A">
        <w:rPr>
          <w:rFonts w:ascii="Times New Roman" w:hAnsi="Times New Roman" w:cs="Times New Roman"/>
        </w:rPr>
        <w:t>个工作日基金资产净值低于</w:t>
      </w:r>
      <w:r w:rsidR="007554ED" w:rsidRPr="00AA432A">
        <w:rPr>
          <w:rFonts w:ascii="Times New Roman" w:hAnsi="Times New Roman" w:cs="Times New Roman"/>
        </w:rPr>
        <w:t>5000</w:t>
      </w:r>
      <w:r w:rsidR="007554ED" w:rsidRPr="00AA432A">
        <w:rPr>
          <w:rFonts w:ascii="Times New Roman" w:hAnsi="Times New Roman" w:cs="Times New Roman"/>
        </w:rPr>
        <w:t>万元的情形。</w:t>
      </w:r>
      <w:r w:rsidR="007554ED" w:rsidRPr="007554ED">
        <w:rPr>
          <w:rFonts w:ascii="Times New Roman" w:hAnsi="Times New Roman" w:cs="Times New Roman"/>
        </w:rPr>
        <w:t>为维护基金份额持有人利益，根据《基金合同》约定，基金管理人应终止《基金合同》并依法履行基金财产清算程序</w:t>
      </w:r>
      <w:r w:rsidR="00D4348A">
        <w:rPr>
          <w:rFonts w:ascii="Times New Roman" w:hAnsi="Times New Roman" w:cs="Times New Roman" w:hint="eastAsia"/>
        </w:rPr>
        <w:t>，</w:t>
      </w:r>
      <w:r w:rsidR="00D4348A">
        <w:rPr>
          <w:rFonts w:ascii="Times New Roman" w:hAnsi="Times New Roman" w:cs="Times New Roman"/>
        </w:rPr>
        <w:t>而无需召开基金份额持有人</w:t>
      </w:r>
      <w:r w:rsidR="00D4348A">
        <w:rPr>
          <w:rFonts w:ascii="Times New Roman" w:hAnsi="Times New Roman" w:cs="Times New Roman" w:hint="eastAsia"/>
        </w:rPr>
        <w:t>大会</w:t>
      </w:r>
      <w:r w:rsidR="007554ED" w:rsidRPr="007554ED">
        <w:rPr>
          <w:rFonts w:ascii="Times New Roman" w:hAnsi="Times New Roman" w:cs="Times New Roman"/>
        </w:rPr>
        <w:t>。</w:t>
      </w:r>
    </w:p>
    <w:p w:rsidR="00FF1519" w:rsidRPr="005063A8" w:rsidRDefault="00FF1519" w:rsidP="007554ED">
      <w:pPr>
        <w:spacing w:after="0" w:line="360" w:lineRule="auto"/>
        <w:ind w:left="0" w:firstLineChars="200" w:firstLine="480"/>
        <w:jc w:val="both"/>
        <w:rPr>
          <w:rFonts w:ascii="Times New Roman" w:hAnsi="Times New Roman" w:cs="Times New Roman"/>
        </w:rPr>
      </w:pPr>
      <w:r w:rsidRPr="005063A8">
        <w:rPr>
          <w:rFonts w:ascii="Times New Roman" w:hAnsi="Times New Roman" w:cs="Times New Roman"/>
        </w:rPr>
        <w:t>本基金于</w:t>
      </w:r>
      <w:r w:rsidR="000C044C">
        <w:rPr>
          <w:rFonts w:ascii="Times New Roman" w:hAnsi="Times New Roman" w:cs="Times New Roman" w:hint="eastAsia"/>
        </w:rPr>
        <w:t>2022</w:t>
      </w:r>
      <w:r w:rsidRPr="005063A8">
        <w:rPr>
          <w:rFonts w:ascii="Times New Roman" w:hAnsi="Times New Roman" w:cs="Times New Roman"/>
        </w:rPr>
        <w:t>年</w:t>
      </w:r>
      <w:r w:rsidR="005628B5">
        <w:rPr>
          <w:rFonts w:ascii="Times New Roman" w:hAnsi="Times New Roman" w:cs="Times New Roman"/>
        </w:rPr>
        <w:t>1</w:t>
      </w:r>
      <w:r w:rsidR="0035409D">
        <w:rPr>
          <w:rFonts w:ascii="Times New Roman" w:hAnsi="Times New Roman" w:cs="Times New Roman"/>
        </w:rPr>
        <w:t>2</w:t>
      </w:r>
      <w:r w:rsidRPr="005063A8">
        <w:rPr>
          <w:rFonts w:ascii="Times New Roman" w:hAnsi="Times New Roman" w:cs="Times New Roman"/>
        </w:rPr>
        <w:t>月</w:t>
      </w:r>
      <w:r w:rsidR="0035409D">
        <w:rPr>
          <w:rFonts w:ascii="Times New Roman" w:hAnsi="Times New Roman" w:cs="Times New Roman"/>
        </w:rPr>
        <w:t>9</w:t>
      </w:r>
      <w:r w:rsidRPr="005063A8">
        <w:rPr>
          <w:rFonts w:ascii="Times New Roman" w:hAnsi="Times New Roman" w:cs="Times New Roman"/>
        </w:rPr>
        <w:t>日起进入清算期，由基金管理人泰达宏利基金管理有限公司、基金托管人</w:t>
      </w:r>
      <w:r w:rsidR="0035409D">
        <w:rPr>
          <w:rFonts w:ascii="Times New Roman" w:hAnsi="Times New Roman" w:cs="Times New Roman" w:hint="eastAsia"/>
        </w:rPr>
        <w:t>华夏</w:t>
      </w:r>
      <w:r w:rsidR="000C044C" w:rsidRPr="000C044C">
        <w:rPr>
          <w:rFonts w:ascii="Times New Roman" w:hAnsi="Times New Roman" w:cs="Times New Roman" w:hint="eastAsia"/>
        </w:rPr>
        <w:t>银行股份有限公司</w:t>
      </w:r>
      <w:r w:rsidRPr="005063A8">
        <w:rPr>
          <w:rFonts w:ascii="Times New Roman" w:hAnsi="Times New Roman" w:cs="Times New Roman"/>
        </w:rPr>
        <w:t>、</w:t>
      </w:r>
      <w:r w:rsidRPr="00370EEA">
        <w:rPr>
          <w:rFonts w:ascii="Times New Roman" w:hAnsi="Times New Roman" w:cs="Times New Roman"/>
        </w:rPr>
        <w:t>普华永道中天会计师事务所（特殊普通合伙）和上海市通力律师事务所组成基金财产清算小组</w:t>
      </w:r>
      <w:r w:rsidRPr="005063A8">
        <w:rPr>
          <w:rFonts w:ascii="Times New Roman" w:hAnsi="Times New Roman" w:cs="Times New Roman"/>
        </w:rPr>
        <w:t>履行基金财产清算程序，并由普华永道中天会计师事务所（特殊普通合伙）对清算报告进行审计，上海市通力律师事务所对清算报告出具法律意见。</w:t>
      </w:r>
    </w:p>
    <w:p w:rsidR="00B86DEE" w:rsidRPr="005063A8" w:rsidRDefault="00B86DEE" w:rsidP="00026FA1">
      <w:pPr>
        <w:spacing w:after="0" w:line="360" w:lineRule="auto"/>
        <w:ind w:left="0" w:firstLineChars="200" w:firstLine="480"/>
        <w:rPr>
          <w:rFonts w:ascii="Times New Roman" w:hAnsi="Times New Roman" w:cs="Times New Roman"/>
        </w:rPr>
      </w:pPr>
    </w:p>
    <w:p w:rsidR="00B86DEE" w:rsidRPr="005063A8" w:rsidRDefault="00B86DEE" w:rsidP="00026FA1">
      <w:pPr>
        <w:spacing w:after="0" w:line="360" w:lineRule="auto"/>
        <w:ind w:left="0" w:firstLineChars="200" w:firstLine="480"/>
        <w:rPr>
          <w:rFonts w:ascii="Times New Roman" w:hAnsi="Times New Roman" w:cs="Times New Roman"/>
        </w:rPr>
      </w:pPr>
    </w:p>
    <w:p w:rsidR="00B86DEE" w:rsidRPr="005063A8" w:rsidRDefault="001519C4" w:rsidP="001519C4">
      <w:pPr>
        <w:pStyle w:val="1"/>
        <w:ind w:left="10" w:right="62"/>
        <w:rPr>
          <w:rFonts w:ascii="Times New Roman" w:hAnsi="Times New Roman" w:cs="Times New Roman"/>
        </w:rPr>
      </w:pPr>
      <w:bookmarkStart w:id="4" w:name="_Toc12456"/>
      <w:bookmarkStart w:id="5" w:name="_Toc122679850"/>
      <w:bookmarkStart w:id="6" w:name="_Toc123313454"/>
      <w:r w:rsidRPr="005063A8">
        <w:rPr>
          <w:rFonts w:ascii="Times New Roman" w:hAnsi="Times New Roman" w:cs="Times New Roman"/>
        </w:rPr>
        <w:t>一、</w:t>
      </w:r>
      <w:r w:rsidR="00B86DEE" w:rsidRPr="005063A8">
        <w:rPr>
          <w:rFonts w:ascii="Times New Roman" w:hAnsi="Times New Roman" w:cs="Times New Roman"/>
        </w:rPr>
        <w:t>基金概况</w:t>
      </w:r>
      <w:bookmarkEnd w:id="4"/>
      <w:bookmarkEnd w:id="5"/>
      <w:bookmarkEnd w:id="6"/>
    </w:p>
    <w:tbl>
      <w:tblPr>
        <w:tblStyle w:val="a5"/>
        <w:tblW w:w="9454" w:type="dxa"/>
        <w:tblInd w:w="10" w:type="dxa"/>
        <w:tblLook w:val="04A0"/>
      </w:tblPr>
      <w:tblGrid>
        <w:gridCol w:w="2933"/>
        <w:gridCol w:w="6521"/>
      </w:tblGrid>
      <w:tr w:rsidR="00CC040C" w:rsidRPr="005063A8" w:rsidTr="00454DBC">
        <w:tc>
          <w:tcPr>
            <w:tcW w:w="2933" w:type="dxa"/>
            <w:vAlign w:val="center"/>
          </w:tcPr>
          <w:p w:rsidR="00CC040C" w:rsidRPr="005063A8" w:rsidRDefault="00CC040C" w:rsidP="00097E65">
            <w:pPr>
              <w:spacing w:line="276" w:lineRule="auto"/>
              <w:ind w:left="0" w:firstLine="0"/>
              <w:jc w:val="both"/>
              <w:rPr>
                <w:rFonts w:ascii="Times New Roman" w:hAnsi="Times New Roman" w:cs="Times New Roman"/>
              </w:rPr>
            </w:pPr>
            <w:r w:rsidRPr="005063A8">
              <w:rPr>
                <w:rFonts w:ascii="Times New Roman" w:hAnsi="Times New Roman" w:cs="Times New Roman"/>
              </w:rPr>
              <w:t>基金名称</w:t>
            </w:r>
          </w:p>
        </w:tc>
        <w:tc>
          <w:tcPr>
            <w:tcW w:w="6521" w:type="dxa"/>
            <w:vAlign w:val="center"/>
          </w:tcPr>
          <w:p w:rsidR="00CC040C" w:rsidRPr="007554ED" w:rsidRDefault="00424D7A" w:rsidP="00097E65">
            <w:pPr>
              <w:spacing w:line="276" w:lineRule="auto"/>
              <w:jc w:val="both"/>
              <w:rPr>
                <w:kern w:val="0"/>
              </w:rPr>
            </w:pPr>
            <w:r>
              <w:rPr>
                <w:rFonts w:ascii="Times New Roman" w:hAnsi="Times New Roman" w:cs="Times New Roman" w:hint="eastAsia"/>
              </w:rPr>
              <w:t>泰达宏利创盈灵活配置混合型证券投资基金</w:t>
            </w:r>
          </w:p>
        </w:tc>
      </w:tr>
      <w:tr w:rsidR="00ED6988" w:rsidRPr="005063A8" w:rsidTr="00454DBC">
        <w:tc>
          <w:tcPr>
            <w:tcW w:w="2933" w:type="dxa"/>
            <w:vAlign w:val="center"/>
          </w:tcPr>
          <w:p w:rsidR="00ED6988" w:rsidRPr="005063A8" w:rsidRDefault="00ED6988" w:rsidP="00ED6988">
            <w:pPr>
              <w:spacing w:line="276" w:lineRule="auto"/>
              <w:ind w:left="0" w:firstLine="0"/>
              <w:jc w:val="both"/>
              <w:rPr>
                <w:rFonts w:ascii="Times New Roman" w:hAnsi="Times New Roman" w:cs="Times New Roman"/>
              </w:rPr>
            </w:pPr>
            <w:r w:rsidRPr="005063A8">
              <w:rPr>
                <w:rFonts w:ascii="Times New Roman" w:hAnsi="Times New Roman" w:cs="Times New Roman"/>
              </w:rPr>
              <w:t>基金简称</w:t>
            </w:r>
          </w:p>
        </w:tc>
        <w:tc>
          <w:tcPr>
            <w:tcW w:w="6521" w:type="dxa"/>
            <w:vAlign w:val="center"/>
          </w:tcPr>
          <w:p w:rsidR="00ED6988" w:rsidRDefault="0035409D" w:rsidP="00ED6988">
            <w:r w:rsidRPr="0035409D">
              <w:rPr>
                <w:rFonts w:cs="Times New Roman" w:hint="eastAsia"/>
                <w:szCs w:val="24"/>
              </w:rPr>
              <w:t>泰达宏利创盈混合</w:t>
            </w:r>
          </w:p>
        </w:tc>
      </w:tr>
      <w:tr w:rsidR="00ED6988" w:rsidRPr="005063A8" w:rsidTr="00454DBC">
        <w:tc>
          <w:tcPr>
            <w:tcW w:w="2933" w:type="dxa"/>
            <w:vAlign w:val="center"/>
          </w:tcPr>
          <w:p w:rsidR="00ED6988" w:rsidRPr="005063A8" w:rsidRDefault="00ED6988" w:rsidP="00ED6988">
            <w:pPr>
              <w:spacing w:line="276" w:lineRule="auto"/>
              <w:ind w:left="0" w:firstLine="0"/>
              <w:jc w:val="both"/>
              <w:rPr>
                <w:rFonts w:ascii="Times New Roman" w:hAnsi="Times New Roman" w:cs="Times New Roman"/>
              </w:rPr>
            </w:pPr>
            <w:r w:rsidRPr="005063A8">
              <w:rPr>
                <w:rFonts w:ascii="Times New Roman" w:hAnsi="Times New Roman" w:cs="Times New Roman"/>
              </w:rPr>
              <w:t>基金代码</w:t>
            </w:r>
          </w:p>
        </w:tc>
        <w:tc>
          <w:tcPr>
            <w:tcW w:w="6521" w:type="dxa"/>
            <w:vAlign w:val="center"/>
          </w:tcPr>
          <w:p w:rsidR="00ED6988" w:rsidRDefault="0035409D" w:rsidP="00ED6988">
            <w:r w:rsidRPr="0035409D">
              <w:rPr>
                <w:rFonts w:cs="Times New Roman"/>
                <w:color w:val="auto"/>
                <w:szCs w:val="24"/>
              </w:rPr>
              <w:t>A类基金份额001141，B类基金份额001142</w:t>
            </w:r>
          </w:p>
        </w:tc>
      </w:tr>
      <w:tr w:rsidR="00ED6988" w:rsidRPr="005063A8" w:rsidTr="00454DBC">
        <w:tc>
          <w:tcPr>
            <w:tcW w:w="2933" w:type="dxa"/>
            <w:vAlign w:val="center"/>
          </w:tcPr>
          <w:p w:rsidR="00ED6988" w:rsidRPr="005063A8" w:rsidRDefault="00ED6988" w:rsidP="00ED6988">
            <w:pPr>
              <w:spacing w:line="276" w:lineRule="auto"/>
              <w:ind w:left="0" w:firstLine="0"/>
              <w:jc w:val="both"/>
              <w:rPr>
                <w:rFonts w:ascii="Times New Roman" w:hAnsi="Times New Roman" w:cs="Times New Roman"/>
              </w:rPr>
            </w:pPr>
            <w:r w:rsidRPr="005063A8">
              <w:rPr>
                <w:rFonts w:ascii="Times New Roman" w:hAnsi="Times New Roman" w:cs="Times New Roman"/>
              </w:rPr>
              <w:t>基金运作方式</w:t>
            </w:r>
          </w:p>
        </w:tc>
        <w:tc>
          <w:tcPr>
            <w:tcW w:w="6521" w:type="dxa"/>
            <w:vAlign w:val="center"/>
          </w:tcPr>
          <w:p w:rsidR="00ED6988" w:rsidRDefault="00ED6988" w:rsidP="00ED6988">
            <w:r>
              <w:rPr>
                <w:rFonts w:hint="eastAsia"/>
              </w:rPr>
              <w:t>契约型开放式</w:t>
            </w:r>
          </w:p>
        </w:tc>
      </w:tr>
      <w:tr w:rsidR="00ED6988" w:rsidRPr="005063A8" w:rsidTr="00454DBC">
        <w:tc>
          <w:tcPr>
            <w:tcW w:w="2933" w:type="dxa"/>
            <w:vAlign w:val="center"/>
          </w:tcPr>
          <w:p w:rsidR="00ED6988" w:rsidRPr="005063A8" w:rsidRDefault="00ED6988" w:rsidP="00ED6988">
            <w:pPr>
              <w:spacing w:line="276" w:lineRule="auto"/>
              <w:ind w:left="0" w:firstLine="0"/>
              <w:jc w:val="both"/>
              <w:rPr>
                <w:rFonts w:ascii="Times New Roman" w:hAnsi="Times New Roman" w:cs="Times New Roman"/>
              </w:rPr>
            </w:pPr>
            <w:r w:rsidRPr="005063A8">
              <w:rPr>
                <w:rFonts w:ascii="Times New Roman" w:hAnsi="Times New Roman" w:cs="Times New Roman"/>
              </w:rPr>
              <w:t>基金合同生效日</w:t>
            </w:r>
          </w:p>
        </w:tc>
        <w:tc>
          <w:tcPr>
            <w:tcW w:w="6521" w:type="dxa"/>
            <w:vAlign w:val="center"/>
          </w:tcPr>
          <w:p w:rsidR="00ED6988" w:rsidRDefault="00ED6988" w:rsidP="000C044C">
            <w:r>
              <w:t>201</w:t>
            </w:r>
            <w:r w:rsidR="0035409D">
              <w:t>5</w:t>
            </w:r>
            <w:r>
              <w:t>年</w:t>
            </w:r>
            <w:r w:rsidR="0035409D">
              <w:t>3</w:t>
            </w:r>
            <w:r>
              <w:t>月</w:t>
            </w:r>
            <w:r w:rsidR="005628B5">
              <w:t>30</w:t>
            </w:r>
            <w:r>
              <w:t>日</w:t>
            </w:r>
          </w:p>
        </w:tc>
      </w:tr>
      <w:tr w:rsidR="00ED6988" w:rsidRPr="005063A8" w:rsidTr="00454DBC">
        <w:tc>
          <w:tcPr>
            <w:tcW w:w="2933" w:type="dxa"/>
            <w:vAlign w:val="center"/>
          </w:tcPr>
          <w:p w:rsidR="00ED6988" w:rsidRPr="005063A8" w:rsidRDefault="00ED6988" w:rsidP="00ED6988">
            <w:pPr>
              <w:spacing w:line="276" w:lineRule="auto"/>
              <w:ind w:left="0" w:firstLine="0"/>
              <w:jc w:val="both"/>
              <w:rPr>
                <w:rFonts w:ascii="Times New Roman" w:hAnsi="Times New Roman" w:cs="Times New Roman"/>
              </w:rPr>
            </w:pPr>
            <w:r w:rsidRPr="005063A8">
              <w:rPr>
                <w:rFonts w:ascii="Times New Roman" w:hAnsi="Times New Roman" w:cs="Times New Roman"/>
              </w:rPr>
              <w:t>基金管理人</w:t>
            </w:r>
          </w:p>
        </w:tc>
        <w:tc>
          <w:tcPr>
            <w:tcW w:w="6521" w:type="dxa"/>
            <w:vAlign w:val="center"/>
          </w:tcPr>
          <w:p w:rsidR="00ED6988" w:rsidRDefault="00ED6988" w:rsidP="00ED6988">
            <w:r>
              <w:rPr>
                <w:rFonts w:hint="eastAsia"/>
              </w:rPr>
              <w:t>泰达宏利基金管理有限公司</w:t>
            </w:r>
          </w:p>
        </w:tc>
      </w:tr>
      <w:tr w:rsidR="00ED6988" w:rsidRPr="005063A8" w:rsidTr="00454DBC">
        <w:tc>
          <w:tcPr>
            <w:tcW w:w="2933" w:type="dxa"/>
            <w:vAlign w:val="center"/>
          </w:tcPr>
          <w:p w:rsidR="00ED6988" w:rsidRPr="005063A8" w:rsidRDefault="00ED6988" w:rsidP="00ED6988">
            <w:pPr>
              <w:spacing w:line="276" w:lineRule="auto"/>
              <w:ind w:left="0" w:firstLine="0"/>
              <w:jc w:val="both"/>
              <w:rPr>
                <w:rFonts w:ascii="Times New Roman" w:hAnsi="Times New Roman" w:cs="Times New Roman"/>
              </w:rPr>
            </w:pPr>
            <w:r w:rsidRPr="005063A8">
              <w:rPr>
                <w:rFonts w:ascii="Times New Roman" w:hAnsi="Times New Roman" w:cs="Times New Roman"/>
              </w:rPr>
              <w:t>基金托管人</w:t>
            </w:r>
          </w:p>
        </w:tc>
        <w:tc>
          <w:tcPr>
            <w:tcW w:w="6521" w:type="dxa"/>
            <w:vAlign w:val="center"/>
          </w:tcPr>
          <w:p w:rsidR="00ED6988" w:rsidRDefault="0035409D" w:rsidP="00ED6988">
            <w:r>
              <w:rPr>
                <w:rFonts w:hint="eastAsia"/>
              </w:rPr>
              <w:t>华夏</w:t>
            </w:r>
            <w:r w:rsidR="00ED6988">
              <w:rPr>
                <w:rFonts w:hint="eastAsia"/>
              </w:rPr>
              <w:t>银行股份有限公司</w:t>
            </w:r>
          </w:p>
        </w:tc>
      </w:tr>
      <w:tr w:rsidR="00FF1519" w:rsidRPr="005063A8" w:rsidTr="00454DBC">
        <w:tc>
          <w:tcPr>
            <w:tcW w:w="2933" w:type="dxa"/>
            <w:vAlign w:val="center"/>
          </w:tcPr>
          <w:p w:rsidR="00FF1519" w:rsidRPr="005063A8" w:rsidRDefault="00FF1519" w:rsidP="00097E65">
            <w:pPr>
              <w:spacing w:line="276" w:lineRule="auto"/>
              <w:ind w:left="0" w:firstLine="0"/>
              <w:jc w:val="both"/>
              <w:rPr>
                <w:rFonts w:ascii="Times New Roman" w:hAnsi="Times New Roman" w:cs="Times New Roman"/>
              </w:rPr>
            </w:pPr>
            <w:r w:rsidRPr="005063A8">
              <w:rPr>
                <w:rFonts w:ascii="Times New Roman" w:hAnsi="Times New Roman" w:cs="Times New Roman"/>
              </w:rPr>
              <w:t>最后运作日</w:t>
            </w:r>
          </w:p>
        </w:tc>
        <w:tc>
          <w:tcPr>
            <w:tcW w:w="6521" w:type="dxa"/>
            <w:vAlign w:val="center"/>
          </w:tcPr>
          <w:p w:rsidR="00FF1519" w:rsidRPr="005063A8" w:rsidRDefault="000C044C" w:rsidP="000C044C">
            <w:pPr>
              <w:spacing w:line="276" w:lineRule="auto"/>
              <w:ind w:left="0" w:firstLine="0"/>
              <w:jc w:val="both"/>
              <w:rPr>
                <w:rFonts w:ascii="Times New Roman" w:hAnsi="Times New Roman" w:cs="Times New Roman"/>
              </w:rPr>
            </w:pPr>
            <w:r>
              <w:rPr>
                <w:rFonts w:ascii="Times New Roman" w:hAnsi="Times New Roman" w:cs="Times New Roman" w:hint="eastAsia"/>
              </w:rPr>
              <w:t>2022</w:t>
            </w:r>
            <w:r w:rsidR="00FF1519" w:rsidRPr="005063A8">
              <w:rPr>
                <w:rFonts w:ascii="Times New Roman" w:hAnsi="Times New Roman" w:cs="Times New Roman"/>
              </w:rPr>
              <w:t>年</w:t>
            </w:r>
            <w:r w:rsidR="005628B5">
              <w:rPr>
                <w:rFonts w:ascii="Times New Roman" w:hAnsi="Times New Roman" w:cs="Times New Roman"/>
              </w:rPr>
              <w:t>1</w:t>
            </w:r>
            <w:r w:rsidR="0035409D">
              <w:rPr>
                <w:rFonts w:ascii="Times New Roman" w:hAnsi="Times New Roman" w:cs="Times New Roman"/>
              </w:rPr>
              <w:t>2</w:t>
            </w:r>
            <w:r w:rsidR="00FF1519" w:rsidRPr="005063A8">
              <w:rPr>
                <w:rFonts w:ascii="Times New Roman" w:hAnsi="Times New Roman" w:cs="Times New Roman"/>
              </w:rPr>
              <w:t>月</w:t>
            </w:r>
            <w:r w:rsidR="0035409D">
              <w:rPr>
                <w:rFonts w:ascii="Times New Roman" w:hAnsi="Times New Roman" w:cs="Times New Roman"/>
              </w:rPr>
              <w:t>8</w:t>
            </w:r>
            <w:r w:rsidR="00FF1519" w:rsidRPr="005063A8">
              <w:rPr>
                <w:rFonts w:ascii="Times New Roman" w:hAnsi="Times New Roman" w:cs="Times New Roman"/>
              </w:rPr>
              <w:t>日</w:t>
            </w:r>
          </w:p>
        </w:tc>
      </w:tr>
      <w:tr w:rsidR="00FF1519" w:rsidRPr="005063A8" w:rsidTr="00454DBC">
        <w:tc>
          <w:tcPr>
            <w:tcW w:w="2933" w:type="dxa"/>
            <w:vAlign w:val="center"/>
          </w:tcPr>
          <w:p w:rsidR="00FF1519" w:rsidRPr="005063A8" w:rsidRDefault="00FF1519" w:rsidP="00097E65">
            <w:pPr>
              <w:spacing w:line="276" w:lineRule="auto"/>
              <w:ind w:left="0" w:firstLine="0"/>
              <w:jc w:val="both"/>
              <w:rPr>
                <w:rFonts w:ascii="Times New Roman" w:hAnsi="Times New Roman" w:cs="Times New Roman"/>
                <w:szCs w:val="24"/>
              </w:rPr>
            </w:pPr>
            <w:r w:rsidRPr="005063A8">
              <w:rPr>
                <w:rFonts w:ascii="Times New Roman" w:hAnsi="Times New Roman" w:cs="Times New Roman"/>
                <w:szCs w:val="24"/>
              </w:rPr>
              <w:t>最后运作日基金份额总额</w:t>
            </w:r>
          </w:p>
        </w:tc>
        <w:tc>
          <w:tcPr>
            <w:tcW w:w="6521" w:type="dxa"/>
            <w:vAlign w:val="center"/>
          </w:tcPr>
          <w:p w:rsidR="00FF1519" w:rsidRPr="00773903" w:rsidRDefault="00773903" w:rsidP="002A1E13">
            <w:pPr>
              <w:spacing w:after="0" w:line="240" w:lineRule="auto"/>
              <w:ind w:left="0" w:firstLine="0"/>
              <w:jc w:val="both"/>
              <w:rPr>
                <w:rFonts w:cs="Times New Roman"/>
                <w:color w:val="auto"/>
                <w:szCs w:val="24"/>
              </w:rPr>
            </w:pPr>
            <w:r w:rsidRPr="003A4095">
              <w:rPr>
                <w:rFonts w:cs="Times New Roman" w:hint="eastAsia"/>
                <w:color w:val="auto"/>
                <w:szCs w:val="24"/>
              </w:rPr>
              <w:t>10,363,736.42</w:t>
            </w:r>
            <w:r w:rsidR="00FF1519" w:rsidRPr="003A4095">
              <w:rPr>
                <w:rFonts w:cs="Times New Roman"/>
                <w:color w:val="auto"/>
                <w:szCs w:val="24"/>
              </w:rPr>
              <w:t>份</w:t>
            </w:r>
          </w:p>
        </w:tc>
      </w:tr>
      <w:tr w:rsidR="00ED6988" w:rsidRPr="005063A8" w:rsidTr="00454DBC">
        <w:tc>
          <w:tcPr>
            <w:tcW w:w="2933" w:type="dxa"/>
            <w:vAlign w:val="center"/>
          </w:tcPr>
          <w:p w:rsidR="00ED6988" w:rsidRPr="00EC39B5" w:rsidRDefault="00ED6988" w:rsidP="00ED6988">
            <w:pPr>
              <w:spacing w:line="276" w:lineRule="auto"/>
              <w:ind w:left="0" w:firstLine="0"/>
              <w:jc w:val="both"/>
              <w:rPr>
                <w:rFonts w:ascii="Times New Roman" w:hAnsi="Times New Roman" w:cs="Times New Roman"/>
                <w:szCs w:val="24"/>
              </w:rPr>
            </w:pPr>
            <w:r w:rsidRPr="00EC39B5">
              <w:rPr>
                <w:rFonts w:ascii="Times New Roman" w:hAnsi="Times New Roman" w:cs="Times New Roman" w:hint="eastAsia"/>
                <w:szCs w:val="24"/>
              </w:rPr>
              <w:t>投资目标</w:t>
            </w:r>
          </w:p>
        </w:tc>
        <w:tc>
          <w:tcPr>
            <w:tcW w:w="6521" w:type="dxa"/>
            <w:vAlign w:val="center"/>
          </w:tcPr>
          <w:p w:rsidR="00ED6988" w:rsidRPr="005E2D42" w:rsidRDefault="00115D9B" w:rsidP="00DA35B2">
            <w:r w:rsidRPr="00115D9B">
              <w:rPr>
                <w:rFonts w:hint="eastAsia"/>
              </w:rPr>
              <w:t>在有效控制风险的基础上，通过主动管理，力争创造高于业绩比较基准的投资收益。</w:t>
            </w:r>
          </w:p>
        </w:tc>
      </w:tr>
      <w:tr w:rsidR="00ED6988" w:rsidRPr="005063A8" w:rsidTr="005628B5">
        <w:trPr>
          <w:trHeight w:val="804"/>
        </w:trPr>
        <w:tc>
          <w:tcPr>
            <w:tcW w:w="2933" w:type="dxa"/>
            <w:vAlign w:val="center"/>
          </w:tcPr>
          <w:p w:rsidR="00ED6988" w:rsidRPr="00EC39B5" w:rsidRDefault="00ED6988" w:rsidP="00ED6988">
            <w:pPr>
              <w:spacing w:line="276" w:lineRule="auto"/>
              <w:ind w:left="0" w:firstLine="0"/>
              <w:jc w:val="both"/>
              <w:rPr>
                <w:rFonts w:ascii="Times New Roman" w:hAnsi="Times New Roman" w:cs="Times New Roman"/>
                <w:szCs w:val="24"/>
              </w:rPr>
            </w:pPr>
            <w:r w:rsidRPr="00EC39B5">
              <w:rPr>
                <w:rFonts w:ascii="Times New Roman" w:hAnsi="Times New Roman" w:cs="Times New Roman" w:hint="eastAsia"/>
                <w:szCs w:val="24"/>
              </w:rPr>
              <w:t>投资策略</w:t>
            </w:r>
          </w:p>
        </w:tc>
        <w:tc>
          <w:tcPr>
            <w:tcW w:w="6521" w:type="dxa"/>
            <w:vAlign w:val="center"/>
          </w:tcPr>
          <w:p w:rsidR="00ED6988" w:rsidRPr="00D4348A" w:rsidRDefault="00115D9B" w:rsidP="00ED6988">
            <w:r w:rsidRPr="00115D9B">
              <w:rPr>
                <w:rFonts w:hint="eastAsia"/>
              </w:rPr>
              <w:t>本基金管理人充分发挥自身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投资价值的个券。同时，本基金深度关注股票市场的运行状况与相应风险收益特征，在严格控制基金资产运作风险的基础上，把握投资机会。</w:t>
            </w:r>
          </w:p>
        </w:tc>
      </w:tr>
      <w:tr w:rsidR="00ED6988" w:rsidRPr="005063A8" w:rsidTr="00454DBC">
        <w:tc>
          <w:tcPr>
            <w:tcW w:w="2933" w:type="dxa"/>
            <w:vAlign w:val="center"/>
          </w:tcPr>
          <w:p w:rsidR="00ED6988" w:rsidRPr="00EC39B5" w:rsidRDefault="00ED6988" w:rsidP="00ED6988">
            <w:pPr>
              <w:spacing w:line="276" w:lineRule="auto"/>
              <w:ind w:left="0" w:firstLine="0"/>
              <w:jc w:val="both"/>
              <w:rPr>
                <w:rFonts w:ascii="Times New Roman" w:hAnsi="Times New Roman" w:cs="Times New Roman"/>
                <w:szCs w:val="24"/>
              </w:rPr>
            </w:pPr>
            <w:r w:rsidRPr="00EC39B5">
              <w:rPr>
                <w:rFonts w:ascii="Times New Roman" w:hAnsi="Times New Roman" w:cs="Times New Roman" w:hint="eastAsia"/>
                <w:szCs w:val="24"/>
              </w:rPr>
              <w:t>业绩比较基准</w:t>
            </w:r>
          </w:p>
        </w:tc>
        <w:tc>
          <w:tcPr>
            <w:tcW w:w="6521" w:type="dxa"/>
            <w:vAlign w:val="center"/>
          </w:tcPr>
          <w:p w:rsidR="00ED6988" w:rsidRPr="005E2D42" w:rsidRDefault="00115D9B" w:rsidP="00ED6988">
            <w:r w:rsidRPr="00115D9B">
              <w:rPr>
                <w:rFonts w:hint="eastAsia"/>
              </w:rPr>
              <w:t>中债总财富总指数</w:t>
            </w:r>
            <w:r w:rsidRPr="00115D9B">
              <w:t>+2%</w:t>
            </w:r>
          </w:p>
        </w:tc>
      </w:tr>
      <w:tr w:rsidR="00ED6988" w:rsidRPr="005063A8" w:rsidTr="00454DBC">
        <w:tc>
          <w:tcPr>
            <w:tcW w:w="2933" w:type="dxa"/>
            <w:vAlign w:val="center"/>
          </w:tcPr>
          <w:p w:rsidR="00ED6988" w:rsidRPr="00EC39B5" w:rsidRDefault="00ED6988" w:rsidP="00ED6988">
            <w:pPr>
              <w:spacing w:line="276" w:lineRule="auto"/>
              <w:ind w:left="0" w:firstLine="0"/>
              <w:jc w:val="both"/>
              <w:rPr>
                <w:rFonts w:ascii="Times New Roman" w:hAnsi="Times New Roman" w:cs="Times New Roman"/>
                <w:szCs w:val="24"/>
              </w:rPr>
            </w:pPr>
            <w:r w:rsidRPr="00EC39B5">
              <w:rPr>
                <w:rFonts w:ascii="Times New Roman" w:hAnsi="Times New Roman" w:cs="Times New Roman" w:hint="eastAsia"/>
                <w:szCs w:val="24"/>
              </w:rPr>
              <w:t>风险收益特征</w:t>
            </w:r>
          </w:p>
        </w:tc>
        <w:tc>
          <w:tcPr>
            <w:tcW w:w="6521" w:type="dxa"/>
            <w:vAlign w:val="center"/>
          </w:tcPr>
          <w:p w:rsidR="00ED6988" w:rsidRPr="00D4348A" w:rsidRDefault="00115D9B" w:rsidP="00115D9B">
            <w:r>
              <w:rPr>
                <w:rFonts w:hint="eastAsia"/>
              </w:rPr>
              <w:t>本基金为混合型基金，在证券投资基金中属于较高风险的品种，其长期平均风险和预期收益率低于股票型基金，高于债券型基金、货币市场基金。</w:t>
            </w:r>
          </w:p>
        </w:tc>
      </w:tr>
    </w:tbl>
    <w:p w:rsidR="00B86DEE" w:rsidRPr="005063A8" w:rsidRDefault="00B86DEE" w:rsidP="00026FA1">
      <w:pPr>
        <w:spacing w:after="0" w:line="360" w:lineRule="auto"/>
        <w:ind w:left="0" w:firstLineChars="200" w:firstLine="480"/>
        <w:rPr>
          <w:rFonts w:ascii="Times New Roman" w:hAnsi="Times New Roman" w:cs="Times New Roman"/>
        </w:rPr>
      </w:pPr>
    </w:p>
    <w:p w:rsidR="00B86DEE" w:rsidRPr="005063A8" w:rsidRDefault="00B86DEE" w:rsidP="00026FA1">
      <w:pPr>
        <w:spacing w:after="0" w:line="360" w:lineRule="auto"/>
        <w:ind w:left="0" w:firstLineChars="200" w:firstLine="480"/>
        <w:rPr>
          <w:rFonts w:ascii="Times New Roman" w:hAnsi="Times New Roman" w:cs="Times New Roman"/>
        </w:rPr>
      </w:pPr>
    </w:p>
    <w:p w:rsidR="00B86DEE" w:rsidRPr="005063A8" w:rsidRDefault="00B86DEE" w:rsidP="00B86DEE">
      <w:pPr>
        <w:pStyle w:val="1"/>
        <w:ind w:left="10" w:right="62"/>
        <w:rPr>
          <w:rFonts w:ascii="Times New Roman" w:hAnsi="Times New Roman" w:cs="Times New Roman"/>
        </w:rPr>
      </w:pPr>
      <w:bookmarkStart w:id="7" w:name="_Toc12457"/>
      <w:bookmarkStart w:id="8" w:name="_Toc122679851"/>
      <w:bookmarkStart w:id="9" w:name="_Toc123313455"/>
      <w:r w:rsidRPr="005063A8">
        <w:rPr>
          <w:rFonts w:ascii="Times New Roman" w:hAnsi="Times New Roman" w:cs="Times New Roman"/>
        </w:rPr>
        <w:t>二、基金运作情况</w:t>
      </w:r>
      <w:bookmarkEnd w:id="7"/>
      <w:bookmarkEnd w:id="8"/>
      <w:bookmarkEnd w:id="9"/>
    </w:p>
    <w:p w:rsidR="00BC1DFD" w:rsidRDefault="00B86DEE" w:rsidP="004A70AB">
      <w:pPr>
        <w:spacing w:line="360" w:lineRule="auto"/>
        <w:ind w:firstLineChars="200" w:firstLine="480"/>
        <w:jc w:val="both"/>
        <w:rPr>
          <w:rFonts w:ascii="Times New Roman" w:hAnsi="Times New Roman" w:cs="Times New Roman"/>
        </w:rPr>
      </w:pPr>
      <w:r w:rsidRPr="005063A8">
        <w:rPr>
          <w:rFonts w:ascii="Times New Roman" w:hAnsi="Times New Roman" w:cs="Times New Roman"/>
        </w:rPr>
        <w:t>本基金经中国证监会</w:t>
      </w:r>
      <w:r w:rsidR="007530C5" w:rsidRPr="005063A8">
        <w:rPr>
          <w:rFonts w:ascii="Times New Roman" w:hAnsi="Times New Roman" w:cs="Times New Roman"/>
        </w:rPr>
        <w:t>证监许可</w:t>
      </w:r>
      <w:r w:rsidR="0043383A">
        <w:rPr>
          <w:rFonts w:ascii="Times New Roman" w:hAnsi="Times New Roman" w:cs="Times New Roman" w:hint="eastAsia"/>
        </w:rPr>
        <w:t>【</w:t>
      </w:r>
      <w:r w:rsidR="0043383A">
        <w:rPr>
          <w:rFonts w:ascii="Times New Roman" w:hAnsi="Times New Roman" w:cs="Times New Roman" w:hint="eastAsia"/>
        </w:rPr>
        <w:t>201</w:t>
      </w:r>
      <w:r w:rsidR="0035409D">
        <w:rPr>
          <w:rFonts w:ascii="Times New Roman" w:hAnsi="Times New Roman" w:cs="Times New Roman"/>
        </w:rPr>
        <w:t>4</w:t>
      </w:r>
      <w:r w:rsidR="0043383A">
        <w:rPr>
          <w:rFonts w:ascii="Times New Roman" w:hAnsi="Times New Roman" w:cs="Times New Roman" w:hint="eastAsia"/>
        </w:rPr>
        <w:t>】</w:t>
      </w:r>
      <w:r w:rsidR="0035409D">
        <w:rPr>
          <w:rFonts w:ascii="Times New Roman" w:hAnsi="Times New Roman" w:cs="Times New Roman"/>
        </w:rPr>
        <w:t>249</w:t>
      </w:r>
      <w:r w:rsidR="0043383A">
        <w:rPr>
          <w:rFonts w:ascii="Times New Roman" w:hAnsi="Times New Roman" w:cs="Times New Roman" w:hint="eastAsia"/>
        </w:rPr>
        <w:t>号</w:t>
      </w:r>
      <w:r w:rsidRPr="005063A8">
        <w:rPr>
          <w:rFonts w:ascii="Times New Roman" w:hAnsi="Times New Roman" w:cs="Times New Roman"/>
        </w:rPr>
        <w:t>《关于</w:t>
      </w:r>
      <w:r w:rsidR="004354E2">
        <w:rPr>
          <w:rFonts w:ascii="Times New Roman" w:hAnsi="Times New Roman" w:cs="Times New Roman" w:hint="eastAsia"/>
        </w:rPr>
        <w:t>核准</w:t>
      </w:r>
      <w:r w:rsidR="00424D7A">
        <w:rPr>
          <w:rFonts w:ascii="Times New Roman" w:hAnsi="Times New Roman" w:cs="Times New Roman" w:hint="eastAsia"/>
        </w:rPr>
        <w:t>泰达宏利创盈灵活配置混合型证券投资基</w:t>
      </w:r>
      <w:r w:rsidR="00424D7A" w:rsidRPr="004A70AB">
        <w:rPr>
          <w:rFonts w:ascii="Times New Roman" w:hAnsi="Times New Roman" w:cs="Times New Roman" w:hint="eastAsia"/>
        </w:rPr>
        <w:t>金</w:t>
      </w:r>
      <w:r w:rsidR="0087108E">
        <w:rPr>
          <w:rFonts w:ascii="Times New Roman" w:hAnsi="Times New Roman" w:cs="Times New Roman" w:hint="eastAsia"/>
        </w:rPr>
        <w:t>募集</w:t>
      </w:r>
      <w:r w:rsidRPr="004A70AB">
        <w:rPr>
          <w:rFonts w:ascii="Times New Roman" w:hAnsi="Times New Roman" w:cs="Times New Roman"/>
        </w:rPr>
        <w:t>的批复》</w:t>
      </w:r>
      <w:r w:rsidR="00FC5707" w:rsidRPr="004A70AB">
        <w:rPr>
          <w:rFonts w:ascii="Times New Roman" w:hAnsi="Times New Roman" w:cs="Times New Roman" w:hint="eastAsia"/>
        </w:rPr>
        <w:t>准予</w:t>
      </w:r>
      <w:r w:rsidRPr="004A70AB">
        <w:rPr>
          <w:rFonts w:ascii="Times New Roman" w:hAnsi="Times New Roman" w:cs="Times New Roman"/>
        </w:rPr>
        <w:t>注册，</w:t>
      </w:r>
      <w:r w:rsidR="00F37008" w:rsidRPr="003464CF">
        <w:rPr>
          <w:rFonts w:ascii="Times New Roman" w:hAnsi="Times New Roman" w:cs="Times New Roman"/>
        </w:rPr>
        <w:t>并获得中国证监会证券基金机构监管部关于同意延期募集备案的回函（机构部函</w:t>
      </w:r>
      <w:r w:rsidR="00F37008" w:rsidRPr="003464CF">
        <w:rPr>
          <w:rFonts w:ascii="Times New Roman" w:hAnsi="Times New Roman" w:cs="Times New Roman"/>
        </w:rPr>
        <w:t>[201</w:t>
      </w:r>
      <w:r w:rsidR="0035409D" w:rsidRPr="003464CF">
        <w:rPr>
          <w:rFonts w:ascii="Times New Roman" w:hAnsi="Times New Roman" w:cs="Times New Roman"/>
        </w:rPr>
        <w:t>5</w:t>
      </w:r>
      <w:r w:rsidR="00F37008" w:rsidRPr="003464CF">
        <w:rPr>
          <w:rFonts w:ascii="Times New Roman" w:hAnsi="Times New Roman" w:cs="Times New Roman"/>
        </w:rPr>
        <w:t>]</w:t>
      </w:r>
      <w:r w:rsidR="0035409D" w:rsidRPr="003464CF">
        <w:rPr>
          <w:rFonts w:ascii="Times New Roman" w:hAnsi="Times New Roman" w:cs="Times New Roman"/>
        </w:rPr>
        <w:t>64</w:t>
      </w:r>
      <w:r w:rsidR="00F37008" w:rsidRPr="003464CF">
        <w:rPr>
          <w:rFonts w:ascii="Times New Roman" w:hAnsi="Times New Roman" w:cs="Times New Roman"/>
        </w:rPr>
        <w:t>6</w:t>
      </w:r>
      <w:r w:rsidR="00F37008" w:rsidRPr="003464CF">
        <w:rPr>
          <w:rFonts w:ascii="Times New Roman" w:hAnsi="Times New Roman" w:cs="Times New Roman"/>
        </w:rPr>
        <w:t>号）</w:t>
      </w:r>
      <w:r w:rsidR="00F37008" w:rsidRPr="004A70AB">
        <w:rPr>
          <w:rFonts w:ascii="Times New Roman" w:hAnsi="Times New Roman" w:cs="Times New Roman"/>
        </w:rPr>
        <w:t>。</w:t>
      </w:r>
      <w:r w:rsidRPr="004A70AB">
        <w:rPr>
          <w:rFonts w:ascii="Times New Roman" w:hAnsi="Times New Roman" w:cs="Times New Roman"/>
        </w:rPr>
        <w:t>由泰达宏利基金管理有限公司于</w:t>
      </w:r>
      <w:r w:rsidR="00EC39B5" w:rsidRPr="003464CF">
        <w:rPr>
          <w:rFonts w:ascii="Times New Roman" w:hAnsi="Times New Roman" w:cs="Times New Roman"/>
        </w:rPr>
        <w:t>201</w:t>
      </w:r>
      <w:r w:rsidR="004A70AB" w:rsidRPr="003464CF">
        <w:rPr>
          <w:rFonts w:ascii="Times New Roman" w:hAnsi="Times New Roman" w:cs="Times New Roman"/>
        </w:rPr>
        <w:t>5</w:t>
      </w:r>
      <w:r w:rsidR="00EC39B5" w:rsidRPr="003464CF">
        <w:rPr>
          <w:rFonts w:ascii="Times New Roman" w:hAnsi="Times New Roman" w:cs="Times New Roman" w:hint="eastAsia"/>
        </w:rPr>
        <w:t>年</w:t>
      </w:r>
      <w:r w:rsidR="004A70AB" w:rsidRPr="003464CF">
        <w:rPr>
          <w:rFonts w:ascii="Times New Roman" w:hAnsi="Times New Roman" w:cs="Times New Roman"/>
        </w:rPr>
        <w:t>3</w:t>
      </w:r>
      <w:r w:rsidR="0088204F" w:rsidRPr="003464CF">
        <w:rPr>
          <w:rFonts w:ascii="Times New Roman" w:hAnsi="Times New Roman" w:cs="Times New Roman" w:hint="eastAsia"/>
        </w:rPr>
        <w:t>月</w:t>
      </w:r>
      <w:r w:rsidR="004A70AB" w:rsidRPr="003464CF">
        <w:rPr>
          <w:rFonts w:ascii="Times New Roman" w:hAnsi="Times New Roman" w:cs="Times New Roman"/>
        </w:rPr>
        <w:t>23</w:t>
      </w:r>
      <w:r w:rsidR="0088204F" w:rsidRPr="003464CF">
        <w:rPr>
          <w:rFonts w:ascii="Times New Roman" w:hAnsi="Times New Roman" w:cs="Times New Roman" w:hint="eastAsia"/>
        </w:rPr>
        <w:t>日起至</w:t>
      </w:r>
      <w:r w:rsidR="00EC39B5" w:rsidRPr="003464CF">
        <w:rPr>
          <w:rFonts w:ascii="Times New Roman" w:hAnsi="Times New Roman" w:cs="Times New Roman"/>
        </w:rPr>
        <w:t>201</w:t>
      </w:r>
      <w:r w:rsidR="004A70AB" w:rsidRPr="003464CF">
        <w:rPr>
          <w:rFonts w:ascii="Times New Roman" w:hAnsi="Times New Roman" w:cs="Times New Roman"/>
        </w:rPr>
        <w:t>5</w:t>
      </w:r>
      <w:r w:rsidR="00EC39B5" w:rsidRPr="003464CF">
        <w:rPr>
          <w:rFonts w:ascii="Times New Roman" w:hAnsi="Times New Roman" w:cs="Times New Roman" w:hint="eastAsia"/>
        </w:rPr>
        <w:t>年</w:t>
      </w:r>
      <w:r w:rsidR="004A70AB" w:rsidRPr="003464CF">
        <w:rPr>
          <w:rFonts w:ascii="Times New Roman" w:hAnsi="Times New Roman" w:cs="Times New Roman"/>
        </w:rPr>
        <w:t>3</w:t>
      </w:r>
      <w:r w:rsidR="0088204F" w:rsidRPr="003464CF">
        <w:rPr>
          <w:rFonts w:ascii="Times New Roman" w:hAnsi="Times New Roman" w:cs="Times New Roman" w:hint="eastAsia"/>
        </w:rPr>
        <w:t>月</w:t>
      </w:r>
      <w:r w:rsidR="00454DBC" w:rsidRPr="003464CF">
        <w:rPr>
          <w:rFonts w:ascii="Times New Roman" w:hAnsi="Times New Roman" w:cs="Times New Roman"/>
        </w:rPr>
        <w:t>2</w:t>
      </w:r>
      <w:r w:rsidR="00F37008" w:rsidRPr="003464CF">
        <w:rPr>
          <w:rFonts w:ascii="Times New Roman" w:hAnsi="Times New Roman" w:cs="Times New Roman"/>
        </w:rPr>
        <w:t>6</w:t>
      </w:r>
      <w:r w:rsidR="0088204F" w:rsidRPr="003464CF">
        <w:rPr>
          <w:rFonts w:ascii="Times New Roman" w:hAnsi="Times New Roman" w:cs="Times New Roman" w:hint="eastAsia"/>
        </w:rPr>
        <w:t>日</w:t>
      </w:r>
      <w:r w:rsidR="007E4829" w:rsidRPr="004A70AB">
        <w:rPr>
          <w:rFonts w:ascii="Times New Roman" w:hAnsi="Times New Roman" w:cs="Times New Roman" w:hint="eastAsia"/>
        </w:rPr>
        <w:t>止</w:t>
      </w:r>
      <w:r w:rsidR="00AC5152" w:rsidRPr="004A70AB">
        <w:rPr>
          <w:rFonts w:ascii="Times New Roman" w:hAnsi="Times New Roman" w:cs="Times New Roman" w:hint="eastAsia"/>
        </w:rPr>
        <w:t>期间</w:t>
      </w:r>
      <w:r w:rsidRPr="004A70AB">
        <w:rPr>
          <w:rFonts w:ascii="Times New Roman" w:hAnsi="Times New Roman" w:cs="Times New Roman"/>
        </w:rPr>
        <w:t>向社会公开发行募集，基金合同于</w:t>
      </w:r>
      <w:r w:rsidRPr="004A70AB">
        <w:rPr>
          <w:rFonts w:ascii="Times New Roman" w:hAnsi="Times New Roman" w:cs="Times New Roman"/>
        </w:rPr>
        <w:t>20</w:t>
      </w:r>
      <w:r w:rsidR="00C13424" w:rsidRPr="004A70AB">
        <w:rPr>
          <w:rFonts w:ascii="Times New Roman" w:hAnsi="Times New Roman" w:cs="Times New Roman"/>
        </w:rPr>
        <w:t>1</w:t>
      </w:r>
      <w:r w:rsidR="004A70AB" w:rsidRPr="004A70AB">
        <w:rPr>
          <w:rFonts w:ascii="Times New Roman" w:hAnsi="Times New Roman" w:cs="Times New Roman"/>
        </w:rPr>
        <w:t>5</w:t>
      </w:r>
      <w:r w:rsidRPr="004A70AB">
        <w:rPr>
          <w:rFonts w:ascii="Times New Roman" w:hAnsi="Times New Roman" w:cs="Times New Roman"/>
        </w:rPr>
        <w:t>年</w:t>
      </w:r>
      <w:r w:rsidR="004A70AB" w:rsidRPr="004A70AB">
        <w:rPr>
          <w:rFonts w:ascii="Times New Roman" w:hAnsi="Times New Roman" w:cs="Times New Roman"/>
        </w:rPr>
        <w:t>3</w:t>
      </w:r>
      <w:r w:rsidRPr="004A70AB">
        <w:rPr>
          <w:rFonts w:ascii="Times New Roman" w:hAnsi="Times New Roman" w:cs="Times New Roman"/>
        </w:rPr>
        <w:t>月</w:t>
      </w:r>
      <w:r w:rsidR="00F37008" w:rsidRPr="004A70AB">
        <w:rPr>
          <w:rFonts w:ascii="Times New Roman" w:hAnsi="Times New Roman" w:cs="Times New Roman"/>
        </w:rPr>
        <w:t>30</w:t>
      </w:r>
      <w:r w:rsidR="002F0661" w:rsidRPr="004A70AB">
        <w:rPr>
          <w:rFonts w:ascii="Times New Roman" w:hAnsi="Times New Roman" w:cs="Times New Roman"/>
        </w:rPr>
        <w:t>日</w:t>
      </w:r>
      <w:r w:rsidRPr="004A70AB">
        <w:rPr>
          <w:rFonts w:ascii="Times New Roman" w:hAnsi="Times New Roman" w:cs="Times New Roman"/>
        </w:rPr>
        <w:t>生效，募集规模为</w:t>
      </w:r>
      <w:r w:rsidR="004A70AB" w:rsidRPr="004A70AB">
        <w:rPr>
          <w:rFonts w:ascii="Times New Roman" w:hAnsi="Times New Roman" w:cs="Times New Roman" w:hint="eastAsia"/>
        </w:rPr>
        <w:t>1</w:t>
      </w:r>
      <w:r w:rsidR="004A70AB" w:rsidRPr="004A70AB">
        <w:rPr>
          <w:rFonts w:ascii="Times New Roman" w:hAnsi="Times New Roman" w:cs="Times New Roman"/>
        </w:rPr>
        <w:t>,091</w:t>
      </w:r>
      <w:r w:rsidR="00F37008" w:rsidRPr="004A70AB">
        <w:rPr>
          <w:rFonts w:ascii="Times New Roman" w:hAnsi="Times New Roman" w:cs="Times New Roman"/>
        </w:rPr>
        <w:t>,</w:t>
      </w:r>
      <w:r w:rsidR="002F2DB1">
        <w:rPr>
          <w:rFonts w:ascii="Times New Roman" w:hAnsi="Times New Roman" w:cs="Times New Roman"/>
        </w:rPr>
        <w:t>430</w:t>
      </w:r>
      <w:r w:rsidR="00F37008" w:rsidRPr="004A70AB">
        <w:rPr>
          <w:rFonts w:ascii="Times New Roman" w:hAnsi="Times New Roman" w:cs="Times New Roman"/>
        </w:rPr>
        <w:t>,</w:t>
      </w:r>
      <w:r w:rsidR="002F2DB1">
        <w:rPr>
          <w:rFonts w:ascii="Times New Roman" w:hAnsi="Times New Roman" w:cs="Times New Roman"/>
        </w:rPr>
        <w:t>981</w:t>
      </w:r>
      <w:r w:rsidR="00F37008" w:rsidRPr="004A70AB">
        <w:rPr>
          <w:rFonts w:ascii="Times New Roman" w:hAnsi="Times New Roman" w:cs="Times New Roman"/>
        </w:rPr>
        <w:t>.</w:t>
      </w:r>
      <w:r w:rsidR="004A70AB" w:rsidRPr="004A70AB">
        <w:rPr>
          <w:rFonts w:ascii="Times New Roman" w:hAnsi="Times New Roman" w:cs="Times New Roman"/>
        </w:rPr>
        <w:t>6</w:t>
      </w:r>
      <w:r w:rsidR="002F2DB1">
        <w:rPr>
          <w:rFonts w:ascii="Times New Roman" w:hAnsi="Times New Roman" w:cs="Times New Roman"/>
        </w:rPr>
        <w:t>5</w:t>
      </w:r>
      <w:r w:rsidRPr="004A70AB">
        <w:rPr>
          <w:rFonts w:ascii="Times New Roman" w:hAnsi="Times New Roman" w:cs="Times New Roman"/>
        </w:rPr>
        <w:t>份基金份额。自</w:t>
      </w:r>
      <w:r w:rsidRPr="004A70AB">
        <w:rPr>
          <w:rFonts w:ascii="Times New Roman" w:hAnsi="Times New Roman" w:cs="Times New Roman"/>
        </w:rPr>
        <w:t>20</w:t>
      </w:r>
      <w:r w:rsidR="00FF1519" w:rsidRPr="004A70AB">
        <w:rPr>
          <w:rFonts w:ascii="Times New Roman" w:hAnsi="Times New Roman" w:cs="Times New Roman"/>
        </w:rPr>
        <w:t>1</w:t>
      </w:r>
      <w:r w:rsidR="004A70AB" w:rsidRPr="004A70AB">
        <w:rPr>
          <w:rFonts w:ascii="Times New Roman" w:hAnsi="Times New Roman" w:cs="Times New Roman"/>
        </w:rPr>
        <w:t>5</w:t>
      </w:r>
      <w:r w:rsidRPr="004A70AB">
        <w:rPr>
          <w:rFonts w:ascii="Times New Roman" w:hAnsi="Times New Roman" w:cs="Times New Roman"/>
        </w:rPr>
        <w:t>年</w:t>
      </w:r>
      <w:r w:rsidR="004A70AB" w:rsidRPr="004A70AB">
        <w:rPr>
          <w:rFonts w:ascii="Times New Roman" w:hAnsi="Times New Roman" w:cs="Times New Roman"/>
        </w:rPr>
        <w:t>3</w:t>
      </w:r>
      <w:r w:rsidRPr="004A70AB">
        <w:rPr>
          <w:rFonts w:ascii="Times New Roman" w:hAnsi="Times New Roman" w:cs="Times New Roman"/>
        </w:rPr>
        <w:t>月</w:t>
      </w:r>
      <w:r w:rsidR="00F37008" w:rsidRPr="004A70AB">
        <w:rPr>
          <w:rFonts w:ascii="Times New Roman" w:hAnsi="Times New Roman" w:cs="Times New Roman"/>
        </w:rPr>
        <w:t>30</w:t>
      </w:r>
      <w:r w:rsidRPr="004A70AB">
        <w:rPr>
          <w:rFonts w:ascii="Times New Roman" w:hAnsi="Times New Roman" w:cs="Times New Roman"/>
        </w:rPr>
        <w:t>日至</w:t>
      </w:r>
      <w:r w:rsidR="0043383A" w:rsidRPr="004A70AB">
        <w:rPr>
          <w:rFonts w:ascii="Times New Roman" w:hAnsi="Times New Roman" w:cs="Times New Roman" w:hint="eastAsia"/>
        </w:rPr>
        <w:t>2022</w:t>
      </w:r>
      <w:r w:rsidRPr="004A70AB">
        <w:rPr>
          <w:rFonts w:ascii="Times New Roman" w:hAnsi="Times New Roman" w:cs="Times New Roman"/>
        </w:rPr>
        <w:t>年</w:t>
      </w:r>
      <w:r w:rsidR="00F37008" w:rsidRPr="004A70AB">
        <w:rPr>
          <w:rFonts w:ascii="Times New Roman" w:hAnsi="Times New Roman" w:cs="Times New Roman"/>
        </w:rPr>
        <w:t>1</w:t>
      </w:r>
      <w:r w:rsidR="004A70AB" w:rsidRPr="004A70AB">
        <w:rPr>
          <w:rFonts w:ascii="Times New Roman" w:hAnsi="Times New Roman" w:cs="Times New Roman"/>
        </w:rPr>
        <w:t>2</w:t>
      </w:r>
      <w:r w:rsidRPr="004A70AB">
        <w:rPr>
          <w:rFonts w:ascii="Times New Roman" w:hAnsi="Times New Roman" w:cs="Times New Roman"/>
        </w:rPr>
        <w:t>月</w:t>
      </w:r>
      <w:r w:rsidR="004A70AB" w:rsidRPr="004A70AB">
        <w:rPr>
          <w:rFonts w:ascii="Times New Roman" w:hAnsi="Times New Roman" w:cs="Times New Roman"/>
        </w:rPr>
        <w:t>8</w:t>
      </w:r>
      <w:r w:rsidRPr="004A70AB">
        <w:rPr>
          <w:rFonts w:ascii="Times New Roman" w:hAnsi="Times New Roman" w:cs="Times New Roman"/>
        </w:rPr>
        <w:t>日期间，本基</w:t>
      </w:r>
      <w:r w:rsidRPr="005063A8">
        <w:rPr>
          <w:rFonts w:ascii="Times New Roman" w:hAnsi="Times New Roman" w:cs="Times New Roman"/>
        </w:rPr>
        <w:t>金按基金合同正常运作。根据《中华人民共和国证券投资基金法》、《公开募集证券投资基金运作管理办法》</w:t>
      </w:r>
      <w:r w:rsidR="00BD5957">
        <w:rPr>
          <w:rFonts w:ascii="Times New Roman" w:hAnsi="Times New Roman" w:cs="Times New Roman" w:hint="eastAsia"/>
        </w:rPr>
        <w:t>和</w:t>
      </w:r>
      <w:r w:rsidRPr="005063A8">
        <w:rPr>
          <w:rFonts w:ascii="Times New Roman" w:hAnsi="Times New Roman" w:cs="Times New Roman"/>
        </w:rPr>
        <w:t>《</w:t>
      </w:r>
      <w:r w:rsidR="00424D7A">
        <w:rPr>
          <w:rFonts w:ascii="Times New Roman" w:hAnsi="Times New Roman" w:cs="Times New Roman" w:hint="eastAsia"/>
        </w:rPr>
        <w:t>泰达宏利创盈灵活配置混合型证券投资基金</w:t>
      </w:r>
      <w:r w:rsidRPr="005063A8">
        <w:rPr>
          <w:rFonts w:ascii="Times New Roman" w:hAnsi="Times New Roman" w:cs="Times New Roman"/>
        </w:rPr>
        <w:t>基金合同》等有关规定</w:t>
      </w:r>
      <w:r w:rsidR="004354E2">
        <w:rPr>
          <w:rFonts w:ascii="Times New Roman" w:hAnsi="Times New Roman" w:cs="Times New Roman" w:hint="eastAsia"/>
        </w:rPr>
        <w:t>：</w:t>
      </w:r>
    </w:p>
    <w:p w:rsidR="004A70AB" w:rsidRPr="00424D7A" w:rsidRDefault="005E2D42" w:rsidP="004A70AB">
      <w:pPr>
        <w:spacing w:line="360" w:lineRule="auto"/>
        <w:ind w:firstLineChars="200" w:firstLine="480"/>
        <w:jc w:val="both"/>
        <w:rPr>
          <w:rFonts w:ascii="Times New Roman" w:hAnsi="Times New Roman" w:cs="Times New Roman"/>
        </w:rPr>
      </w:pPr>
      <w:r w:rsidRPr="005E2D42">
        <w:rPr>
          <w:rFonts w:ascii="Times New Roman" w:hAnsi="Times New Roman" w:cs="Times New Roman" w:hint="eastAsia"/>
        </w:rPr>
        <w:t>“</w:t>
      </w:r>
      <w:r w:rsidR="004A70AB" w:rsidRPr="00424D7A">
        <w:rPr>
          <w:rFonts w:ascii="Times New Roman" w:hAnsi="Times New Roman" w:cs="Times New Roman" w:hint="eastAsia"/>
        </w:rPr>
        <w:t>《基金合同》生效后，基金份额持有人数量不满</w:t>
      </w:r>
      <w:r w:rsidR="004A70AB" w:rsidRPr="00424D7A">
        <w:rPr>
          <w:rFonts w:ascii="Times New Roman" w:hAnsi="Times New Roman" w:cs="Times New Roman"/>
        </w:rPr>
        <w:t>200</w:t>
      </w:r>
      <w:r w:rsidR="004A70AB" w:rsidRPr="00424D7A">
        <w:rPr>
          <w:rFonts w:ascii="Times New Roman" w:hAnsi="Times New Roman" w:cs="Times New Roman"/>
        </w:rPr>
        <w:t>人或者基金资产净值低于</w:t>
      </w:r>
      <w:r w:rsidR="004A70AB" w:rsidRPr="00424D7A">
        <w:rPr>
          <w:rFonts w:ascii="Times New Roman" w:hAnsi="Times New Roman" w:cs="Times New Roman"/>
        </w:rPr>
        <w:t>5000</w:t>
      </w:r>
      <w:r w:rsidR="004A70AB" w:rsidRPr="00424D7A">
        <w:rPr>
          <w:rFonts w:ascii="Times New Roman" w:hAnsi="Times New Roman" w:cs="Times New Roman"/>
        </w:rPr>
        <w:t>万元的，基金管理人应当及时报告中国证监会；连续</w:t>
      </w:r>
      <w:r w:rsidR="004A70AB" w:rsidRPr="00424D7A">
        <w:rPr>
          <w:rFonts w:ascii="Times New Roman" w:hAnsi="Times New Roman" w:cs="Times New Roman"/>
        </w:rPr>
        <w:t>20</w:t>
      </w:r>
      <w:r w:rsidR="004A70AB" w:rsidRPr="00424D7A">
        <w:rPr>
          <w:rFonts w:ascii="Times New Roman" w:hAnsi="Times New Roman" w:cs="Times New Roman"/>
        </w:rPr>
        <w:t>个工作日出现前述情形的，基金管理人应当向中国证监会说明原因并报送解决方案。</w:t>
      </w:r>
    </w:p>
    <w:p w:rsidR="004A70AB" w:rsidRPr="00424D7A" w:rsidRDefault="004A70AB" w:rsidP="004A70AB">
      <w:pPr>
        <w:spacing w:line="360" w:lineRule="auto"/>
        <w:ind w:firstLineChars="200" w:firstLine="480"/>
        <w:jc w:val="both"/>
        <w:rPr>
          <w:rFonts w:ascii="Times New Roman" w:hAnsi="Times New Roman" w:cs="Times New Roman"/>
        </w:rPr>
      </w:pPr>
      <w:r w:rsidRPr="00424D7A">
        <w:rPr>
          <w:rFonts w:ascii="Times New Roman" w:hAnsi="Times New Roman" w:cs="Times New Roman" w:hint="eastAsia"/>
        </w:rPr>
        <w:t>自基金合同生效日起，出现如下情形之一的，经与基金托管人协商一致后，基金合同应当终止并根据基金合同第十九部分的约定进行基金财产清算，而无需召开基金份额持有人大会：</w:t>
      </w:r>
    </w:p>
    <w:p w:rsidR="004A70AB" w:rsidRPr="00424D7A" w:rsidRDefault="004A70AB" w:rsidP="004A70AB">
      <w:pPr>
        <w:spacing w:line="360" w:lineRule="auto"/>
        <w:ind w:firstLineChars="200" w:firstLine="480"/>
        <w:jc w:val="both"/>
        <w:rPr>
          <w:rFonts w:ascii="Times New Roman" w:hAnsi="Times New Roman" w:cs="Times New Roman"/>
        </w:rPr>
      </w:pPr>
      <w:r w:rsidRPr="00424D7A">
        <w:rPr>
          <w:rFonts w:ascii="Times New Roman" w:hAnsi="Times New Roman" w:cs="Times New Roman"/>
        </w:rPr>
        <w:t>1</w:t>
      </w:r>
      <w:r w:rsidRPr="00424D7A">
        <w:rPr>
          <w:rFonts w:ascii="Times New Roman" w:hAnsi="Times New Roman" w:cs="Times New Roman"/>
        </w:rPr>
        <w:t>、连续</w:t>
      </w:r>
      <w:r w:rsidRPr="00424D7A">
        <w:rPr>
          <w:rFonts w:ascii="Times New Roman" w:hAnsi="Times New Roman" w:cs="Times New Roman"/>
        </w:rPr>
        <w:t>60</w:t>
      </w:r>
      <w:r w:rsidRPr="00424D7A">
        <w:rPr>
          <w:rFonts w:ascii="Times New Roman" w:hAnsi="Times New Roman" w:cs="Times New Roman"/>
        </w:rPr>
        <w:t>个工作日，基金资产净值低于</w:t>
      </w:r>
      <w:r w:rsidRPr="00424D7A">
        <w:rPr>
          <w:rFonts w:ascii="Times New Roman" w:hAnsi="Times New Roman" w:cs="Times New Roman"/>
        </w:rPr>
        <w:t>5000</w:t>
      </w:r>
      <w:r w:rsidRPr="00424D7A">
        <w:rPr>
          <w:rFonts w:ascii="Times New Roman" w:hAnsi="Times New Roman" w:cs="Times New Roman"/>
        </w:rPr>
        <w:t>万元；</w:t>
      </w:r>
    </w:p>
    <w:p w:rsidR="004A70AB" w:rsidRPr="00424D7A" w:rsidRDefault="004A70AB" w:rsidP="004A70AB">
      <w:pPr>
        <w:spacing w:line="360" w:lineRule="auto"/>
        <w:ind w:firstLineChars="200" w:firstLine="480"/>
        <w:jc w:val="both"/>
        <w:rPr>
          <w:rFonts w:ascii="Times New Roman" w:hAnsi="Times New Roman" w:cs="Times New Roman"/>
        </w:rPr>
      </w:pPr>
      <w:r w:rsidRPr="00424D7A">
        <w:rPr>
          <w:rFonts w:ascii="Times New Roman" w:hAnsi="Times New Roman" w:cs="Times New Roman"/>
        </w:rPr>
        <w:t>2</w:t>
      </w:r>
      <w:r w:rsidRPr="00424D7A">
        <w:rPr>
          <w:rFonts w:ascii="Times New Roman" w:hAnsi="Times New Roman" w:cs="Times New Roman"/>
        </w:rPr>
        <w:t>、连续</w:t>
      </w:r>
      <w:r w:rsidRPr="00424D7A">
        <w:rPr>
          <w:rFonts w:ascii="Times New Roman" w:hAnsi="Times New Roman" w:cs="Times New Roman"/>
        </w:rPr>
        <w:t>60</w:t>
      </w:r>
      <w:r w:rsidRPr="00424D7A">
        <w:rPr>
          <w:rFonts w:ascii="Times New Roman" w:hAnsi="Times New Roman" w:cs="Times New Roman"/>
        </w:rPr>
        <w:t>个工作日，有效申请确认后基金份额持有人数量少于</w:t>
      </w:r>
      <w:r w:rsidRPr="00424D7A">
        <w:rPr>
          <w:rFonts w:ascii="Times New Roman" w:hAnsi="Times New Roman" w:cs="Times New Roman"/>
        </w:rPr>
        <w:t>200</w:t>
      </w:r>
      <w:r w:rsidRPr="00424D7A">
        <w:rPr>
          <w:rFonts w:ascii="Times New Roman" w:hAnsi="Times New Roman" w:cs="Times New Roman"/>
        </w:rPr>
        <w:t>人。</w:t>
      </w:r>
    </w:p>
    <w:p w:rsidR="004A70AB" w:rsidRDefault="004A70AB" w:rsidP="004A70AB">
      <w:pPr>
        <w:spacing w:after="0" w:line="360" w:lineRule="auto"/>
        <w:ind w:left="0" w:firstLineChars="200" w:firstLine="480"/>
        <w:jc w:val="both"/>
        <w:rPr>
          <w:rFonts w:ascii="Times New Roman" w:hAnsi="Times New Roman" w:cs="Times New Roman"/>
        </w:rPr>
      </w:pPr>
      <w:r w:rsidRPr="00424D7A">
        <w:rPr>
          <w:rFonts w:ascii="Times New Roman" w:hAnsi="Times New Roman" w:cs="Times New Roman" w:hint="eastAsia"/>
        </w:rPr>
        <w:t>法律法规另有规定时，从其规定。</w:t>
      </w:r>
      <w:r w:rsidR="00D4348A">
        <w:rPr>
          <w:rFonts w:ascii="Times New Roman" w:hAnsi="Times New Roman" w:cs="Times New Roman" w:hint="eastAsia"/>
        </w:rPr>
        <w:t>”</w:t>
      </w:r>
    </w:p>
    <w:p w:rsidR="00B86DEE" w:rsidRPr="005063A8" w:rsidRDefault="004C5DCA" w:rsidP="004A70AB">
      <w:pPr>
        <w:spacing w:after="0" w:line="360" w:lineRule="auto"/>
        <w:ind w:left="0" w:firstLineChars="200" w:firstLine="480"/>
        <w:jc w:val="both"/>
        <w:rPr>
          <w:rFonts w:ascii="Times New Roman" w:hAnsi="Times New Roman" w:cs="Times New Roman"/>
        </w:rPr>
      </w:pPr>
      <w:r w:rsidRPr="004C5DCA">
        <w:rPr>
          <w:rFonts w:ascii="Times New Roman" w:hAnsi="Times New Roman" w:cs="Times New Roman"/>
        </w:rPr>
        <w:t>本基金基金资产净值</w:t>
      </w:r>
      <w:r w:rsidRPr="00BD5957">
        <w:rPr>
          <w:rFonts w:ascii="Times New Roman" w:hAnsi="Times New Roman" w:cs="Times New Roman"/>
        </w:rPr>
        <w:t>自</w:t>
      </w:r>
      <w:r w:rsidR="00370EEA" w:rsidRPr="00BD5957">
        <w:rPr>
          <w:rFonts w:ascii="Times New Roman" w:hAnsi="Times New Roman" w:cs="Times New Roman"/>
        </w:rPr>
        <w:t>202</w:t>
      </w:r>
      <w:r w:rsidR="00DA483A">
        <w:rPr>
          <w:rFonts w:ascii="Times New Roman" w:hAnsi="Times New Roman" w:cs="Times New Roman"/>
        </w:rPr>
        <w:t>2</w:t>
      </w:r>
      <w:r w:rsidR="00370EEA" w:rsidRPr="00BD5957">
        <w:rPr>
          <w:rFonts w:ascii="Times New Roman" w:hAnsi="Times New Roman" w:cs="Times New Roman"/>
        </w:rPr>
        <w:t>年</w:t>
      </w:r>
      <w:r w:rsidR="004A70AB">
        <w:rPr>
          <w:rFonts w:ascii="Times New Roman" w:hAnsi="Times New Roman" w:cs="Times New Roman"/>
        </w:rPr>
        <w:t>9</w:t>
      </w:r>
      <w:r w:rsidRPr="00BD5957">
        <w:rPr>
          <w:rFonts w:ascii="Times New Roman" w:hAnsi="Times New Roman" w:cs="Times New Roman"/>
        </w:rPr>
        <w:t>月</w:t>
      </w:r>
      <w:r w:rsidR="004A70AB">
        <w:rPr>
          <w:rFonts w:ascii="Times New Roman" w:hAnsi="Times New Roman" w:cs="Times New Roman"/>
        </w:rPr>
        <w:t>8</w:t>
      </w:r>
      <w:r w:rsidRPr="00BD5957">
        <w:rPr>
          <w:rFonts w:ascii="Times New Roman" w:hAnsi="Times New Roman" w:cs="Times New Roman"/>
        </w:rPr>
        <w:t>日起低于</w:t>
      </w:r>
      <w:r w:rsidRPr="00BD5957">
        <w:rPr>
          <w:rFonts w:ascii="Times New Roman" w:hAnsi="Times New Roman" w:cs="Times New Roman"/>
        </w:rPr>
        <w:t>5000</w:t>
      </w:r>
      <w:r w:rsidRPr="00BD5957">
        <w:rPr>
          <w:rFonts w:ascii="Times New Roman" w:hAnsi="Times New Roman" w:cs="Times New Roman"/>
        </w:rPr>
        <w:t>万元</w:t>
      </w:r>
      <w:r w:rsidRPr="004C5DCA">
        <w:rPr>
          <w:rFonts w:ascii="Times New Roman" w:hAnsi="Times New Roman" w:cs="Times New Roman"/>
        </w:rPr>
        <w:t>，截至</w:t>
      </w:r>
      <w:r w:rsidR="0043383A">
        <w:rPr>
          <w:rFonts w:ascii="Times New Roman" w:hAnsi="Times New Roman" w:cs="Times New Roman" w:hint="eastAsia"/>
        </w:rPr>
        <w:t>2022</w:t>
      </w:r>
      <w:r w:rsidRPr="004C5DCA">
        <w:rPr>
          <w:rFonts w:ascii="Times New Roman" w:hAnsi="Times New Roman" w:cs="Times New Roman"/>
        </w:rPr>
        <w:t>年</w:t>
      </w:r>
      <w:r w:rsidR="004A70AB">
        <w:rPr>
          <w:rFonts w:ascii="Times New Roman" w:hAnsi="Times New Roman" w:cs="Times New Roman"/>
        </w:rPr>
        <w:t>12</w:t>
      </w:r>
      <w:r w:rsidRPr="004C5DCA">
        <w:rPr>
          <w:rFonts w:ascii="Times New Roman" w:hAnsi="Times New Roman" w:cs="Times New Roman"/>
        </w:rPr>
        <w:t>月</w:t>
      </w:r>
      <w:r w:rsidR="004A70AB">
        <w:rPr>
          <w:rFonts w:ascii="Times New Roman" w:hAnsi="Times New Roman" w:cs="Times New Roman"/>
        </w:rPr>
        <w:t>8</w:t>
      </w:r>
      <w:r w:rsidRPr="004C5DCA">
        <w:rPr>
          <w:rFonts w:ascii="Times New Roman" w:hAnsi="Times New Roman" w:cs="Times New Roman"/>
        </w:rPr>
        <w:t>日日终，已出现连续</w:t>
      </w:r>
      <w:r w:rsidRPr="004C5DCA">
        <w:rPr>
          <w:rFonts w:ascii="Times New Roman" w:hAnsi="Times New Roman" w:cs="Times New Roman"/>
        </w:rPr>
        <w:t>60</w:t>
      </w:r>
      <w:r w:rsidRPr="004C5DCA">
        <w:rPr>
          <w:rFonts w:ascii="Times New Roman" w:hAnsi="Times New Roman" w:cs="Times New Roman"/>
        </w:rPr>
        <w:t>个工作日基金资产净值低于</w:t>
      </w:r>
      <w:r w:rsidRPr="004C5DCA">
        <w:rPr>
          <w:rFonts w:ascii="Times New Roman" w:hAnsi="Times New Roman" w:cs="Times New Roman"/>
        </w:rPr>
        <w:t>5000</w:t>
      </w:r>
      <w:r w:rsidRPr="004C5DCA">
        <w:rPr>
          <w:rFonts w:ascii="Times New Roman" w:hAnsi="Times New Roman" w:cs="Times New Roman"/>
        </w:rPr>
        <w:t>万元的情形。</w:t>
      </w:r>
    </w:p>
    <w:p w:rsidR="00B86DEE" w:rsidRPr="005063A8" w:rsidRDefault="00B86DEE" w:rsidP="005E2D42">
      <w:pPr>
        <w:spacing w:after="0" w:line="360" w:lineRule="auto"/>
        <w:ind w:left="0" w:firstLineChars="200" w:firstLine="480"/>
        <w:jc w:val="both"/>
        <w:rPr>
          <w:rFonts w:ascii="Times New Roman" w:hAnsi="Times New Roman" w:cs="Times New Roman"/>
        </w:rPr>
      </w:pPr>
      <w:r w:rsidRPr="005063A8">
        <w:rPr>
          <w:rFonts w:ascii="Times New Roman" w:hAnsi="Times New Roman" w:cs="Times New Roman"/>
        </w:rPr>
        <w:t>为更好维护基金份额持有人的利益，按照《中华人民共和国证券投资基金法》、《公开募集证券投资基金运作管理办法》和《</w:t>
      </w:r>
      <w:r w:rsidR="00424D7A">
        <w:rPr>
          <w:rFonts w:ascii="Times New Roman" w:hAnsi="Times New Roman" w:cs="Times New Roman" w:hint="eastAsia"/>
        </w:rPr>
        <w:t>泰达宏利创盈灵活配置混合型证券投资基金</w:t>
      </w:r>
      <w:r w:rsidRPr="005063A8">
        <w:rPr>
          <w:rFonts w:ascii="Times New Roman" w:hAnsi="Times New Roman" w:cs="Times New Roman"/>
        </w:rPr>
        <w:t>基金合同》的有关规定终止本基金《基金合同》并进行基金财产清算，无需召开基金份额持有人大会。本基金自</w:t>
      </w:r>
      <w:r w:rsidR="0043383A">
        <w:rPr>
          <w:rFonts w:ascii="Times New Roman" w:hAnsi="Times New Roman" w:cs="Times New Roman" w:hint="eastAsia"/>
        </w:rPr>
        <w:t>2022</w:t>
      </w:r>
      <w:r w:rsidRPr="005063A8">
        <w:rPr>
          <w:rFonts w:ascii="Times New Roman" w:hAnsi="Times New Roman" w:cs="Times New Roman"/>
        </w:rPr>
        <w:t>年</w:t>
      </w:r>
      <w:r w:rsidR="00F37008">
        <w:rPr>
          <w:rFonts w:ascii="Times New Roman" w:hAnsi="Times New Roman" w:cs="Times New Roman"/>
        </w:rPr>
        <w:t>1</w:t>
      </w:r>
      <w:r w:rsidR="004A70AB">
        <w:rPr>
          <w:rFonts w:ascii="Times New Roman" w:hAnsi="Times New Roman" w:cs="Times New Roman"/>
        </w:rPr>
        <w:t>2</w:t>
      </w:r>
      <w:r w:rsidRPr="005063A8">
        <w:rPr>
          <w:rFonts w:ascii="Times New Roman" w:hAnsi="Times New Roman" w:cs="Times New Roman"/>
        </w:rPr>
        <w:t>月</w:t>
      </w:r>
      <w:r w:rsidR="004A70AB">
        <w:rPr>
          <w:rFonts w:ascii="Times New Roman" w:hAnsi="Times New Roman" w:cs="Times New Roman"/>
        </w:rPr>
        <w:t>9</w:t>
      </w:r>
      <w:r w:rsidRPr="005063A8">
        <w:rPr>
          <w:rFonts w:ascii="Times New Roman" w:hAnsi="Times New Roman" w:cs="Times New Roman"/>
        </w:rPr>
        <w:t>日起进入清算期。</w:t>
      </w:r>
    </w:p>
    <w:p w:rsidR="00B9036F" w:rsidRPr="005063A8" w:rsidRDefault="00B9036F" w:rsidP="00026FA1">
      <w:pPr>
        <w:spacing w:after="0" w:line="360" w:lineRule="auto"/>
        <w:ind w:left="0" w:firstLineChars="200" w:firstLine="480"/>
        <w:rPr>
          <w:rFonts w:ascii="Times New Roman" w:hAnsi="Times New Roman" w:cs="Times New Roman"/>
        </w:rPr>
      </w:pPr>
    </w:p>
    <w:p w:rsidR="00583F83" w:rsidRPr="005063A8" w:rsidRDefault="00E22DB5">
      <w:pPr>
        <w:pStyle w:val="1"/>
        <w:spacing w:after="435"/>
        <w:ind w:left="10" w:right="62"/>
        <w:rPr>
          <w:rFonts w:ascii="Times New Roman" w:hAnsi="Times New Roman" w:cs="Times New Roman"/>
        </w:rPr>
      </w:pPr>
      <w:bookmarkStart w:id="10" w:name="_Toc122679852"/>
      <w:bookmarkStart w:id="11" w:name="_Toc123313456"/>
      <w:r w:rsidRPr="005063A8">
        <w:rPr>
          <w:rFonts w:ascii="Times New Roman" w:hAnsi="Times New Roman" w:cs="Times New Roman"/>
        </w:rPr>
        <w:t>三、财务会计报告</w:t>
      </w:r>
      <w:bookmarkEnd w:id="10"/>
      <w:bookmarkEnd w:id="11"/>
    </w:p>
    <w:p w:rsidR="00583F83" w:rsidRPr="005063A8" w:rsidRDefault="00E22DB5" w:rsidP="00D36DDC">
      <w:pPr>
        <w:spacing w:after="0" w:line="360" w:lineRule="auto"/>
        <w:ind w:hangingChars="4"/>
        <w:jc w:val="both"/>
        <w:rPr>
          <w:rFonts w:ascii="Times New Roman" w:hAnsi="Times New Roman" w:cs="Times New Roman"/>
        </w:rPr>
      </w:pPr>
      <w:r w:rsidRPr="005063A8">
        <w:rPr>
          <w:rFonts w:ascii="Times New Roman" w:hAnsi="Times New Roman" w:cs="Times New Roman"/>
        </w:rPr>
        <w:t>基金最后运作日资产负债表（已经审计）</w:t>
      </w:r>
    </w:p>
    <w:p w:rsidR="00B9036F" w:rsidRPr="005063A8" w:rsidRDefault="00E22DB5" w:rsidP="00D36DDC">
      <w:pPr>
        <w:spacing w:after="0" w:line="360" w:lineRule="auto"/>
        <w:ind w:hangingChars="4"/>
        <w:jc w:val="both"/>
        <w:rPr>
          <w:rFonts w:ascii="Times New Roman" w:hAnsi="Times New Roman" w:cs="Times New Roman"/>
        </w:rPr>
      </w:pPr>
      <w:r w:rsidRPr="005063A8">
        <w:rPr>
          <w:rFonts w:ascii="Times New Roman" w:hAnsi="Times New Roman" w:cs="Times New Roman"/>
        </w:rPr>
        <w:t>会计主体：</w:t>
      </w:r>
      <w:r w:rsidR="00424D7A">
        <w:rPr>
          <w:rFonts w:ascii="Times New Roman" w:hAnsi="Times New Roman" w:cs="Times New Roman" w:hint="eastAsia"/>
        </w:rPr>
        <w:t>泰达宏利创盈灵活配置混合型证券投资基金</w:t>
      </w:r>
    </w:p>
    <w:p w:rsidR="00A22B50" w:rsidRPr="005063A8" w:rsidRDefault="00A22B50" w:rsidP="00D36DDC">
      <w:pPr>
        <w:spacing w:after="0" w:line="360" w:lineRule="auto"/>
        <w:ind w:hangingChars="4"/>
        <w:jc w:val="both"/>
        <w:rPr>
          <w:rFonts w:ascii="Times New Roman" w:hAnsi="Times New Roman" w:cs="Times New Roman"/>
        </w:rPr>
      </w:pPr>
      <w:r w:rsidRPr="005063A8">
        <w:rPr>
          <w:rFonts w:ascii="Times New Roman" w:hAnsi="Times New Roman" w:cs="Times New Roman"/>
        </w:rPr>
        <w:t>报告截止日：</w:t>
      </w:r>
      <w:r w:rsidR="0043383A">
        <w:rPr>
          <w:rFonts w:ascii="Times New Roman" w:hAnsi="Times New Roman" w:cs="Times New Roman" w:hint="eastAsia"/>
        </w:rPr>
        <w:t>2022</w:t>
      </w:r>
      <w:r w:rsidRPr="005063A8">
        <w:rPr>
          <w:rFonts w:ascii="Times New Roman" w:hAnsi="Times New Roman" w:cs="Times New Roman"/>
        </w:rPr>
        <w:t>年</w:t>
      </w:r>
      <w:r w:rsidR="00F37008">
        <w:rPr>
          <w:rFonts w:ascii="Times New Roman" w:hAnsi="Times New Roman" w:cs="Times New Roman"/>
        </w:rPr>
        <w:t>1</w:t>
      </w:r>
      <w:r w:rsidR="004A70AB">
        <w:rPr>
          <w:rFonts w:ascii="Times New Roman" w:hAnsi="Times New Roman" w:cs="Times New Roman"/>
        </w:rPr>
        <w:t>2</w:t>
      </w:r>
      <w:r w:rsidRPr="005063A8">
        <w:rPr>
          <w:rFonts w:ascii="Times New Roman" w:hAnsi="Times New Roman" w:cs="Times New Roman"/>
        </w:rPr>
        <w:t>月</w:t>
      </w:r>
      <w:r w:rsidR="004A70AB">
        <w:rPr>
          <w:rFonts w:ascii="Times New Roman" w:hAnsi="Times New Roman" w:cs="Times New Roman"/>
        </w:rPr>
        <w:t>8</w:t>
      </w:r>
      <w:r w:rsidRPr="005063A8">
        <w:rPr>
          <w:rFonts w:ascii="Times New Roman" w:hAnsi="Times New Roman" w:cs="Times New Roman"/>
        </w:rPr>
        <w:t>日（基金最后运作日）</w:t>
      </w:r>
    </w:p>
    <w:p w:rsidR="00583F83" w:rsidRPr="005063A8" w:rsidRDefault="00E22DB5" w:rsidP="00D36DDC">
      <w:pPr>
        <w:spacing w:after="0" w:line="360" w:lineRule="auto"/>
        <w:ind w:left="11" w:right="204" w:hanging="11"/>
        <w:jc w:val="right"/>
        <w:rPr>
          <w:rFonts w:ascii="Times New Roman" w:hAnsi="Times New Roman" w:cs="Times New Roman"/>
          <w:sz w:val="28"/>
          <w:szCs w:val="24"/>
        </w:rPr>
      </w:pPr>
      <w:r w:rsidRPr="005063A8">
        <w:rPr>
          <w:rFonts w:ascii="Times New Roman" w:hAnsi="Times New Roman" w:cs="Times New Roman"/>
          <w:szCs w:val="24"/>
        </w:rPr>
        <w:t>单位：人民币元</w:t>
      </w:r>
    </w:p>
    <w:tbl>
      <w:tblPr>
        <w:tblStyle w:val="TableGrid"/>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4"/>
        <w:gridCol w:w="3682"/>
      </w:tblGrid>
      <w:tr w:rsidR="000E5CB2" w:rsidRPr="005063A8" w:rsidTr="000E5CB2">
        <w:trPr>
          <w:trHeight w:val="285"/>
        </w:trPr>
        <w:tc>
          <w:tcPr>
            <w:tcW w:w="5244" w:type="dxa"/>
            <w:vMerge w:val="restart"/>
            <w:hideMark/>
          </w:tcPr>
          <w:p w:rsidR="000E5CB2" w:rsidRPr="005063A8" w:rsidRDefault="000E5CB2" w:rsidP="000E5CB2">
            <w:pPr>
              <w:spacing w:after="0" w:line="240" w:lineRule="auto"/>
              <w:ind w:left="0" w:firstLine="0"/>
              <w:jc w:val="center"/>
              <w:rPr>
                <w:rFonts w:ascii="Times New Roman" w:hAnsi="Times New Roman" w:cs="Times New Roman"/>
                <w:b/>
                <w:bCs/>
                <w:kern w:val="0"/>
                <w:szCs w:val="24"/>
              </w:rPr>
            </w:pPr>
            <w:r w:rsidRPr="005063A8">
              <w:rPr>
                <w:rFonts w:ascii="Times New Roman" w:hAnsi="Times New Roman" w:cs="Times New Roman"/>
                <w:b/>
                <w:bCs/>
                <w:kern w:val="0"/>
                <w:szCs w:val="24"/>
              </w:rPr>
              <w:t>资产</w:t>
            </w:r>
          </w:p>
        </w:tc>
        <w:tc>
          <w:tcPr>
            <w:tcW w:w="3682" w:type="dxa"/>
            <w:hideMark/>
          </w:tcPr>
          <w:p w:rsidR="000E5CB2" w:rsidRPr="005063A8" w:rsidRDefault="000E5CB2" w:rsidP="000E5CB2">
            <w:pPr>
              <w:spacing w:after="0" w:line="240" w:lineRule="auto"/>
              <w:ind w:left="0" w:firstLine="0"/>
              <w:jc w:val="center"/>
              <w:rPr>
                <w:rFonts w:ascii="Times New Roman" w:hAnsi="Times New Roman" w:cs="Times New Roman"/>
                <w:b/>
                <w:bCs/>
                <w:kern w:val="0"/>
                <w:szCs w:val="24"/>
              </w:rPr>
            </w:pPr>
            <w:r w:rsidRPr="005063A8">
              <w:rPr>
                <w:rFonts w:ascii="Times New Roman" w:hAnsi="Times New Roman" w:cs="Times New Roman"/>
                <w:b/>
                <w:bCs/>
                <w:kern w:val="0"/>
                <w:szCs w:val="24"/>
              </w:rPr>
              <w:t>最后运作日</w:t>
            </w:r>
          </w:p>
        </w:tc>
      </w:tr>
      <w:tr w:rsidR="000E5CB2" w:rsidRPr="005063A8" w:rsidTr="000E5CB2">
        <w:trPr>
          <w:trHeight w:val="330"/>
        </w:trPr>
        <w:tc>
          <w:tcPr>
            <w:tcW w:w="5244" w:type="dxa"/>
            <w:vMerge/>
            <w:hideMark/>
          </w:tcPr>
          <w:p w:rsidR="000E5CB2" w:rsidRPr="005063A8" w:rsidRDefault="000E5CB2" w:rsidP="000E5CB2">
            <w:pPr>
              <w:spacing w:after="0" w:line="240" w:lineRule="auto"/>
              <w:ind w:left="0" w:firstLine="0"/>
              <w:rPr>
                <w:rFonts w:ascii="Times New Roman" w:hAnsi="Times New Roman" w:cs="Times New Roman"/>
                <w:b/>
                <w:bCs/>
                <w:kern w:val="0"/>
                <w:szCs w:val="24"/>
              </w:rPr>
            </w:pPr>
          </w:p>
        </w:tc>
        <w:tc>
          <w:tcPr>
            <w:tcW w:w="3682" w:type="dxa"/>
            <w:hideMark/>
          </w:tcPr>
          <w:p w:rsidR="000E5CB2" w:rsidRPr="005063A8" w:rsidRDefault="0043383A" w:rsidP="0043383A">
            <w:pPr>
              <w:spacing w:after="0" w:line="240" w:lineRule="auto"/>
              <w:ind w:left="0" w:firstLine="0"/>
              <w:jc w:val="center"/>
              <w:rPr>
                <w:rFonts w:ascii="Times New Roman" w:hAnsi="Times New Roman" w:cs="Times New Roman"/>
                <w:b/>
                <w:bCs/>
                <w:kern w:val="0"/>
                <w:szCs w:val="24"/>
              </w:rPr>
            </w:pPr>
            <w:r>
              <w:rPr>
                <w:rFonts w:ascii="Times New Roman" w:hAnsi="Times New Roman" w:cs="Times New Roman" w:hint="eastAsia"/>
                <w:b/>
                <w:bCs/>
                <w:kern w:val="0"/>
                <w:szCs w:val="24"/>
                <w:lang w:val="en-GB"/>
              </w:rPr>
              <w:t>2022</w:t>
            </w:r>
            <w:r w:rsidR="000E5CB2" w:rsidRPr="005063A8">
              <w:rPr>
                <w:rFonts w:ascii="Times New Roman" w:hAnsi="Times New Roman" w:cs="Times New Roman"/>
                <w:b/>
                <w:bCs/>
                <w:kern w:val="0"/>
                <w:szCs w:val="24"/>
                <w:lang w:val="en-GB"/>
              </w:rPr>
              <w:t>年</w:t>
            </w:r>
            <w:r w:rsidR="00F37008">
              <w:rPr>
                <w:rFonts w:ascii="Times New Roman" w:hAnsi="Times New Roman" w:cs="Times New Roman"/>
                <w:b/>
                <w:bCs/>
                <w:kern w:val="0"/>
                <w:szCs w:val="24"/>
                <w:lang w:val="en-GB"/>
              </w:rPr>
              <w:t>1</w:t>
            </w:r>
            <w:r w:rsidR="004A70AB">
              <w:rPr>
                <w:rFonts w:ascii="Times New Roman" w:hAnsi="Times New Roman" w:cs="Times New Roman"/>
                <w:b/>
                <w:bCs/>
                <w:kern w:val="0"/>
                <w:szCs w:val="24"/>
                <w:lang w:val="en-GB"/>
              </w:rPr>
              <w:t>2</w:t>
            </w:r>
            <w:r w:rsidR="000E5CB2" w:rsidRPr="005063A8">
              <w:rPr>
                <w:rFonts w:ascii="Times New Roman" w:hAnsi="Times New Roman" w:cs="Times New Roman"/>
                <w:b/>
                <w:bCs/>
                <w:kern w:val="0"/>
                <w:szCs w:val="24"/>
                <w:lang w:val="en-GB"/>
              </w:rPr>
              <w:t>月</w:t>
            </w:r>
            <w:r w:rsidR="004A70AB">
              <w:rPr>
                <w:rFonts w:ascii="Times New Roman" w:hAnsi="Times New Roman" w:cs="Times New Roman"/>
                <w:b/>
                <w:bCs/>
                <w:kern w:val="0"/>
                <w:szCs w:val="24"/>
                <w:lang w:val="en-GB"/>
              </w:rPr>
              <w:t>8</w:t>
            </w:r>
            <w:r w:rsidR="000E5CB2" w:rsidRPr="005063A8">
              <w:rPr>
                <w:rFonts w:ascii="Times New Roman" w:hAnsi="Times New Roman" w:cs="Times New Roman"/>
                <w:b/>
                <w:bCs/>
                <w:kern w:val="0"/>
                <w:szCs w:val="24"/>
                <w:lang w:val="en-GB"/>
              </w:rPr>
              <w:t>日</w:t>
            </w:r>
          </w:p>
        </w:tc>
      </w:tr>
      <w:tr w:rsidR="000C738A" w:rsidRPr="005063A8" w:rsidTr="000E5CB2">
        <w:trPr>
          <w:trHeight w:val="330"/>
        </w:trPr>
        <w:tc>
          <w:tcPr>
            <w:tcW w:w="5244" w:type="dxa"/>
            <w:hideMark/>
          </w:tcPr>
          <w:p w:rsidR="000C738A" w:rsidRPr="005063A8" w:rsidRDefault="000C738A" w:rsidP="00876A0B">
            <w:pPr>
              <w:spacing w:after="0" w:line="240" w:lineRule="auto"/>
              <w:ind w:left="0" w:firstLine="0"/>
              <w:rPr>
                <w:rFonts w:ascii="Times New Roman" w:hAnsi="Times New Roman" w:cs="Times New Roman"/>
                <w:b/>
                <w:bCs/>
                <w:kern w:val="0"/>
                <w:szCs w:val="24"/>
              </w:rPr>
            </w:pPr>
            <w:r w:rsidRPr="005063A8">
              <w:rPr>
                <w:rFonts w:ascii="Times New Roman" w:hAnsi="Times New Roman" w:cs="Times New Roman"/>
                <w:b/>
                <w:bCs/>
                <w:kern w:val="0"/>
                <w:szCs w:val="24"/>
              </w:rPr>
              <w:t>资产：</w:t>
            </w:r>
          </w:p>
        </w:tc>
        <w:tc>
          <w:tcPr>
            <w:tcW w:w="3682" w:type="dxa"/>
            <w:hideMark/>
          </w:tcPr>
          <w:p w:rsidR="000C738A" w:rsidRPr="005063A8" w:rsidRDefault="000C738A" w:rsidP="00876A0B">
            <w:pPr>
              <w:spacing w:after="0" w:line="240" w:lineRule="auto"/>
              <w:ind w:left="0" w:firstLine="0"/>
              <w:jc w:val="right"/>
              <w:rPr>
                <w:rFonts w:ascii="Times New Roman" w:hAnsi="Times New Roman" w:cs="Times New Roman"/>
                <w:kern w:val="0"/>
                <w:szCs w:val="24"/>
              </w:rPr>
            </w:pPr>
            <w:r w:rsidRPr="005063A8">
              <w:rPr>
                <w:rFonts w:ascii="Times New Roman" w:hAnsi="Times New Roman" w:cs="Times New Roman"/>
                <w:kern w:val="0"/>
                <w:szCs w:val="24"/>
                <w:lang w:val="en-GB"/>
              </w:rPr>
              <w:t xml:space="preserve">　</w:t>
            </w:r>
          </w:p>
        </w:tc>
      </w:tr>
      <w:tr w:rsidR="000C738A" w:rsidRPr="005063A8" w:rsidTr="00EE4F55">
        <w:trPr>
          <w:trHeight w:val="347"/>
        </w:trPr>
        <w:tc>
          <w:tcPr>
            <w:tcW w:w="5244" w:type="dxa"/>
            <w:hideMark/>
          </w:tcPr>
          <w:p w:rsidR="000C738A" w:rsidRPr="005063A8" w:rsidRDefault="000C738A" w:rsidP="00876A0B">
            <w:pPr>
              <w:tabs>
                <w:tab w:val="left" w:pos="5355"/>
              </w:tabs>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银行存款</w:t>
            </w:r>
            <w:r>
              <w:rPr>
                <w:rFonts w:ascii="Times New Roman" w:hAnsi="Times New Roman" w:cs="Times New Roman"/>
                <w:kern w:val="0"/>
                <w:szCs w:val="24"/>
              </w:rPr>
              <w:tab/>
            </w:r>
          </w:p>
        </w:tc>
        <w:tc>
          <w:tcPr>
            <w:tcW w:w="3682" w:type="dxa"/>
          </w:tcPr>
          <w:p w:rsidR="000C738A" w:rsidRPr="005063A8" w:rsidRDefault="00EE4F55" w:rsidP="00EE4F55">
            <w:pPr>
              <w:spacing w:after="0" w:line="240" w:lineRule="auto"/>
              <w:ind w:left="0" w:firstLine="0"/>
              <w:jc w:val="right"/>
              <w:rPr>
                <w:rFonts w:ascii="Times New Roman" w:hAnsi="Times New Roman" w:cs="Times New Roman"/>
                <w:kern w:val="0"/>
                <w:szCs w:val="24"/>
              </w:rPr>
            </w:pPr>
            <w:r w:rsidRPr="00EE4F55">
              <w:rPr>
                <w:rFonts w:ascii="Times New Roman" w:hAnsi="Times New Roman" w:cs="Times New Roman" w:hint="eastAsia"/>
                <w:kern w:val="0"/>
                <w:szCs w:val="24"/>
              </w:rPr>
              <w:t>19,187,450.16</w:t>
            </w:r>
          </w:p>
        </w:tc>
      </w:tr>
      <w:tr w:rsidR="000C738A" w:rsidRPr="005063A8" w:rsidTr="00EE4F55">
        <w:trPr>
          <w:trHeight w:val="313"/>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结算备付金</w:t>
            </w:r>
          </w:p>
        </w:tc>
        <w:tc>
          <w:tcPr>
            <w:tcW w:w="3682" w:type="dxa"/>
          </w:tcPr>
          <w:p w:rsidR="000C738A" w:rsidRPr="004739E1" w:rsidRDefault="00EE4F55" w:rsidP="00EE4F55">
            <w:pPr>
              <w:spacing w:after="0" w:line="240" w:lineRule="auto"/>
              <w:ind w:left="0" w:firstLine="0"/>
              <w:jc w:val="right"/>
              <w:rPr>
                <w:rFonts w:ascii="Times New Roman" w:hAnsi="Times New Roman" w:cs="Times New Roman"/>
                <w:kern w:val="0"/>
                <w:szCs w:val="24"/>
              </w:rPr>
            </w:pPr>
            <w:r w:rsidRPr="00EE4F55">
              <w:rPr>
                <w:rFonts w:ascii="Times New Roman" w:hAnsi="Times New Roman" w:cs="Times New Roman" w:hint="eastAsia"/>
                <w:kern w:val="0"/>
                <w:szCs w:val="24"/>
              </w:rPr>
              <w:t>6,634.21</w:t>
            </w:r>
          </w:p>
        </w:tc>
      </w:tr>
      <w:tr w:rsidR="000C738A" w:rsidRPr="004739E1" w:rsidTr="00EE4F55">
        <w:trPr>
          <w:trHeight w:val="321"/>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存出保证金</w:t>
            </w:r>
          </w:p>
        </w:tc>
        <w:tc>
          <w:tcPr>
            <w:tcW w:w="3682" w:type="dxa"/>
          </w:tcPr>
          <w:p w:rsidR="000C738A" w:rsidRPr="004739E1" w:rsidRDefault="00EE4F55" w:rsidP="00EE4F55">
            <w:pPr>
              <w:spacing w:after="0" w:line="240" w:lineRule="auto"/>
              <w:ind w:left="0" w:firstLine="0"/>
              <w:jc w:val="right"/>
              <w:rPr>
                <w:rFonts w:ascii="Times New Roman" w:hAnsi="Times New Roman" w:cs="Times New Roman"/>
                <w:kern w:val="0"/>
                <w:szCs w:val="24"/>
              </w:rPr>
            </w:pPr>
            <w:r w:rsidRPr="00EE4F55">
              <w:rPr>
                <w:rFonts w:ascii="Times New Roman" w:hAnsi="Times New Roman" w:cs="Times New Roman" w:hint="eastAsia"/>
                <w:kern w:val="0"/>
                <w:szCs w:val="24"/>
              </w:rPr>
              <w:t>59,134.30</w:t>
            </w:r>
          </w:p>
        </w:tc>
      </w:tr>
      <w:tr w:rsidR="000C738A" w:rsidRPr="005063A8"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交易性金融资产</w:t>
            </w:r>
          </w:p>
        </w:tc>
        <w:tc>
          <w:tcPr>
            <w:tcW w:w="3682" w:type="dxa"/>
          </w:tcPr>
          <w:p w:rsidR="000C738A" w:rsidRPr="005063A8" w:rsidRDefault="00960EA4" w:rsidP="00876A0B">
            <w:pPr>
              <w:spacing w:after="0" w:line="240" w:lineRule="auto"/>
              <w:ind w:left="0" w:firstLine="0"/>
              <w:jc w:val="right"/>
              <w:rPr>
                <w:rFonts w:ascii="Times New Roman" w:hAnsi="Times New Roman" w:cs="Times New Roman"/>
                <w:kern w:val="0"/>
                <w:szCs w:val="24"/>
              </w:rPr>
            </w:pPr>
            <w:r>
              <w:rPr>
                <w:rFonts w:ascii="Times New Roman" w:hAnsi="Times New Roman" w:cs="Times New Roman" w:hint="eastAsia"/>
                <w:kern w:val="0"/>
                <w:szCs w:val="24"/>
              </w:rPr>
              <w:t>-</w:t>
            </w:r>
          </w:p>
        </w:tc>
      </w:tr>
      <w:tr w:rsidR="000C738A" w:rsidRPr="005063A8"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其中：股票投资</w:t>
            </w:r>
          </w:p>
        </w:tc>
        <w:tc>
          <w:tcPr>
            <w:tcW w:w="3682" w:type="dxa"/>
          </w:tcPr>
          <w:p w:rsidR="000C738A" w:rsidRPr="005063A8" w:rsidRDefault="00960EA4" w:rsidP="00876A0B">
            <w:pPr>
              <w:spacing w:after="0" w:line="240" w:lineRule="auto"/>
              <w:ind w:left="0" w:firstLine="0"/>
              <w:jc w:val="right"/>
              <w:rPr>
                <w:rFonts w:ascii="Times New Roman" w:hAnsi="Times New Roman" w:cs="Times New Roman"/>
                <w:kern w:val="0"/>
                <w:szCs w:val="24"/>
              </w:rPr>
            </w:pPr>
            <w:r>
              <w:rPr>
                <w:rFonts w:ascii="Times New Roman" w:hAnsi="Times New Roman" w:cs="Times New Roman" w:hint="eastAsia"/>
                <w:kern w:val="0"/>
                <w:szCs w:val="24"/>
              </w:rPr>
              <w:t>-</w:t>
            </w:r>
          </w:p>
        </w:tc>
      </w:tr>
      <w:tr w:rsidR="000C738A" w:rsidRPr="005063A8"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应收证券清算款</w:t>
            </w:r>
          </w:p>
        </w:tc>
        <w:tc>
          <w:tcPr>
            <w:tcW w:w="3682" w:type="dxa"/>
          </w:tcPr>
          <w:p w:rsidR="000C738A" w:rsidRPr="00EE4F55" w:rsidRDefault="000C738A" w:rsidP="004739E1">
            <w:pPr>
              <w:spacing w:after="0" w:line="240" w:lineRule="auto"/>
              <w:ind w:left="0" w:firstLine="0"/>
              <w:jc w:val="right"/>
              <w:rPr>
                <w:rFonts w:ascii="Times New Roman" w:hAnsi="Times New Roman" w:cs="Times New Roman"/>
                <w:kern w:val="0"/>
                <w:szCs w:val="24"/>
              </w:rPr>
            </w:pPr>
          </w:p>
        </w:tc>
      </w:tr>
      <w:tr w:rsidR="000C738A" w:rsidRPr="005063A8"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应收申购款</w:t>
            </w:r>
          </w:p>
        </w:tc>
        <w:tc>
          <w:tcPr>
            <w:tcW w:w="3682" w:type="dxa"/>
          </w:tcPr>
          <w:p w:rsidR="000C738A" w:rsidRPr="00EE4F55" w:rsidRDefault="00EE4F55" w:rsidP="00EE4F55">
            <w:pPr>
              <w:spacing w:after="0" w:line="240" w:lineRule="auto"/>
              <w:ind w:left="0" w:firstLine="0"/>
              <w:jc w:val="right"/>
              <w:rPr>
                <w:rFonts w:ascii="Times New Roman" w:hAnsi="Times New Roman" w:cs="Times New Roman"/>
                <w:kern w:val="0"/>
                <w:szCs w:val="24"/>
              </w:rPr>
            </w:pPr>
            <w:r w:rsidRPr="00EE4F55">
              <w:rPr>
                <w:rFonts w:ascii="Times New Roman" w:hAnsi="Times New Roman" w:cs="Times New Roman" w:hint="eastAsia"/>
                <w:kern w:val="0"/>
                <w:szCs w:val="24"/>
              </w:rPr>
              <w:t>1,032.85</w:t>
            </w:r>
          </w:p>
        </w:tc>
      </w:tr>
      <w:tr w:rsidR="000C738A" w:rsidRPr="005063A8" w:rsidTr="00EE4F55">
        <w:trPr>
          <w:trHeight w:val="341"/>
        </w:trPr>
        <w:tc>
          <w:tcPr>
            <w:tcW w:w="5244" w:type="dxa"/>
            <w:hideMark/>
          </w:tcPr>
          <w:p w:rsidR="000C738A" w:rsidRPr="005063A8" w:rsidRDefault="000C738A" w:rsidP="00876A0B">
            <w:pPr>
              <w:spacing w:after="0" w:line="240" w:lineRule="auto"/>
              <w:ind w:left="0" w:firstLine="0"/>
              <w:rPr>
                <w:rFonts w:ascii="Times New Roman" w:hAnsi="Times New Roman" w:cs="Times New Roman"/>
                <w:b/>
                <w:bCs/>
                <w:kern w:val="0"/>
                <w:szCs w:val="24"/>
              </w:rPr>
            </w:pPr>
            <w:r w:rsidRPr="005063A8">
              <w:rPr>
                <w:rFonts w:ascii="Times New Roman" w:hAnsi="Times New Roman" w:cs="Times New Roman"/>
                <w:b/>
                <w:bCs/>
                <w:kern w:val="0"/>
                <w:szCs w:val="24"/>
              </w:rPr>
              <w:t>资产总计</w:t>
            </w:r>
          </w:p>
        </w:tc>
        <w:tc>
          <w:tcPr>
            <w:tcW w:w="3682" w:type="dxa"/>
          </w:tcPr>
          <w:p w:rsidR="00EE4F55" w:rsidRPr="00EE4F55" w:rsidRDefault="00EE4F55" w:rsidP="00EE4F55">
            <w:pPr>
              <w:spacing w:after="0" w:line="240" w:lineRule="auto"/>
              <w:ind w:left="0" w:firstLine="0"/>
              <w:jc w:val="right"/>
              <w:rPr>
                <w:rFonts w:ascii="Times New Roman" w:hAnsi="Times New Roman" w:cs="Times New Roman"/>
                <w:b/>
                <w:kern w:val="0"/>
                <w:szCs w:val="24"/>
              </w:rPr>
            </w:pPr>
            <w:r w:rsidRPr="003464CF">
              <w:rPr>
                <w:rFonts w:ascii="Times New Roman" w:hAnsi="Times New Roman" w:cs="Times New Roman" w:hint="eastAsia"/>
                <w:b/>
                <w:kern w:val="0"/>
                <w:szCs w:val="24"/>
              </w:rPr>
              <w:t>19,254,251.52</w:t>
            </w:r>
          </w:p>
          <w:p w:rsidR="000C738A" w:rsidRPr="00960EA4" w:rsidRDefault="000C738A" w:rsidP="00960EA4">
            <w:pPr>
              <w:spacing w:after="0" w:line="240" w:lineRule="auto"/>
              <w:ind w:left="0" w:firstLine="0"/>
              <w:jc w:val="right"/>
              <w:rPr>
                <w:rFonts w:cs="Arial"/>
                <w:b/>
                <w:sz w:val="18"/>
                <w:szCs w:val="18"/>
              </w:rPr>
            </w:pPr>
          </w:p>
        </w:tc>
      </w:tr>
      <w:tr w:rsidR="000C738A" w:rsidRPr="005063A8" w:rsidTr="008066A1">
        <w:trPr>
          <w:trHeight w:val="330"/>
        </w:trPr>
        <w:tc>
          <w:tcPr>
            <w:tcW w:w="5244" w:type="dxa"/>
            <w:vMerge w:val="restart"/>
            <w:hideMark/>
          </w:tcPr>
          <w:p w:rsidR="000C738A" w:rsidRPr="005063A8" w:rsidRDefault="000C738A" w:rsidP="00876A0B">
            <w:pPr>
              <w:spacing w:after="0" w:line="240" w:lineRule="auto"/>
              <w:ind w:left="0" w:firstLine="0"/>
              <w:jc w:val="center"/>
              <w:rPr>
                <w:rFonts w:ascii="Times New Roman" w:hAnsi="Times New Roman" w:cs="Times New Roman"/>
                <w:b/>
                <w:bCs/>
                <w:kern w:val="0"/>
                <w:szCs w:val="24"/>
              </w:rPr>
            </w:pPr>
            <w:r w:rsidRPr="005063A8">
              <w:rPr>
                <w:rFonts w:ascii="Times New Roman" w:hAnsi="Times New Roman" w:cs="Times New Roman"/>
                <w:b/>
                <w:bCs/>
                <w:kern w:val="0"/>
                <w:szCs w:val="24"/>
              </w:rPr>
              <w:t>负债和所有者权益</w:t>
            </w:r>
          </w:p>
        </w:tc>
        <w:tc>
          <w:tcPr>
            <w:tcW w:w="3682" w:type="dxa"/>
            <w:hideMark/>
          </w:tcPr>
          <w:p w:rsidR="000C738A" w:rsidRPr="005063A8" w:rsidRDefault="000C738A" w:rsidP="00876A0B">
            <w:pPr>
              <w:spacing w:after="0" w:line="240" w:lineRule="auto"/>
              <w:ind w:left="0" w:firstLine="0"/>
              <w:jc w:val="center"/>
              <w:rPr>
                <w:rFonts w:ascii="Times New Roman" w:hAnsi="Times New Roman" w:cs="Times New Roman"/>
                <w:b/>
                <w:bCs/>
                <w:kern w:val="0"/>
                <w:szCs w:val="24"/>
              </w:rPr>
            </w:pPr>
            <w:r w:rsidRPr="005063A8">
              <w:rPr>
                <w:rFonts w:ascii="Times New Roman" w:hAnsi="Times New Roman" w:cs="Times New Roman"/>
                <w:b/>
                <w:bCs/>
                <w:kern w:val="0"/>
                <w:szCs w:val="24"/>
              </w:rPr>
              <w:t>最后运作日</w:t>
            </w:r>
          </w:p>
        </w:tc>
      </w:tr>
      <w:tr w:rsidR="000C738A" w:rsidRPr="005063A8" w:rsidTr="000E5CB2">
        <w:trPr>
          <w:trHeight w:val="330"/>
        </w:trPr>
        <w:tc>
          <w:tcPr>
            <w:tcW w:w="5244" w:type="dxa"/>
            <w:vMerge/>
            <w:hideMark/>
          </w:tcPr>
          <w:p w:rsidR="000C738A" w:rsidRPr="005063A8" w:rsidRDefault="000C738A" w:rsidP="000E5CB2">
            <w:pPr>
              <w:spacing w:after="0" w:line="240" w:lineRule="auto"/>
              <w:ind w:left="0" w:firstLine="0"/>
              <w:rPr>
                <w:rFonts w:ascii="Times New Roman" w:hAnsi="Times New Roman" w:cs="Times New Roman"/>
                <w:b/>
                <w:bCs/>
                <w:kern w:val="0"/>
                <w:szCs w:val="24"/>
              </w:rPr>
            </w:pPr>
          </w:p>
        </w:tc>
        <w:tc>
          <w:tcPr>
            <w:tcW w:w="3682" w:type="dxa"/>
            <w:hideMark/>
          </w:tcPr>
          <w:p w:rsidR="000C738A" w:rsidRPr="005063A8" w:rsidRDefault="000C738A" w:rsidP="0043383A">
            <w:pPr>
              <w:spacing w:after="0" w:line="240" w:lineRule="auto"/>
              <w:ind w:left="0" w:firstLine="0"/>
              <w:jc w:val="center"/>
              <w:rPr>
                <w:rFonts w:ascii="Times New Roman" w:hAnsi="Times New Roman" w:cs="Times New Roman"/>
                <w:b/>
                <w:bCs/>
                <w:kern w:val="0"/>
                <w:szCs w:val="24"/>
              </w:rPr>
            </w:pPr>
            <w:r>
              <w:rPr>
                <w:rFonts w:ascii="Times New Roman" w:hAnsi="Times New Roman" w:cs="Times New Roman" w:hint="eastAsia"/>
                <w:b/>
                <w:bCs/>
                <w:kern w:val="0"/>
                <w:szCs w:val="24"/>
                <w:lang w:val="en-GB"/>
              </w:rPr>
              <w:t>2022</w:t>
            </w:r>
            <w:r w:rsidRPr="005063A8">
              <w:rPr>
                <w:rFonts w:ascii="Times New Roman" w:hAnsi="Times New Roman" w:cs="Times New Roman"/>
                <w:b/>
                <w:bCs/>
                <w:kern w:val="0"/>
                <w:szCs w:val="24"/>
                <w:lang w:val="en-GB"/>
              </w:rPr>
              <w:t>年</w:t>
            </w:r>
            <w:r w:rsidR="004A70AB">
              <w:rPr>
                <w:rFonts w:ascii="Times New Roman" w:hAnsi="Times New Roman" w:cs="Times New Roman"/>
                <w:b/>
                <w:bCs/>
                <w:kern w:val="0"/>
                <w:szCs w:val="24"/>
                <w:lang w:val="en-GB"/>
              </w:rPr>
              <w:t>12</w:t>
            </w:r>
            <w:r w:rsidRPr="005063A8">
              <w:rPr>
                <w:rFonts w:ascii="Times New Roman" w:hAnsi="Times New Roman" w:cs="Times New Roman"/>
                <w:b/>
                <w:bCs/>
                <w:kern w:val="0"/>
                <w:szCs w:val="24"/>
                <w:lang w:val="en-GB"/>
              </w:rPr>
              <w:t>月</w:t>
            </w:r>
            <w:r w:rsidR="004A70AB">
              <w:rPr>
                <w:rFonts w:ascii="Times New Roman" w:hAnsi="Times New Roman" w:cs="Times New Roman"/>
                <w:b/>
                <w:bCs/>
                <w:kern w:val="0"/>
                <w:szCs w:val="24"/>
                <w:lang w:val="en-GB"/>
              </w:rPr>
              <w:t>8</w:t>
            </w:r>
            <w:r w:rsidRPr="005063A8">
              <w:rPr>
                <w:rFonts w:ascii="Times New Roman" w:hAnsi="Times New Roman" w:cs="Times New Roman"/>
                <w:b/>
                <w:bCs/>
                <w:kern w:val="0"/>
                <w:szCs w:val="24"/>
                <w:lang w:val="en-GB"/>
              </w:rPr>
              <w:t>日</w:t>
            </w:r>
          </w:p>
        </w:tc>
      </w:tr>
      <w:tr w:rsidR="000C738A" w:rsidRPr="005063A8" w:rsidTr="000E5CB2">
        <w:trPr>
          <w:trHeight w:val="330"/>
        </w:trPr>
        <w:tc>
          <w:tcPr>
            <w:tcW w:w="5244" w:type="dxa"/>
            <w:hideMark/>
          </w:tcPr>
          <w:p w:rsidR="000C738A" w:rsidRPr="005063A8" w:rsidRDefault="000C738A" w:rsidP="00876A0B">
            <w:pPr>
              <w:spacing w:after="0" w:line="240" w:lineRule="auto"/>
              <w:ind w:left="0" w:firstLine="0"/>
              <w:rPr>
                <w:rFonts w:ascii="Times New Roman" w:hAnsi="Times New Roman" w:cs="Times New Roman"/>
                <w:b/>
                <w:bCs/>
                <w:kern w:val="0"/>
                <w:szCs w:val="24"/>
              </w:rPr>
            </w:pPr>
            <w:r w:rsidRPr="005063A8">
              <w:rPr>
                <w:rFonts w:ascii="Times New Roman" w:hAnsi="Times New Roman" w:cs="Times New Roman"/>
                <w:b/>
                <w:bCs/>
                <w:kern w:val="0"/>
                <w:szCs w:val="24"/>
              </w:rPr>
              <w:t>负债：</w:t>
            </w:r>
          </w:p>
        </w:tc>
        <w:tc>
          <w:tcPr>
            <w:tcW w:w="3682" w:type="dxa"/>
            <w:hideMark/>
          </w:tcPr>
          <w:p w:rsidR="000C738A" w:rsidRPr="005063A8" w:rsidRDefault="000C738A" w:rsidP="00876A0B">
            <w:pPr>
              <w:spacing w:after="0" w:line="240" w:lineRule="auto"/>
              <w:ind w:left="0" w:firstLine="0"/>
              <w:jc w:val="right"/>
              <w:rPr>
                <w:rFonts w:ascii="Times New Roman" w:hAnsi="Times New Roman" w:cs="Times New Roman"/>
                <w:b/>
                <w:bCs/>
                <w:kern w:val="0"/>
                <w:szCs w:val="24"/>
              </w:rPr>
            </w:pPr>
            <w:r w:rsidRPr="005063A8">
              <w:rPr>
                <w:rFonts w:ascii="Times New Roman" w:hAnsi="Times New Roman" w:cs="Times New Roman"/>
                <w:b/>
                <w:bCs/>
                <w:kern w:val="0"/>
                <w:szCs w:val="24"/>
                <w:lang w:val="en-GB"/>
              </w:rPr>
              <w:t xml:space="preserve">　</w:t>
            </w:r>
          </w:p>
        </w:tc>
      </w:tr>
      <w:tr w:rsidR="000C738A" w:rsidRPr="005063A8"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应付赎回款</w:t>
            </w:r>
          </w:p>
        </w:tc>
        <w:tc>
          <w:tcPr>
            <w:tcW w:w="3682" w:type="dxa"/>
          </w:tcPr>
          <w:p w:rsidR="000C738A" w:rsidRPr="00960EA4" w:rsidRDefault="0083417D" w:rsidP="0083417D">
            <w:pPr>
              <w:spacing w:after="0" w:line="240" w:lineRule="auto"/>
              <w:ind w:left="0" w:firstLine="0"/>
              <w:jc w:val="right"/>
              <w:rPr>
                <w:rFonts w:cs="Arial"/>
                <w:sz w:val="18"/>
                <w:szCs w:val="18"/>
              </w:rPr>
            </w:pPr>
            <w:r w:rsidRPr="0083417D">
              <w:rPr>
                <w:rFonts w:ascii="Times New Roman" w:hAnsi="Times New Roman" w:cs="Times New Roman" w:hint="eastAsia"/>
                <w:kern w:val="0"/>
                <w:szCs w:val="24"/>
              </w:rPr>
              <w:t>31,764.35</w:t>
            </w:r>
          </w:p>
        </w:tc>
      </w:tr>
      <w:tr w:rsidR="000C738A" w:rsidRPr="005063A8"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应付管理人报酬</w:t>
            </w:r>
          </w:p>
        </w:tc>
        <w:tc>
          <w:tcPr>
            <w:tcW w:w="3682" w:type="dxa"/>
          </w:tcPr>
          <w:p w:rsidR="000C738A" w:rsidRPr="0083417D" w:rsidRDefault="0083417D" w:rsidP="0083417D">
            <w:pPr>
              <w:spacing w:after="0" w:line="240" w:lineRule="auto"/>
              <w:ind w:left="0" w:firstLine="0"/>
              <w:jc w:val="right"/>
              <w:rPr>
                <w:rFonts w:ascii="Times New Roman" w:hAnsi="Times New Roman" w:cs="Times New Roman"/>
                <w:kern w:val="0"/>
                <w:szCs w:val="24"/>
              </w:rPr>
            </w:pPr>
            <w:r w:rsidRPr="0083417D">
              <w:rPr>
                <w:rFonts w:ascii="Times New Roman" w:hAnsi="Times New Roman" w:cs="Times New Roman" w:hint="eastAsia"/>
                <w:kern w:val="0"/>
                <w:szCs w:val="24"/>
              </w:rPr>
              <w:t>3,071.27</w:t>
            </w:r>
          </w:p>
        </w:tc>
      </w:tr>
      <w:tr w:rsidR="000C738A" w:rsidRPr="005063A8"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应付托管费</w:t>
            </w:r>
          </w:p>
        </w:tc>
        <w:tc>
          <w:tcPr>
            <w:tcW w:w="3682" w:type="dxa"/>
          </w:tcPr>
          <w:p w:rsidR="000C738A" w:rsidRPr="0083417D" w:rsidRDefault="0083417D" w:rsidP="0083417D">
            <w:pPr>
              <w:spacing w:after="0" w:line="240" w:lineRule="auto"/>
              <w:ind w:left="0" w:firstLine="0"/>
              <w:jc w:val="right"/>
              <w:rPr>
                <w:rFonts w:ascii="Times New Roman" w:hAnsi="Times New Roman" w:cs="Times New Roman"/>
                <w:kern w:val="0"/>
                <w:szCs w:val="24"/>
              </w:rPr>
            </w:pPr>
            <w:r w:rsidRPr="0083417D">
              <w:rPr>
                <w:rFonts w:ascii="Times New Roman" w:hAnsi="Times New Roman" w:cs="Times New Roman" w:hint="eastAsia"/>
                <w:kern w:val="0"/>
                <w:szCs w:val="24"/>
              </w:rPr>
              <w:t>877.52</w:t>
            </w:r>
          </w:p>
        </w:tc>
      </w:tr>
      <w:tr w:rsidR="000C738A" w:rsidRPr="005063A8"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应付销售服务费</w:t>
            </w:r>
          </w:p>
        </w:tc>
        <w:tc>
          <w:tcPr>
            <w:tcW w:w="3682" w:type="dxa"/>
          </w:tcPr>
          <w:p w:rsidR="000C738A" w:rsidRPr="005063A8" w:rsidRDefault="0083417D" w:rsidP="0083417D">
            <w:pPr>
              <w:spacing w:after="0" w:line="240" w:lineRule="auto"/>
              <w:ind w:left="0" w:firstLine="0"/>
              <w:jc w:val="right"/>
              <w:rPr>
                <w:rFonts w:ascii="Times New Roman" w:hAnsi="Times New Roman" w:cs="Times New Roman"/>
                <w:kern w:val="0"/>
                <w:szCs w:val="24"/>
              </w:rPr>
            </w:pPr>
            <w:r w:rsidRPr="0083417D">
              <w:rPr>
                <w:rFonts w:ascii="Times New Roman" w:hAnsi="Times New Roman" w:cs="Times New Roman" w:hint="eastAsia"/>
                <w:kern w:val="0"/>
                <w:szCs w:val="24"/>
              </w:rPr>
              <w:t>324.36</w:t>
            </w:r>
          </w:p>
        </w:tc>
      </w:tr>
      <w:tr w:rsidR="000C738A" w:rsidRPr="005063A8" w:rsidTr="00876A0B">
        <w:trPr>
          <w:trHeight w:val="315"/>
        </w:trPr>
        <w:tc>
          <w:tcPr>
            <w:tcW w:w="5244" w:type="dxa"/>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其他负债</w:t>
            </w:r>
          </w:p>
        </w:tc>
        <w:tc>
          <w:tcPr>
            <w:tcW w:w="3682" w:type="dxa"/>
            <w:vAlign w:val="center"/>
          </w:tcPr>
          <w:p w:rsidR="000C738A" w:rsidRPr="007C6715" w:rsidRDefault="0083417D" w:rsidP="0083417D">
            <w:pPr>
              <w:spacing w:after="0" w:line="240" w:lineRule="auto"/>
              <w:ind w:left="0" w:firstLine="0"/>
              <w:jc w:val="right"/>
              <w:rPr>
                <w:rFonts w:ascii="Times New Roman" w:hAnsi="Times New Roman" w:cs="Times New Roman"/>
                <w:kern w:val="0"/>
                <w:szCs w:val="24"/>
              </w:rPr>
            </w:pPr>
            <w:r w:rsidRPr="0083417D">
              <w:rPr>
                <w:rFonts w:ascii="Times New Roman" w:hAnsi="Times New Roman" w:cs="Times New Roman"/>
                <w:kern w:val="0"/>
                <w:szCs w:val="24"/>
              </w:rPr>
              <w:t xml:space="preserve">181,049.84 </w:t>
            </w:r>
          </w:p>
        </w:tc>
      </w:tr>
      <w:tr w:rsidR="000C738A" w:rsidRPr="00960EA4"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b/>
                <w:bCs/>
                <w:kern w:val="0"/>
                <w:szCs w:val="24"/>
              </w:rPr>
            </w:pPr>
            <w:r w:rsidRPr="005063A8">
              <w:rPr>
                <w:rFonts w:ascii="Times New Roman" w:hAnsi="Times New Roman" w:cs="Times New Roman"/>
                <w:b/>
                <w:bCs/>
                <w:kern w:val="0"/>
                <w:szCs w:val="24"/>
              </w:rPr>
              <w:t>负债合计</w:t>
            </w:r>
          </w:p>
        </w:tc>
        <w:tc>
          <w:tcPr>
            <w:tcW w:w="3682" w:type="dxa"/>
          </w:tcPr>
          <w:p w:rsidR="000C738A" w:rsidRPr="0083417D" w:rsidRDefault="0083417D" w:rsidP="0083417D">
            <w:pPr>
              <w:spacing w:after="0" w:line="240" w:lineRule="auto"/>
              <w:ind w:left="0" w:firstLine="0"/>
              <w:jc w:val="right"/>
              <w:rPr>
                <w:rFonts w:ascii="Times New Roman" w:hAnsi="Times New Roman" w:cs="Times New Roman"/>
                <w:b/>
                <w:kern w:val="0"/>
                <w:szCs w:val="24"/>
              </w:rPr>
            </w:pPr>
            <w:r w:rsidRPr="0083417D">
              <w:rPr>
                <w:rFonts w:ascii="Times New Roman" w:hAnsi="Times New Roman" w:cs="Times New Roman" w:hint="eastAsia"/>
                <w:b/>
                <w:kern w:val="0"/>
                <w:szCs w:val="24"/>
              </w:rPr>
              <w:t>217,087.34</w:t>
            </w:r>
          </w:p>
        </w:tc>
      </w:tr>
      <w:tr w:rsidR="000C738A" w:rsidRPr="005063A8" w:rsidTr="009D4F34">
        <w:trPr>
          <w:trHeight w:val="330"/>
        </w:trPr>
        <w:tc>
          <w:tcPr>
            <w:tcW w:w="5244" w:type="dxa"/>
            <w:hideMark/>
          </w:tcPr>
          <w:p w:rsidR="000C738A" w:rsidRPr="005063A8" w:rsidRDefault="000C738A" w:rsidP="00876A0B">
            <w:pPr>
              <w:spacing w:after="0" w:line="240" w:lineRule="auto"/>
              <w:ind w:left="0" w:firstLine="0"/>
              <w:rPr>
                <w:rFonts w:ascii="Times New Roman" w:hAnsi="Times New Roman" w:cs="Times New Roman"/>
                <w:b/>
                <w:bCs/>
                <w:kern w:val="0"/>
                <w:szCs w:val="24"/>
              </w:rPr>
            </w:pPr>
            <w:r w:rsidRPr="005063A8">
              <w:rPr>
                <w:rFonts w:ascii="Times New Roman" w:hAnsi="Times New Roman" w:cs="Times New Roman"/>
                <w:b/>
                <w:bCs/>
                <w:kern w:val="0"/>
                <w:szCs w:val="24"/>
              </w:rPr>
              <w:t>所有者权益：</w:t>
            </w:r>
          </w:p>
        </w:tc>
        <w:tc>
          <w:tcPr>
            <w:tcW w:w="3682" w:type="dxa"/>
          </w:tcPr>
          <w:p w:rsidR="000C738A" w:rsidRPr="005063A8" w:rsidRDefault="000C738A" w:rsidP="00876A0B">
            <w:pPr>
              <w:spacing w:after="0" w:line="240" w:lineRule="auto"/>
              <w:ind w:left="0" w:firstLine="0"/>
              <w:jc w:val="right"/>
              <w:rPr>
                <w:rFonts w:ascii="Times New Roman" w:hAnsi="Times New Roman" w:cs="Times New Roman"/>
                <w:b/>
                <w:bCs/>
                <w:kern w:val="0"/>
                <w:szCs w:val="24"/>
              </w:rPr>
            </w:pPr>
          </w:p>
        </w:tc>
      </w:tr>
      <w:tr w:rsidR="000C738A" w:rsidRPr="005063A8" w:rsidTr="009D4F34">
        <w:trPr>
          <w:trHeight w:val="330"/>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实收基金</w:t>
            </w:r>
          </w:p>
        </w:tc>
        <w:tc>
          <w:tcPr>
            <w:tcW w:w="3682" w:type="dxa"/>
          </w:tcPr>
          <w:p w:rsidR="000C738A" w:rsidRPr="0083417D" w:rsidRDefault="0083417D" w:rsidP="0083417D">
            <w:pPr>
              <w:spacing w:after="0" w:line="240" w:lineRule="auto"/>
              <w:ind w:left="0" w:firstLine="0"/>
              <w:jc w:val="right"/>
              <w:rPr>
                <w:rFonts w:ascii="Times New Roman" w:hAnsi="Times New Roman" w:cs="Times New Roman"/>
                <w:kern w:val="0"/>
                <w:szCs w:val="24"/>
              </w:rPr>
            </w:pPr>
            <w:r w:rsidRPr="0083417D">
              <w:rPr>
                <w:rFonts w:ascii="Times New Roman" w:hAnsi="Times New Roman" w:cs="Times New Roman" w:hint="eastAsia"/>
                <w:kern w:val="0"/>
                <w:szCs w:val="24"/>
              </w:rPr>
              <w:t>10,363,736.42</w:t>
            </w:r>
          </w:p>
        </w:tc>
      </w:tr>
      <w:tr w:rsidR="000C738A" w:rsidRPr="005063A8"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kern w:val="0"/>
                <w:szCs w:val="24"/>
              </w:rPr>
            </w:pPr>
            <w:r w:rsidRPr="005063A8">
              <w:rPr>
                <w:rFonts w:ascii="Times New Roman" w:hAnsi="Times New Roman" w:cs="Times New Roman"/>
                <w:kern w:val="0"/>
                <w:szCs w:val="24"/>
              </w:rPr>
              <w:t>未分配利润</w:t>
            </w:r>
          </w:p>
        </w:tc>
        <w:tc>
          <w:tcPr>
            <w:tcW w:w="3682" w:type="dxa"/>
          </w:tcPr>
          <w:p w:rsidR="000C738A" w:rsidRPr="0083417D" w:rsidRDefault="0083417D" w:rsidP="0083417D">
            <w:pPr>
              <w:spacing w:after="0" w:line="240" w:lineRule="auto"/>
              <w:ind w:left="0" w:firstLine="0"/>
              <w:jc w:val="right"/>
              <w:rPr>
                <w:rFonts w:ascii="Times New Roman" w:hAnsi="Times New Roman" w:cs="Times New Roman"/>
                <w:kern w:val="0"/>
                <w:szCs w:val="24"/>
              </w:rPr>
            </w:pPr>
            <w:r w:rsidRPr="0083417D">
              <w:rPr>
                <w:rFonts w:ascii="Times New Roman" w:hAnsi="Times New Roman" w:cs="Times New Roman" w:hint="eastAsia"/>
                <w:kern w:val="0"/>
                <w:szCs w:val="24"/>
              </w:rPr>
              <w:t>8,673,427.76</w:t>
            </w:r>
          </w:p>
        </w:tc>
      </w:tr>
      <w:tr w:rsidR="000C738A" w:rsidRPr="00960EA4" w:rsidTr="009D4F34">
        <w:trPr>
          <w:trHeight w:val="315"/>
        </w:trPr>
        <w:tc>
          <w:tcPr>
            <w:tcW w:w="5244" w:type="dxa"/>
            <w:hideMark/>
          </w:tcPr>
          <w:p w:rsidR="000C738A" w:rsidRPr="005063A8" w:rsidRDefault="000C738A" w:rsidP="00876A0B">
            <w:pPr>
              <w:spacing w:after="0" w:line="240" w:lineRule="auto"/>
              <w:ind w:left="0" w:firstLine="0"/>
              <w:rPr>
                <w:rFonts w:ascii="Times New Roman" w:hAnsi="Times New Roman" w:cs="Times New Roman"/>
                <w:b/>
                <w:bCs/>
                <w:kern w:val="0"/>
                <w:szCs w:val="24"/>
              </w:rPr>
            </w:pPr>
            <w:r w:rsidRPr="005063A8">
              <w:rPr>
                <w:rFonts w:ascii="Times New Roman" w:hAnsi="Times New Roman" w:cs="Times New Roman"/>
                <w:b/>
                <w:bCs/>
                <w:kern w:val="0"/>
                <w:szCs w:val="24"/>
              </w:rPr>
              <w:t>所有者权益合计</w:t>
            </w:r>
          </w:p>
        </w:tc>
        <w:tc>
          <w:tcPr>
            <w:tcW w:w="3682" w:type="dxa"/>
          </w:tcPr>
          <w:p w:rsidR="000C738A" w:rsidRPr="0083417D" w:rsidRDefault="0083417D" w:rsidP="0083417D">
            <w:pPr>
              <w:spacing w:after="0" w:line="240" w:lineRule="auto"/>
              <w:ind w:left="0" w:firstLine="0"/>
              <w:jc w:val="right"/>
              <w:rPr>
                <w:rFonts w:ascii="Times New Roman" w:hAnsi="Times New Roman" w:cs="Times New Roman"/>
                <w:b/>
                <w:kern w:val="0"/>
                <w:szCs w:val="24"/>
              </w:rPr>
            </w:pPr>
            <w:r w:rsidRPr="0083417D">
              <w:rPr>
                <w:rFonts w:ascii="Times New Roman" w:hAnsi="Times New Roman" w:cs="Times New Roman" w:hint="eastAsia"/>
                <w:b/>
                <w:kern w:val="0"/>
                <w:szCs w:val="24"/>
              </w:rPr>
              <w:t>19,037,164.18</w:t>
            </w:r>
          </w:p>
        </w:tc>
      </w:tr>
      <w:tr w:rsidR="000C738A" w:rsidRPr="005063A8" w:rsidTr="009D4F34">
        <w:trPr>
          <w:trHeight w:val="330"/>
        </w:trPr>
        <w:tc>
          <w:tcPr>
            <w:tcW w:w="5244" w:type="dxa"/>
            <w:hideMark/>
          </w:tcPr>
          <w:p w:rsidR="000C738A" w:rsidRPr="005063A8" w:rsidRDefault="000C738A" w:rsidP="00876A0B">
            <w:pPr>
              <w:spacing w:after="0" w:line="240" w:lineRule="auto"/>
              <w:ind w:left="0" w:firstLine="0"/>
              <w:rPr>
                <w:rFonts w:ascii="Times New Roman" w:hAnsi="Times New Roman" w:cs="Times New Roman"/>
                <w:b/>
                <w:bCs/>
                <w:kern w:val="0"/>
                <w:szCs w:val="24"/>
              </w:rPr>
            </w:pPr>
            <w:r w:rsidRPr="005063A8">
              <w:rPr>
                <w:rFonts w:ascii="Times New Roman" w:hAnsi="Times New Roman" w:cs="Times New Roman"/>
                <w:b/>
                <w:bCs/>
                <w:kern w:val="0"/>
                <w:szCs w:val="24"/>
              </w:rPr>
              <w:t>负债和所有者权益总计</w:t>
            </w:r>
          </w:p>
        </w:tc>
        <w:tc>
          <w:tcPr>
            <w:tcW w:w="3682" w:type="dxa"/>
          </w:tcPr>
          <w:p w:rsidR="000C738A" w:rsidRPr="0083417D" w:rsidRDefault="0083417D" w:rsidP="0083417D">
            <w:pPr>
              <w:spacing w:after="0" w:line="240" w:lineRule="auto"/>
              <w:ind w:left="0" w:firstLine="0"/>
              <w:jc w:val="right"/>
              <w:rPr>
                <w:rFonts w:ascii="Times New Roman" w:hAnsi="Times New Roman" w:cs="Times New Roman"/>
                <w:b/>
                <w:kern w:val="0"/>
                <w:szCs w:val="24"/>
              </w:rPr>
            </w:pPr>
            <w:r w:rsidRPr="00B952C9">
              <w:rPr>
                <w:rFonts w:ascii="Times New Roman" w:hAnsi="Times New Roman" w:cs="Times New Roman" w:hint="eastAsia"/>
                <w:b/>
                <w:kern w:val="0"/>
                <w:szCs w:val="24"/>
              </w:rPr>
              <w:t>19,254,251.52</w:t>
            </w:r>
          </w:p>
        </w:tc>
      </w:tr>
    </w:tbl>
    <w:p w:rsidR="003756AC" w:rsidRPr="005063A8" w:rsidRDefault="003756AC" w:rsidP="00D36DDC">
      <w:pPr>
        <w:spacing w:after="0" w:line="360" w:lineRule="auto"/>
        <w:ind w:left="0" w:firstLineChars="200" w:firstLine="480"/>
        <w:rPr>
          <w:rFonts w:ascii="Times New Roman" w:hAnsi="Times New Roman" w:cs="Times New Roman"/>
        </w:rPr>
      </w:pPr>
    </w:p>
    <w:p w:rsidR="00D36DDC" w:rsidRPr="005063A8" w:rsidRDefault="00D36DDC" w:rsidP="00D36DDC">
      <w:pPr>
        <w:spacing w:after="0" w:line="360" w:lineRule="auto"/>
        <w:ind w:left="0" w:firstLineChars="200" w:firstLine="480"/>
        <w:rPr>
          <w:rFonts w:ascii="Times New Roman" w:hAnsi="Times New Roman" w:cs="Times New Roman"/>
        </w:rPr>
      </w:pPr>
    </w:p>
    <w:p w:rsidR="00583F83" w:rsidRPr="005063A8" w:rsidRDefault="00E22DB5">
      <w:pPr>
        <w:pStyle w:val="1"/>
        <w:ind w:left="10" w:right="62"/>
        <w:rPr>
          <w:rFonts w:ascii="Times New Roman" w:hAnsi="Times New Roman" w:cs="Times New Roman"/>
        </w:rPr>
      </w:pPr>
      <w:bookmarkStart w:id="12" w:name="_Toc123313457"/>
      <w:r w:rsidRPr="005063A8">
        <w:rPr>
          <w:rFonts w:ascii="Times New Roman" w:hAnsi="Times New Roman" w:cs="Times New Roman"/>
        </w:rPr>
        <w:t>四</w:t>
      </w:r>
      <w:bookmarkStart w:id="13" w:name="_Toc122679853"/>
      <w:r w:rsidRPr="005063A8">
        <w:rPr>
          <w:rFonts w:ascii="Times New Roman" w:hAnsi="Times New Roman" w:cs="Times New Roman"/>
        </w:rPr>
        <w:t>、清算情况</w:t>
      </w:r>
      <w:bookmarkEnd w:id="12"/>
      <w:bookmarkEnd w:id="13"/>
    </w:p>
    <w:p w:rsidR="000C738A" w:rsidRPr="005063A8" w:rsidRDefault="000C738A" w:rsidP="000C738A">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自</w:t>
      </w:r>
      <w:r>
        <w:rPr>
          <w:rFonts w:ascii="Times New Roman" w:hAnsi="Times New Roman" w:cs="Times New Roman" w:hint="eastAsia"/>
        </w:rPr>
        <w:t>2022</w:t>
      </w:r>
      <w:r w:rsidRPr="005063A8">
        <w:rPr>
          <w:rFonts w:ascii="Times New Roman" w:hAnsi="Times New Roman" w:cs="Times New Roman"/>
        </w:rPr>
        <w:t>年</w:t>
      </w:r>
      <w:r w:rsidR="00F37008">
        <w:rPr>
          <w:rFonts w:ascii="Times New Roman" w:hAnsi="Times New Roman" w:cs="Times New Roman"/>
        </w:rPr>
        <w:t>1</w:t>
      </w:r>
      <w:r w:rsidR="004A70AB">
        <w:rPr>
          <w:rFonts w:ascii="Times New Roman" w:hAnsi="Times New Roman" w:cs="Times New Roman"/>
        </w:rPr>
        <w:t>2</w:t>
      </w:r>
      <w:r w:rsidRPr="004E5683">
        <w:rPr>
          <w:rFonts w:ascii="Times New Roman" w:hAnsi="Times New Roman" w:cs="Times New Roman"/>
        </w:rPr>
        <w:t>月</w:t>
      </w:r>
      <w:r w:rsidR="004A70AB">
        <w:rPr>
          <w:rFonts w:ascii="Times New Roman" w:hAnsi="Times New Roman" w:cs="Times New Roman"/>
        </w:rPr>
        <w:t>9</w:t>
      </w:r>
      <w:r w:rsidRPr="004E5683">
        <w:rPr>
          <w:rFonts w:ascii="Times New Roman" w:hAnsi="Times New Roman" w:cs="Times New Roman"/>
        </w:rPr>
        <w:t>日至</w:t>
      </w:r>
      <w:r w:rsidRPr="006E5D92">
        <w:rPr>
          <w:rFonts w:ascii="Times New Roman" w:hAnsi="Times New Roman" w:cs="Times New Roman"/>
        </w:rPr>
        <w:t>2022</w:t>
      </w:r>
      <w:r w:rsidRPr="006E5D92">
        <w:rPr>
          <w:rFonts w:ascii="Times New Roman" w:hAnsi="Times New Roman" w:cs="Times New Roman" w:hint="eastAsia"/>
        </w:rPr>
        <w:t>年</w:t>
      </w:r>
      <w:r w:rsidR="002504B6">
        <w:rPr>
          <w:rFonts w:ascii="Times New Roman" w:hAnsi="Times New Roman" w:cs="Times New Roman" w:hint="eastAsia"/>
        </w:rPr>
        <w:t>12</w:t>
      </w:r>
      <w:r w:rsidRPr="006E5D92">
        <w:rPr>
          <w:rFonts w:ascii="Times New Roman" w:hAnsi="Times New Roman" w:cs="Times New Roman" w:hint="eastAsia"/>
        </w:rPr>
        <w:t>月</w:t>
      </w:r>
      <w:r w:rsidR="002504B6">
        <w:rPr>
          <w:rFonts w:ascii="Times New Roman" w:hAnsi="Times New Roman" w:cs="Times New Roman" w:hint="eastAsia"/>
        </w:rPr>
        <w:t>23</w:t>
      </w:r>
      <w:r w:rsidRPr="006E5D92">
        <w:rPr>
          <w:rFonts w:ascii="Times New Roman" w:hAnsi="Times New Roman" w:cs="Times New Roman" w:hint="eastAsia"/>
        </w:rPr>
        <w:t>日</w:t>
      </w:r>
      <w:r w:rsidRPr="004E5683">
        <w:rPr>
          <w:rFonts w:ascii="Times New Roman" w:hAnsi="Times New Roman" w:cs="Times New Roman"/>
        </w:rPr>
        <w:t>止</w:t>
      </w:r>
      <w:r w:rsidRPr="005063A8">
        <w:rPr>
          <w:rFonts w:ascii="Times New Roman" w:hAnsi="Times New Roman" w:cs="Times New Roman"/>
        </w:rPr>
        <w:t>为本次清算期间，基金财产清算小组对本基金的基金财产进行清算，全部清算工作按清算原则和清算手续进行。具体清算情况如下：</w:t>
      </w:r>
    </w:p>
    <w:p w:rsidR="000C738A" w:rsidRPr="005063A8" w:rsidRDefault="000C738A" w:rsidP="000C738A">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（一）清算费用</w:t>
      </w:r>
    </w:p>
    <w:p w:rsidR="000C738A" w:rsidRPr="005063A8" w:rsidRDefault="000C738A" w:rsidP="000C738A">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清算费用是指基金财产清算小组在进行基金财产清算过程中发生的所有合理费用，包括支付给会计师事务所、律师事务所的费用，分配基金剩余财产的手续费等，根据基金合同的规定，清算费用由基金财产清算小组优先从基金财产中支付。</w:t>
      </w:r>
    </w:p>
    <w:p w:rsidR="000C738A" w:rsidRPr="005063A8" w:rsidRDefault="000C738A" w:rsidP="000C738A">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（二）资产清算情况</w:t>
      </w:r>
    </w:p>
    <w:p w:rsidR="000C738A" w:rsidRPr="005063A8" w:rsidRDefault="000C738A" w:rsidP="000C738A">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截至本次清算期</w:t>
      </w:r>
      <w:r w:rsidRPr="004E5683">
        <w:rPr>
          <w:rFonts w:ascii="Times New Roman" w:hAnsi="Times New Roman" w:cs="Times New Roman"/>
        </w:rPr>
        <w:t>结束日（</w:t>
      </w:r>
      <w:r w:rsidRPr="006E5D92">
        <w:rPr>
          <w:rFonts w:ascii="Times New Roman" w:hAnsi="Times New Roman" w:cs="Times New Roman"/>
        </w:rPr>
        <w:t>2022</w:t>
      </w:r>
      <w:r w:rsidRPr="006E5D92">
        <w:rPr>
          <w:rFonts w:ascii="Times New Roman" w:hAnsi="Times New Roman" w:cs="Times New Roman" w:hint="eastAsia"/>
        </w:rPr>
        <w:t>年</w:t>
      </w:r>
      <w:r w:rsidR="002504B6">
        <w:rPr>
          <w:rFonts w:ascii="Times New Roman" w:hAnsi="Times New Roman" w:cs="Times New Roman" w:hint="eastAsia"/>
        </w:rPr>
        <w:t>12</w:t>
      </w:r>
      <w:r w:rsidRPr="006E5D92">
        <w:rPr>
          <w:rFonts w:ascii="Times New Roman" w:hAnsi="Times New Roman" w:cs="Times New Roman" w:hint="eastAsia"/>
        </w:rPr>
        <w:t>月</w:t>
      </w:r>
      <w:r w:rsidR="002504B6">
        <w:rPr>
          <w:rFonts w:ascii="Times New Roman" w:hAnsi="Times New Roman" w:cs="Times New Roman" w:hint="eastAsia"/>
        </w:rPr>
        <w:t>23</w:t>
      </w:r>
      <w:r w:rsidRPr="006E5D92">
        <w:rPr>
          <w:rFonts w:ascii="Times New Roman" w:hAnsi="Times New Roman" w:cs="Times New Roman" w:hint="eastAsia"/>
        </w:rPr>
        <w:t>日</w:t>
      </w:r>
      <w:r w:rsidRPr="004E5683">
        <w:rPr>
          <w:rFonts w:ascii="Times New Roman" w:hAnsi="Times New Roman" w:cs="Times New Roman"/>
        </w:rPr>
        <w:t>），部</w:t>
      </w:r>
      <w:r w:rsidRPr="005063A8">
        <w:rPr>
          <w:rFonts w:ascii="Times New Roman" w:hAnsi="Times New Roman" w:cs="Times New Roman"/>
        </w:rPr>
        <w:t>分资产尚未收回。根据基金管理人</w:t>
      </w:r>
      <w:r>
        <w:rPr>
          <w:rFonts w:ascii="Times New Roman" w:hAnsi="Times New Roman" w:cs="Times New Roman" w:hint="eastAsia"/>
        </w:rPr>
        <w:t>2022</w:t>
      </w:r>
      <w:r w:rsidRPr="005063A8">
        <w:rPr>
          <w:rFonts w:ascii="Times New Roman" w:hAnsi="Times New Roman" w:cs="Times New Roman"/>
        </w:rPr>
        <w:t>年</w:t>
      </w:r>
      <w:r w:rsidR="00F37008">
        <w:rPr>
          <w:rFonts w:ascii="Times New Roman" w:hAnsi="Times New Roman" w:cs="Times New Roman"/>
        </w:rPr>
        <w:t>1</w:t>
      </w:r>
      <w:r w:rsidR="004A70AB">
        <w:rPr>
          <w:rFonts w:ascii="Times New Roman" w:hAnsi="Times New Roman" w:cs="Times New Roman"/>
        </w:rPr>
        <w:t>2</w:t>
      </w:r>
      <w:r w:rsidRPr="005063A8">
        <w:rPr>
          <w:rFonts w:ascii="Times New Roman" w:hAnsi="Times New Roman" w:cs="Times New Roman"/>
        </w:rPr>
        <w:t>月</w:t>
      </w:r>
      <w:r w:rsidR="004A70AB">
        <w:rPr>
          <w:rFonts w:ascii="Times New Roman" w:hAnsi="Times New Roman" w:cs="Times New Roman"/>
        </w:rPr>
        <w:t>9</w:t>
      </w:r>
      <w:r w:rsidRPr="005063A8">
        <w:rPr>
          <w:rFonts w:ascii="Times New Roman" w:hAnsi="Times New Roman" w:cs="Times New Roman"/>
        </w:rPr>
        <w:t>日发布的《关于</w:t>
      </w:r>
      <w:r w:rsidR="00424D7A">
        <w:rPr>
          <w:rFonts w:ascii="Times New Roman" w:hAnsi="Times New Roman" w:cs="Times New Roman" w:hint="eastAsia"/>
        </w:rPr>
        <w:t>泰达宏利创盈灵活配置混合型证券投资基金</w:t>
      </w:r>
      <w:r w:rsidRPr="005063A8">
        <w:rPr>
          <w:rFonts w:ascii="Times New Roman" w:hAnsi="Times New Roman" w:cs="Times New Roman"/>
        </w:rPr>
        <w:t>基金合同终止及财产清算的公告》，为了提高清算效率，及时向基金份额持有人分配剩余财产，基金管理人以自有资金</w:t>
      </w:r>
      <w:bookmarkStart w:id="14" w:name="_Hlk33879109"/>
      <w:r w:rsidRPr="005063A8">
        <w:rPr>
          <w:rFonts w:ascii="Times New Roman" w:hAnsi="Times New Roman" w:cs="Times New Roman"/>
        </w:rPr>
        <w:t>对未到账的</w:t>
      </w:r>
      <w:r w:rsidR="00430A08">
        <w:rPr>
          <w:rFonts w:ascii="Times New Roman" w:hAnsi="Times New Roman" w:cs="Times New Roman" w:hint="eastAsia"/>
        </w:rPr>
        <w:t>结算备付金、</w:t>
      </w:r>
      <w:r>
        <w:rPr>
          <w:rFonts w:ascii="Times New Roman" w:hAnsi="Times New Roman" w:cs="Times New Roman" w:hint="eastAsia"/>
        </w:rPr>
        <w:t>存出保证金、应收</w:t>
      </w:r>
      <w:r w:rsidRPr="005063A8">
        <w:rPr>
          <w:rFonts w:ascii="Times New Roman" w:hAnsi="Times New Roman" w:cs="Times New Roman"/>
        </w:rPr>
        <w:t>利息进行垫付。</w:t>
      </w:r>
      <w:bookmarkEnd w:id="14"/>
      <w:r w:rsidRPr="005063A8">
        <w:rPr>
          <w:rFonts w:ascii="Times New Roman" w:hAnsi="Times New Roman" w:cs="Times New Roman"/>
        </w:rPr>
        <w:t>各项资产清算情况如下：</w:t>
      </w:r>
    </w:p>
    <w:p w:rsidR="000C738A" w:rsidRPr="006B4785" w:rsidRDefault="000C738A" w:rsidP="000C738A">
      <w:pPr>
        <w:numPr>
          <w:ilvl w:val="0"/>
          <w:numId w:val="2"/>
        </w:numPr>
        <w:spacing w:after="0" w:line="360" w:lineRule="auto"/>
        <w:ind w:firstLine="480"/>
        <w:rPr>
          <w:rFonts w:ascii="Times New Roman" w:hAnsi="Times New Roman" w:cs="Times New Roman"/>
          <w:color w:val="auto"/>
          <w:szCs w:val="24"/>
        </w:rPr>
      </w:pPr>
      <w:r w:rsidRPr="006B4785">
        <w:rPr>
          <w:rFonts w:ascii="Times New Roman" w:hAnsi="Times New Roman" w:cs="Times New Roman"/>
          <w:color w:val="auto"/>
          <w:szCs w:val="24"/>
        </w:rPr>
        <w:t>本基金最后运作日</w:t>
      </w:r>
      <w:r w:rsidRPr="006B4785">
        <w:rPr>
          <w:rFonts w:ascii="Times New Roman" w:hAnsi="Times New Roman" w:cs="Times New Roman" w:hint="eastAsia"/>
          <w:color w:val="auto"/>
          <w:szCs w:val="24"/>
        </w:rPr>
        <w:t>银行</w:t>
      </w:r>
      <w:r w:rsidRPr="006B4785">
        <w:rPr>
          <w:rFonts w:ascii="Times New Roman" w:hAnsi="Times New Roman" w:cs="Times New Roman"/>
          <w:color w:val="auto"/>
          <w:szCs w:val="24"/>
        </w:rPr>
        <w:t>存款为人民币</w:t>
      </w:r>
      <w:r w:rsidR="005667D8" w:rsidRPr="00EE4F55">
        <w:rPr>
          <w:rFonts w:ascii="Times New Roman" w:hAnsi="Times New Roman" w:cs="Times New Roman" w:hint="eastAsia"/>
          <w:kern w:val="0"/>
          <w:szCs w:val="24"/>
        </w:rPr>
        <w:t>19,187,450.16</w:t>
      </w:r>
      <w:r w:rsidRPr="006B4785">
        <w:rPr>
          <w:rFonts w:ascii="Times New Roman" w:hAnsi="Times New Roman" w:cs="Times New Roman"/>
          <w:color w:val="auto"/>
          <w:szCs w:val="24"/>
        </w:rPr>
        <w:t>元，</w:t>
      </w:r>
      <w:r w:rsidRPr="006B4785">
        <w:rPr>
          <w:rFonts w:ascii="Times New Roman" w:hAnsi="Times New Roman" w:cs="Times New Roman" w:hint="eastAsia"/>
          <w:color w:val="auto"/>
          <w:szCs w:val="24"/>
        </w:rPr>
        <w:t>其中应计利息为</w:t>
      </w:r>
      <w:r w:rsidRPr="006B4785">
        <w:rPr>
          <w:rFonts w:ascii="Times New Roman" w:hAnsi="Times New Roman" w:cs="Times New Roman"/>
          <w:color w:val="auto"/>
          <w:szCs w:val="24"/>
        </w:rPr>
        <w:t>人民币</w:t>
      </w:r>
      <w:r w:rsidR="009762C3">
        <w:rPr>
          <w:rFonts w:ascii="Times New Roman" w:hAnsi="Times New Roman" w:cs="Times New Roman" w:hint="eastAsia"/>
          <w:color w:val="auto"/>
          <w:szCs w:val="24"/>
        </w:rPr>
        <w:t>4</w:t>
      </w:r>
      <w:r w:rsidR="009762C3">
        <w:rPr>
          <w:rFonts w:ascii="Times New Roman" w:hAnsi="Times New Roman" w:cs="Times New Roman"/>
          <w:color w:val="auto"/>
          <w:szCs w:val="24"/>
        </w:rPr>
        <w:t>,</w:t>
      </w:r>
      <w:r w:rsidR="009762C3">
        <w:rPr>
          <w:rFonts w:ascii="Times New Roman" w:hAnsi="Times New Roman" w:cs="Times New Roman" w:hint="eastAsia"/>
          <w:color w:val="auto"/>
          <w:szCs w:val="24"/>
        </w:rPr>
        <w:t>321.32</w:t>
      </w:r>
      <w:r w:rsidRPr="006B4785">
        <w:rPr>
          <w:rFonts w:ascii="Times New Roman" w:hAnsi="Times New Roman" w:cs="Times New Roman" w:hint="eastAsia"/>
          <w:color w:val="auto"/>
          <w:szCs w:val="24"/>
        </w:rPr>
        <w:t>元</w:t>
      </w:r>
      <w:r w:rsidR="0078258A">
        <w:rPr>
          <w:rFonts w:ascii="Times New Roman" w:hAnsi="Times New Roman" w:cs="Times New Roman" w:hint="eastAsia"/>
          <w:color w:val="auto"/>
          <w:szCs w:val="24"/>
        </w:rPr>
        <w:t>，</w:t>
      </w:r>
      <w:r w:rsidR="00A034D1" w:rsidRPr="00D15E53">
        <w:rPr>
          <w:rFonts w:ascii="Times New Roman" w:hAnsi="Times New Roman" w:cs="Times New Roman"/>
        </w:rPr>
        <w:t>该</w:t>
      </w:r>
      <w:r w:rsidR="00A034D1">
        <w:rPr>
          <w:rFonts w:ascii="Times New Roman" w:hAnsi="Times New Roman" w:cs="Times New Roman" w:hint="eastAsia"/>
        </w:rPr>
        <w:t>利息</w:t>
      </w:r>
      <w:r w:rsidR="00A034D1" w:rsidRPr="00D15E53">
        <w:rPr>
          <w:rFonts w:ascii="Times New Roman" w:hAnsi="Times New Roman" w:cs="Times New Roman"/>
        </w:rPr>
        <w:t>已于</w:t>
      </w:r>
      <w:r w:rsidR="00A034D1" w:rsidRPr="00D15E53">
        <w:rPr>
          <w:rFonts w:ascii="Times New Roman" w:hAnsi="Times New Roman" w:cs="Times New Roman"/>
        </w:rPr>
        <w:t>2022</w:t>
      </w:r>
      <w:r w:rsidR="00A034D1" w:rsidRPr="00D15E53">
        <w:rPr>
          <w:rFonts w:ascii="Times New Roman" w:hAnsi="Times New Roman" w:cs="Times New Roman"/>
        </w:rPr>
        <w:t>年</w:t>
      </w:r>
      <w:r w:rsidR="00A034D1" w:rsidRPr="00D15E53">
        <w:rPr>
          <w:rFonts w:ascii="Times New Roman" w:hAnsi="Times New Roman" w:cs="Times New Roman"/>
        </w:rPr>
        <w:t>1</w:t>
      </w:r>
      <w:r w:rsidR="00A034D1">
        <w:rPr>
          <w:rFonts w:ascii="Times New Roman" w:hAnsi="Times New Roman" w:cs="Times New Roman"/>
        </w:rPr>
        <w:t>2</w:t>
      </w:r>
      <w:r w:rsidR="00A034D1" w:rsidRPr="00D15E53">
        <w:rPr>
          <w:rFonts w:ascii="Times New Roman" w:hAnsi="Times New Roman" w:cs="Times New Roman"/>
        </w:rPr>
        <w:t>月</w:t>
      </w:r>
      <w:r w:rsidR="00A034D1">
        <w:rPr>
          <w:rFonts w:ascii="Times New Roman" w:hAnsi="Times New Roman" w:cs="Times New Roman"/>
        </w:rPr>
        <w:t>21</w:t>
      </w:r>
      <w:r w:rsidR="00A034D1" w:rsidRPr="00D15E53">
        <w:rPr>
          <w:rFonts w:ascii="Times New Roman" w:hAnsi="Times New Roman" w:cs="Times New Roman"/>
        </w:rPr>
        <w:t>日</w:t>
      </w:r>
      <w:r w:rsidR="00A034D1">
        <w:rPr>
          <w:rFonts w:ascii="Times New Roman" w:hAnsi="Times New Roman" w:cs="Times New Roman" w:hint="eastAsia"/>
        </w:rPr>
        <w:t>结息</w:t>
      </w:r>
      <w:r w:rsidR="00A034D1">
        <w:rPr>
          <w:rFonts w:ascii="Times New Roman" w:hAnsi="Times New Roman" w:cs="Times New Roman"/>
        </w:rPr>
        <w:t>划入托管户</w:t>
      </w:r>
      <w:r w:rsidRPr="006B4785">
        <w:rPr>
          <w:rFonts w:ascii="Times New Roman" w:hAnsi="Times New Roman" w:cs="Times New Roman" w:hint="eastAsia"/>
          <w:color w:val="auto"/>
          <w:szCs w:val="24"/>
        </w:rPr>
        <w:t>。</w:t>
      </w:r>
    </w:p>
    <w:p w:rsidR="000C738A" w:rsidRPr="00587948" w:rsidRDefault="000C738A" w:rsidP="000C738A">
      <w:pPr>
        <w:numPr>
          <w:ilvl w:val="0"/>
          <w:numId w:val="2"/>
        </w:numPr>
        <w:spacing w:after="0" w:line="360" w:lineRule="auto"/>
        <w:ind w:firstLine="480"/>
        <w:rPr>
          <w:rFonts w:ascii="Times New Roman" w:hAnsi="Times New Roman" w:cs="Times New Roman"/>
          <w:color w:val="auto"/>
          <w:szCs w:val="24"/>
        </w:rPr>
      </w:pPr>
      <w:r w:rsidRPr="00587948">
        <w:rPr>
          <w:rFonts w:ascii="Times New Roman" w:hAnsi="Times New Roman" w:cs="Times New Roman"/>
          <w:color w:val="auto"/>
          <w:szCs w:val="24"/>
        </w:rPr>
        <w:t>本基金最后运作日</w:t>
      </w:r>
      <w:r w:rsidRPr="00587948">
        <w:rPr>
          <w:rFonts w:ascii="Times New Roman" w:hAnsi="Times New Roman" w:cs="Times New Roman" w:hint="eastAsia"/>
          <w:color w:val="auto"/>
          <w:szCs w:val="24"/>
        </w:rPr>
        <w:t>结算</w:t>
      </w:r>
      <w:r w:rsidRPr="00587948">
        <w:rPr>
          <w:rFonts w:ascii="Times New Roman" w:hAnsi="Times New Roman" w:cs="Times New Roman"/>
          <w:color w:val="auto"/>
          <w:szCs w:val="24"/>
        </w:rPr>
        <w:t>备付金为人民币</w:t>
      </w:r>
      <w:r w:rsidR="009762C3">
        <w:rPr>
          <w:rFonts w:ascii="Times New Roman" w:hAnsi="Times New Roman" w:cs="Times New Roman" w:hint="eastAsia"/>
          <w:color w:val="auto"/>
          <w:szCs w:val="24"/>
        </w:rPr>
        <w:t>6</w:t>
      </w:r>
      <w:r w:rsidRPr="00587948">
        <w:rPr>
          <w:rFonts w:ascii="Times New Roman" w:hAnsi="Times New Roman" w:cs="Times New Roman" w:hint="eastAsia"/>
          <w:color w:val="auto"/>
          <w:szCs w:val="24"/>
        </w:rPr>
        <w:t>,</w:t>
      </w:r>
      <w:r w:rsidR="009762C3">
        <w:rPr>
          <w:rFonts w:ascii="Times New Roman" w:hAnsi="Times New Roman" w:cs="Times New Roman" w:hint="eastAsia"/>
          <w:color w:val="auto"/>
          <w:szCs w:val="24"/>
        </w:rPr>
        <w:t>634</w:t>
      </w:r>
      <w:r w:rsidRPr="00587948">
        <w:rPr>
          <w:rFonts w:ascii="Times New Roman" w:hAnsi="Times New Roman" w:cs="Times New Roman"/>
          <w:color w:val="auto"/>
          <w:szCs w:val="24"/>
        </w:rPr>
        <w:t>.</w:t>
      </w:r>
      <w:r w:rsidR="009762C3">
        <w:rPr>
          <w:rFonts w:ascii="Times New Roman" w:hAnsi="Times New Roman" w:cs="Times New Roman" w:hint="eastAsia"/>
          <w:color w:val="auto"/>
          <w:szCs w:val="24"/>
        </w:rPr>
        <w:t>21</w:t>
      </w:r>
      <w:r w:rsidRPr="00587948">
        <w:rPr>
          <w:rFonts w:ascii="Times New Roman" w:hAnsi="Times New Roman" w:cs="Times New Roman"/>
          <w:color w:val="auto"/>
          <w:szCs w:val="24"/>
        </w:rPr>
        <w:t>元，上海</w:t>
      </w:r>
      <w:r w:rsidRPr="00587948">
        <w:rPr>
          <w:rFonts w:ascii="Times New Roman" w:hAnsi="Times New Roman" w:cs="Times New Roman" w:hint="eastAsia"/>
          <w:color w:val="auto"/>
          <w:szCs w:val="24"/>
        </w:rPr>
        <w:t>结算备付金为</w:t>
      </w:r>
      <w:r w:rsidRPr="00587948">
        <w:rPr>
          <w:rFonts w:ascii="Times New Roman" w:hAnsi="Times New Roman" w:cs="Times New Roman"/>
          <w:color w:val="auto"/>
          <w:szCs w:val="24"/>
        </w:rPr>
        <w:t>人民币</w:t>
      </w:r>
      <w:r w:rsidR="009762C3">
        <w:rPr>
          <w:rFonts w:ascii="Times New Roman" w:hAnsi="Times New Roman" w:cs="Times New Roman" w:hint="eastAsia"/>
          <w:color w:val="auto"/>
          <w:szCs w:val="24"/>
        </w:rPr>
        <w:t>5</w:t>
      </w:r>
      <w:r w:rsidRPr="00587948">
        <w:rPr>
          <w:rFonts w:ascii="Times New Roman" w:hAnsi="Times New Roman" w:cs="Times New Roman" w:hint="eastAsia"/>
          <w:color w:val="auto"/>
          <w:szCs w:val="24"/>
        </w:rPr>
        <w:t>,</w:t>
      </w:r>
      <w:r w:rsidR="009762C3">
        <w:rPr>
          <w:rFonts w:ascii="Times New Roman" w:hAnsi="Times New Roman" w:cs="Times New Roman" w:hint="eastAsia"/>
          <w:color w:val="auto"/>
          <w:szCs w:val="24"/>
        </w:rPr>
        <w:t>911</w:t>
      </w:r>
      <w:r w:rsidRPr="00587948">
        <w:rPr>
          <w:rFonts w:ascii="Times New Roman" w:hAnsi="Times New Roman" w:cs="Times New Roman"/>
          <w:color w:val="auto"/>
          <w:szCs w:val="24"/>
        </w:rPr>
        <w:t>.</w:t>
      </w:r>
      <w:r w:rsidR="009762C3">
        <w:rPr>
          <w:rFonts w:ascii="Times New Roman" w:hAnsi="Times New Roman" w:cs="Times New Roman" w:hint="eastAsia"/>
          <w:color w:val="auto"/>
          <w:szCs w:val="24"/>
        </w:rPr>
        <w:t>10</w:t>
      </w:r>
      <w:r w:rsidRPr="00587948">
        <w:rPr>
          <w:rFonts w:ascii="Times New Roman" w:hAnsi="Times New Roman" w:cs="Times New Roman" w:hint="eastAsia"/>
          <w:color w:val="auto"/>
          <w:szCs w:val="24"/>
        </w:rPr>
        <w:t>元</w:t>
      </w:r>
      <w:r w:rsidRPr="00587948">
        <w:rPr>
          <w:rFonts w:ascii="Times New Roman" w:hAnsi="Times New Roman" w:cs="Times New Roman"/>
          <w:color w:val="auto"/>
          <w:szCs w:val="24"/>
        </w:rPr>
        <w:t>，</w:t>
      </w:r>
      <w:r w:rsidR="00A034D1" w:rsidRPr="00587948">
        <w:rPr>
          <w:rFonts w:ascii="Times New Roman" w:hAnsi="Times New Roman" w:cs="Times New Roman" w:hint="eastAsia"/>
          <w:color w:val="auto"/>
          <w:szCs w:val="24"/>
        </w:rPr>
        <w:t>其中</w:t>
      </w:r>
      <w:r w:rsidRPr="00587948">
        <w:rPr>
          <w:rFonts w:ascii="Times New Roman" w:hAnsi="Times New Roman" w:cs="Times New Roman" w:hint="eastAsia"/>
          <w:color w:val="auto"/>
          <w:szCs w:val="24"/>
        </w:rPr>
        <w:t>应计利息共计</w:t>
      </w:r>
      <w:r w:rsidRPr="00587948">
        <w:rPr>
          <w:rFonts w:ascii="Times New Roman" w:hAnsi="Times New Roman" w:cs="Times New Roman"/>
          <w:color w:val="auto"/>
          <w:szCs w:val="24"/>
        </w:rPr>
        <w:t>人民币</w:t>
      </w:r>
      <w:r w:rsidR="009762C3">
        <w:rPr>
          <w:rFonts w:ascii="Times New Roman" w:hAnsi="Times New Roman" w:cs="Times New Roman" w:hint="eastAsia"/>
          <w:color w:val="auto"/>
          <w:szCs w:val="24"/>
        </w:rPr>
        <w:t>1,593</w:t>
      </w:r>
      <w:r w:rsidR="009762C3">
        <w:rPr>
          <w:rFonts w:ascii="Times New Roman" w:hAnsi="Times New Roman" w:cs="Times New Roman"/>
          <w:color w:val="auto"/>
          <w:szCs w:val="24"/>
        </w:rPr>
        <w:t>.70</w:t>
      </w:r>
      <w:r w:rsidRPr="00587948">
        <w:rPr>
          <w:rFonts w:ascii="Times New Roman" w:hAnsi="Times New Roman" w:cs="Times New Roman" w:hint="eastAsia"/>
          <w:color w:val="auto"/>
          <w:szCs w:val="24"/>
        </w:rPr>
        <w:t>元</w:t>
      </w:r>
      <w:r w:rsidR="00A034D1">
        <w:rPr>
          <w:rFonts w:ascii="Times New Roman" w:hAnsi="Times New Roman" w:cs="Times New Roman" w:hint="eastAsia"/>
          <w:color w:val="auto"/>
          <w:szCs w:val="24"/>
        </w:rPr>
        <w:t>，</w:t>
      </w:r>
      <w:r w:rsidR="00A034D1" w:rsidRPr="00D15E53">
        <w:rPr>
          <w:rFonts w:ascii="Times New Roman" w:hAnsi="Times New Roman" w:cs="Times New Roman"/>
        </w:rPr>
        <w:t>已于</w:t>
      </w:r>
      <w:r w:rsidR="00A034D1" w:rsidRPr="00D15E53">
        <w:rPr>
          <w:rFonts w:ascii="Times New Roman" w:hAnsi="Times New Roman" w:cs="Times New Roman"/>
        </w:rPr>
        <w:t>2022</w:t>
      </w:r>
      <w:r w:rsidR="00A034D1" w:rsidRPr="00D15E53">
        <w:rPr>
          <w:rFonts w:ascii="Times New Roman" w:hAnsi="Times New Roman" w:cs="Times New Roman"/>
        </w:rPr>
        <w:t>年</w:t>
      </w:r>
      <w:r w:rsidR="00A034D1" w:rsidRPr="00D15E53">
        <w:rPr>
          <w:rFonts w:ascii="Times New Roman" w:hAnsi="Times New Roman" w:cs="Times New Roman"/>
        </w:rPr>
        <w:t>1</w:t>
      </w:r>
      <w:r w:rsidR="00A034D1">
        <w:rPr>
          <w:rFonts w:ascii="Times New Roman" w:hAnsi="Times New Roman" w:cs="Times New Roman"/>
        </w:rPr>
        <w:t>2</w:t>
      </w:r>
      <w:r w:rsidR="00A034D1" w:rsidRPr="00D15E53">
        <w:rPr>
          <w:rFonts w:ascii="Times New Roman" w:hAnsi="Times New Roman" w:cs="Times New Roman"/>
        </w:rPr>
        <w:t>月</w:t>
      </w:r>
      <w:r w:rsidR="00A034D1">
        <w:rPr>
          <w:rFonts w:ascii="Times New Roman" w:hAnsi="Times New Roman" w:cs="Times New Roman"/>
        </w:rPr>
        <w:t>21</w:t>
      </w:r>
      <w:r w:rsidR="00A034D1" w:rsidRPr="00D15E53">
        <w:rPr>
          <w:rFonts w:ascii="Times New Roman" w:hAnsi="Times New Roman" w:cs="Times New Roman"/>
        </w:rPr>
        <w:t>日</w:t>
      </w:r>
      <w:r w:rsidR="00A034D1">
        <w:rPr>
          <w:rFonts w:ascii="Times New Roman" w:hAnsi="Times New Roman" w:cs="Times New Roman" w:hint="eastAsia"/>
        </w:rPr>
        <w:t>结息到账</w:t>
      </w:r>
      <w:r w:rsidRPr="00587948">
        <w:rPr>
          <w:rFonts w:ascii="Times New Roman" w:hAnsi="Times New Roman" w:cs="Times New Roman"/>
          <w:color w:val="auto"/>
          <w:szCs w:val="24"/>
        </w:rPr>
        <w:t>。</w:t>
      </w:r>
      <w:r w:rsidRPr="00587948">
        <w:rPr>
          <w:rFonts w:ascii="Times New Roman" w:hAnsi="Times New Roman" w:cs="Times New Roman" w:hint="eastAsia"/>
          <w:color w:val="auto"/>
          <w:szCs w:val="24"/>
        </w:rPr>
        <w:t>深圳结算备付金为</w:t>
      </w:r>
      <w:r w:rsidRPr="00587948">
        <w:rPr>
          <w:rFonts w:ascii="Times New Roman" w:hAnsi="Times New Roman" w:cs="Times New Roman"/>
          <w:color w:val="auto"/>
          <w:szCs w:val="24"/>
        </w:rPr>
        <w:t>人民币</w:t>
      </w:r>
      <w:r w:rsidR="009762C3">
        <w:rPr>
          <w:rFonts w:ascii="Times New Roman" w:hAnsi="Times New Roman" w:cs="Times New Roman"/>
          <w:color w:val="auto"/>
          <w:szCs w:val="24"/>
        </w:rPr>
        <w:t>723</w:t>
      </w:r>
      <w:r w:rsidRPr="00587948">
        <w:rPr>
          <w:rFonts w:ascii="Times New Roman" w:hAnsi="Times New Roman" w:cs="Times New Roman"/>
          <w:color w:val="auto"/>
          <w:szCs w:val="24"/>
        </w:rPr>
        <w:t>.</w:t>
      </w:r>
      <w:r w:rsidR="009762C3">
        <w:rPr>
          <w:rFonts w:ascii="Times New Roman" w:hAnsi="Times New Roman" w:cs="Times New Roman"/>
          <w:color w:val="auto"/>
          <w:szCs w:val="24"/>
        </w:rPr>
        <w:t>11</w:t>
      </w:r>
      <w:r w:rsidRPr="00587948">
        <w:rPr>
          <w:rFonts w:ascii="Times New Roman" w:hAnsi="Times New Roman" w:cs="Times New Roman" w:hint="eastAsia"/>
          <w:color w:val="auto"/>
          <w:szCs w:val="24"/>
        </w:rPr>
        <w:t>元，</w:t>
      </w:r>
      <w:r w:rsidR="00A034D1" w:rsidRPr="00587948">
        <w:rPr>
          <w:rFonts w:ascii="Times New Roman" w:hAnsi="Times New Roman" w:cs="Times New Roman" w:hint="eastAsia"/>
          <w:color w:val="auto"/>
          <w:szCs w:val="24"/>
        </w:rPr>
        <w:t>其中</w:t>
      </w:r>
      <w:r w:rsidRPr="00587948">
        <w:rPr>
          <w:rFonts w:ascii="Times New Roman" w:hAnsi="Times New Roman" w:cs="Times New Roman" w:hint="eastAsia"/>
          <w:color w:val="auto"/>
          <w:szCs w:val="24"/>
        </w:rPr>
        <w:t>应计利息共计</w:t>
      </w:r>
      <w:r w:rsidRPr="00587948">
        <w:rPr>
          <w:rFonts w:ascii="Times New Roman" w:hAnsi="Times New Roman" w:cs="Times New Roman"/>
          <w:color w:val="auto"/>
          <w:szCs w:val="24"/>
        </w:rPr>
        <w:t>人民币</w:t>
      </w:r>
      <w:r w:rsidR="009762C3">
        <w:rPr>
          <w:rFonts w:ascii="Times New Roman" w:hAnsi="Times New Roman" w:cs="Times New Roman"/>
          <w:color w:val="auto"/>
          <w:szCs w:val="24"/>
        </w:rPr>
        <w:t>3.68</w:t>
      </w:r>
      <w:r w:rsidR="0037775D" w:rsidRPr="00587948">
        <w:rPr>
          <w:rFonts w:ascii="Times New Roman" w:hAnsi="Times New Roman" w:cs="Times New Roman" w:hint="eastAsia"/>
          <w:color w:val="auto"/>
          <w:szCs w:val="24"/>
        </w:rPr>
        <w:t>元</w:t>
      </w:r>
      <w:r w:rsidR="00A034D1">
        <w:rPr>
          <w:rFonts w:ascii="Times New Roman" w:hAnsi="Times New Roman" w:cs="Times New Roman" w:hint="eastAsia"/>
          <w:color w:val="auto"/>
          <w:szCs w:val="24"/>
        </w:rPr>
        <w:t>，</w:t>
      </w:r>
      <w:r w:rsidR="00A034D1" w:rsidRPr="00D15E53">
        <w:rPr>
          <w:rFonts w:ascii="Times New Roman" w:hAnsi="Times New Roman" w:cs="Times New Roman"/>
        </w:rPr>
        <w:t>已于</w:t>
      </w:r>
      <w:r w:rsidR="00A034D1" w:rsidRPr="00D15E53">
        <w:rPr>
          <w:rFonts w:ascii="Times New Roman" w:hAnsi="Times New Roman" w:cs="Times New Roman"/>
        </w:rPr>
        <w:t>2022</w:t>
      </w:r>
      <w:r w:rsidR="00A034D1" w:rsidRPr="00D15E53">
        <w:rPr>
          <w:rFonts w:ascii="Times New Roman" w:hAnsi="Times New Roman" w:cs="Times New Roman"/>
        </w:rPr>
        <w:t>年</w:t>
      </w:r>
      <w:r w:rsidR="00A034D1" w:rsidRPr="00D15E53">
        <w:rPr>
          <w:rFonts w:ascii="Times New Roman" w:hAnsi="Times New Roman" w:cs="Times New Roman"/>
        </w:rPr>
        <w:t>1</w:t>
      </w:r>
      <w:r w:rsidR="00A034D1">
        <w:rPr>
          <w:rFonts w:ascii="Times New Roman" w:hAnsi="Times New Roman" w:cs="Times New Roman"/>
        </w:rPr>
        <w:t>2</w:t>
      </w:r>
      <w:r w:rsidR="00A034D1" w:rsidRPr="00D15E53">
        <w:rPr>
          <w:rFonts w:ascii="Times New Roman" w:hAnsi="Times New Roman" w:cs="Times New Roman"/>
        </w:rPr>
        <w:t>月</w:t>
      </w:r>
      <w:r w:rsidR="00A034D1">
        <w:rPr>
          <w:rFonts w:ascii="Times New Roman" w:hAnsi="Times New Roman" w:cs="Times New Roman"/>
        </w:rPr>
        <w:t>21</w:t>
      </w:r>
      <w:r w:rsidR="00A034D1" w:rsidRPr="00D15E53">
        <w:rPr>
          <w:rFonts w:ascii="Times New Roman" w:hAnsi="Times New Roman" w:cs="Times New Roman"/>
        </w:rPr>
        <w:t>日</w:t>
      </w:r>
      <w:r w:rsidR="00A034D1">
        <w:rPr>
          <w:rFonts w:ascii="Times New Roman" w:hAnsi="Times New Roman" w:cs="Times New Roman" w:hint="eastAsia"/>
        </w:rPr>
        <w:t>结息到账</w:t>
      </w:r>
      <w:r w:rsidRPr="00587948">
        <w:rPr>
          <w:rFonts w:ascii="Times New Roman" w:hAnsi="Times New Roman" w:cs="Times New Roman"/>
          <w:color w:val="auto"/>
          <w:szCs w:val="24"/>
        </w:rPr>
        <w:t>。</w:t>
      </w:r>
    </w:p>
    <w:p w:rsidR="000C738A" w:rsidRPr="00587948" w:rsidRDefault="000C738A" w:rsidP="000C738A">
      <w:pPr>
        <w:numPr>
          <w:ilvl w:val="0"/>
          <w:numId w:val="2"/>
        </w:numPr>
        <w:spacing w:after="0" w:line="360" w:lineRule="auto"/>
        <w:ind w:firstLine="480"/>
        <w:rPr>
          <w:rFonts w:ascii="Times New Roman" w:hAnsi="Times New Roman" w:cs="Times New Roman"/>
          <w:color w:val="auto"/>
          <w:szCs w:val="24"/>
        </w:rPr>
      </w:pPr>
      <w:r w:rsidRPr="00587948">
        <w:rPr>
          <w:rFonts w:hint="eastAsia"/>
          <w:kern w:val="0"/>
        </w:rPr>
        <w:t>本基金最后运作日存出保证金为人民币</w:t>
      </w:r>
      <w:r w:rsidR="009762C3">
        <w:rPr>
          <w:rFonts w:ascii="Times New Roman" w:hAnsi="Times New Roman" w:cs="Times New Roman"/>
          <w:color w:val="auto"/>
          <w:kern w:val="0"/>
          <w:szCs w:val="24"/>
        </w:rPr>
        <w:t>59</w:t>
      </w:r>
      <w:r w:rsidRPr="00587948">
        <w:rPr>
          <w:rFonts w:ascii="Times New Roman" w:hAnsi="Times New Roman" w:cs="Times New Roman" w:hint="eastAsia"/>
          <w:color w:val="auto"/>
          <w:kern w:val="0"/>
          <w:szCs w:val="24"/>
        </w:rPr>
        <w:t>,</w:t>
      </w:r>
      <w:r w:rsidR="009762C3">
        <w:rPr>
          <w:rFonts w:ascii="Times New Roman" w:hAnsi="Times New Roman" w:cs="Times New Roman"/>
          <w:color w:val="auto"/>
          <w:kern w:val="0"/>
          <w:szCs w:val="24"/>
        </w:rPr>
        <w:t>134</w:t>
      </w:r>
      <w:r w:rsidR="006B4785" w:rsidRPr="00587948">
        <w:rPr>
          <w:rFonts w:ascii="Times New Roman" w:hAnsi="Times New Roman" w:cs="Times New Roman"/>
          <w:color w:val="auto"/>
          <w:kern w:val="0"/>
          <w:szCs w:val="24"/>
        </w:rPr>
        <w:t>.</w:t>
      </w:r>
      <w:r w:rsidR="009762C3">
        <w:rPr>
          <w:rFonts w:ascii="Times New Roman" w:hAnsi="Times New Roman" w:cs="Times New Roman"/>
          <w:color w:val="auto"/>
          <w:kern w:val="0"/>
          <w:szCs w:val="24"/>
        </w:rPr>
        <w:t>30</w:t>
      </w:r>
      <w:r w:rsidRPr="00587948">
        <w:rPr>
          <w:rFonts w:hint="eastAsia"/>
          <w:kern w:val="0"/>
        </w:rPr>
        <w:t>元，上海存出</w:t>
      </w:r>
      <w:r w:rsidRPr="00587948">
        <w:rPr>
          <w:kern w:val="0"/>
        </w:rPr>
        <w:t>保证</w:t>
      </w:r>
      <w:r w:rsidRPr="00587948">
        <w:rPr>
          <w:rFonts w:hint="eastAsia"/>
          <w:kern w:val="0"/>
        </w:rPr>
        <w:t>金为人民币</w:t>
      </w:r>
      <w:r w:rsidR="006B4785" w:rsidRPr="00587948">
        <w:rPr>
          <w:rFonts w:ascii="Times New Roman" w:hAnsi="Times New Roman" w:cs="Times New Roman"/>
          <w:color w:val="auto"/>
          <w:szCs w:val="24"/>
        </w:rPr>
        <w:t>4</w:t>
      </w:r>
      <w:r w:rsidR="009762C3">
        <w:rPr>
          <w:rFonts w:ascii="Times New Roman" w:hAnsi="Times New Roman" w:cs="Times New Roman"/>
          <w:color w:val="auto"/>
          <w:szCs w:val="24"/>
        </w:rPr>
        <w:t>8</w:t>
      </w:r>
      <w:r w:rsidRPr="00587948">
        <w:rPr>
          <w:rFonts w:ascii="Times New Roman" w:hAnsi="Times New Roman" w:cs="Times New Roman" w:hint="eastAsia"/>
          <w:color w:val="auto"/>
          <w:szCs w:val="24"/>
        </w:rPr>
        <w:t>,</w:t>
      </w:r>
      <w:r w:rsidR="009762C3">
        <w:rPr>
          <w:rFonts w:ascii="Times New Roman" w:hAnsi="Times New Roman" w:cs="Times New Roman"/>
          <w:color w:val="auto"/>
          <w:szCs w:val="24"/>
        </w:rPr>
        <w:t>492</w:t>
      </w:r>
      <w:r w:rsidR="006B4785" w:rsidRPr="00587948">
        <w:rPr>
          <w:rFonts w:ascii="Times New Roman" w:hAnsi="Times New Roman" w:cs="Times New Roman"/>
          <w:color w:val="auto"/>
          <w:szCs w:val="24"/>
        </w:rPr>
        <w:t>.</w:t>
      </w:r>
      <w:r w:rsidR="009762C3">
        <w:rPr>
          <w:rFonts w:ascii="Times New Roman" w:hAnsi="Times New Roman" w:cs="Times New Roman"/>
          <w:color w:val="auto"/>
          <w:szCs w:val="24"/>
        </w:rPr>
        <w:t>09</w:t>
      </w:r>
      <w:r w:rsidRPr="00587948">
        <w:rPr>
          <w:kern w:val="0"/>
        </w:rPr>
        <w:t>元，</w:t>
      </w:r>
      <w:r w:rsidR="00A034D1" w:rsidRPr="00587948">
        <w:rPr>
          <w:rFonts w:hint="eastAsia"/>
          <w:kern w:val="0"/>
        </w:rPr>
        <w:t>其中</w:t>
      </w:r>
      <w:r w:rsidRPr="00587948">
        <w:rPr>
          <w:rFonts w:ascii="Times New Roman" w:hAnsi="Times New Roman" w:cs="Times New Roman" w:hint="eastAsia"/>
          <w:color w:val="auto"/>
          <w:szCs w:val="24"/>
        </w:rPr>
        <w:t>应计利息共计</w:t>
      </w:r>
      <w:r w:rsidRPr="00587948">
        <w:rPr>
          <w:rFonts w:ascii="Times New Roman" w:hAnsi="Times New Roman" w:cs="Times New Roman"/>
          <w:color w:val="auto"/>
          <w:szCs w:val="24"/>
        </w:rPr>
        <w:t>人民币</w:t>
      </w:r>
      <w:r w:rsidR="009762C3">
        <w:rPr>
          <w:rFonts w:ascii="Times New Roman" w:hAnsi="Times New Roman" w:cs="Times New Roman"/>
          <w:color w:val="auto"/>
          <w:szCs w:val="24"/>
        </w:rPr>
        <w:t>165</w:t>
      </w:r>
      <w:r w:rsidR="006B4785" w:rsidRPr="00587948">
        <w:rPr>
          <w:rFonts w:ascii="Times New Roman" w:hAnsi="Times New Roman" w:cs="Times New Roman"/>
          <w:color w:val="auto"/>
          <w:szCs w:val="24"/>
        </w:rPr>
        <w:t>.5</w:t>
      </w:r>
      <w:r w:rsidR="009762C3">
        <w:rPr>
          <w:rFonts w:ascii="Times New Roman" w:hAnsi="Times New Roman" w:cs="Times New Roman"/>
          <w:color w:val="auto"/>
          <w:szCs w:val="24"/>
        </w:rPr>
        <w:t>8</w:t>
      </w:r>
      <w:r w:rsidRPr="00587948">
        <w:rPr>
          <w:rFonts w:ascii="Times New Roman" w:hAnsi="Times New Roman" w:cs="Times New Roman" w:hint="eastAsia"/>
          <w:color w:val="auto"/>
          <w:szCs w:val="24"/>
        </w:rPr>
        <w:t>元</w:t>
      </w:r>
      <w:r w:rsidR="00A034D1">
        <w:rPr>
          <w:rFonts w:ascii="Times New Roman" w:hAnsi="Times New Roman" w:cs="Times New Roman" w:hint="eastAsia"/>
          <w:color w:val="auto"/>
          <w:szCs w:val="24"/>
        </w:rPr>
        <w:t>，</w:t>
      </w:r>
      <w:r w:rsidR="00A034D1" w:rsidRPr="00D15E53">
        <w:rPr>
          <w:rFonts w:ascii="Times New Roman" w:hAnsi="Times New Roman" w:cs="Times New Roman"/>
        </w:rPr>
        <w:t>已于</w:t>
      </w:r>
      <w:r w:rsidR="00A034D1" w:rsidRPr="00D15E53">
        <w:rPr>
          <w:rFonts w:ascii="Times New Roman" w:hAnsi="Times New Roman" w:cs="Times New Roman"/>
        </w:rPr>
        <w:t>2022</w:t>
      </w:r>
      <w:r w:rsidR="00A034D1" w:rsidRPr="00D15E53">
        <w:rPr>
          <w:rFonts w:ascii="Times New Roman" w:hAnsi="Times New Roman" w:cs="Times New Roman"/>
        </w:rPr>
        <w:t>年</w:t>
      </w:r>
      <w:r w:rsidR="00A034D1" w:rsidRPr="00D15E53">
        <w:rPr>
          <w:rFonts w:ascii="Times New Roman" w:hAnsi="Times New Roman" w:cs="Times New Roman"/>
        </w:rPr>
        <w:t>1</w:t>
      </w:r>
      <w:r w:rsidR="00A034D1">
        <w:rPr>
          <w:rFonts w:ascii="Times New Roman" w:hAnsi="Times New Roman" w:cs="Times New Roman"/>
        </w:rPr>
        <w:t>2</w:t>
      </w:r>
      <w:r w:rsidR="00A034D1" w:rsidRPr="00D15E53">
        <w:rPr>
          <w:rFonts w:ascii="Times New Roman" w:hAnsi="Times New Roman" w:cs="Times New Roman"/>
        </w:rPr>
        <w:t>月</w:t>
      </w:r>
      <w:r w:rsidR="00A034D1">
        <w:rPr>
          <w:rFonts w:ascii="Times New Roman" w:hAnsi="Times New Roman" w:cs="Times New Roman"/>
        </w:rPr>
        <w:t>21</w:t>
      </w:r>
      <w:r w:rsidR="00A034D1" w:rsidRPr="00D15E53">
        <w:rPr>
          <w:rFonts w:ascii="Times New Roman" w:hAnsi="Times New Roman" w:cs="Times New Roman"/>
        </w:rPr>
        <w:t>日</w:t>
      </w:r>
      <w:r w:rsidR="00A034D1">
        <w:rPr>
          <w:rFonts w:ascii="Times New Roman" w:hAnsi="Times New Roman" w:cs="Times New Roman" w:hint="eastAsia"/>
        </w:rPr>
        <w:t>结息到账</w:t>
      </w:r>
      <w:r w:rsidRPr="00587948">
        <w:rPr>
          <w:rFonts w:ascii="Times New Roman" w:hAnsi="Times New Roman" w:cs="Times New Roman" w:hint="eastAsia"/>
          <w:color w:val="auto"/>
          <w:szCs w:val="24"/>
        </w:rPr>
        <w:t>。</w:t>
      </w:r>
      <w:r w:rsidRPr="00587948">
        <w:rPr>
          <w:kern w:val="0"/>
        </w:rPr>
        <w:t>深圳</w:t>
      </w:r>
      <w:r w:rsidRPr="00587948">
        <w:rPr>
          <w:rFonts w:hint="eastAsia"/>
          <w:kern w:val="0"/>
        </w:rPr>
        <w:t>存出保证</w:t>
      </w:r>
      <w:r w:rsidRPr="00587948">
        <w:rPr>
          <w:kern w:val="0"/>
        </w:rPr>
        <w:t>金为人民币</w:t>
      </w:r>
      <w:r w:rsidR="006B4785" w:rsidRPr="00587948">
        <w:rPr>
          <w:rFonts w:hint="eastAsia"/>
          <w:kern w:val="0"/>
        </w:rPr>
        <w:t>1</w:t>
      </w:r>
      <w:r w:rsidR="009762C3">
        <w:rPr>
          <w:rFonts w:ascii="Times New Roman" w:hAnsi="Times New Roman" w:cs="Times New Roman"/>
          <w:color w:val="auto"/>
          <w:szCs w:val="24"/>
        </w:rPr>
        <w:t>0</w:t>
      </w:r>
      <w:r w:rsidRPr="00587948">
        <w:rPr>
          <w:rFonts w:ascii="Times New Roman" w:hAnsi="Times New Roman" w:cs="Times New Roman" w:hint="eastAsia"/>
          <w:color w:val="auto"/>
          <w:szCs w:val="24"/>
        </w:rPr>
        <w:t>,</w:t>
      </w:r>
      <w:r w:rsidR="009762C3">
        <w:rPr>
          <w:rFonts w:ascii="Times New Roman" w:hAnsi="Times New Roman" w:cs="Times New Roman"/>
          <w:color w:val="auto"/>
          <w:szCs w:val="24"/>
        </w:rPr>
        <w:t>642</w:t>
      </w:r>
      <w:r w:rsidR="006B4785" w:rsidRPr="00587948">
        <w:rPr>
          <w:rFonts w:ascii="Times New Roman" w:hAnsi="Times New Roman" w:cs="Times New Roman"/>
          <w:color w:val="auto"/>
          <w:szCs w:val="24"/>
        </w:rPr>
        <w:t>.2</w:t>
      </w:r>
      <w:r w:rsidR="009762C3">
        <w:rPr>
          <w:rFonts w:ascii="Times New Roman" w:hAnsi="Times New Roman" w:cs="Times New Roman"/>
          <w:color w:val="auto"/>
          <w:szCs w:val="24"/>
        </w:rPr>
        <w:t>1</w:t>
      </w:r>
      <w:r w:rsidRPr="00587948">
        <w:rPr>
          <w:kern w:val="0"/>
        </w:rPr>
        <w:t>元，</w:t>
      </w:r>
      <w:r w:rsidR="00A034D1" w:rsidRPr="00587948">
        <w:rPr>
          <w:rFonts w:hint="eastAsia"/>
          <w:kern w:val="0"/>
        </w:rPr>
        <w:t>其中</w:t>
      </w:r>
      <w:r w:rsidRPr="00587948">
        <w:rPr>
          <w:rFonts w:ascii="Times New Roman" w:hAnsi="Times New Roman" w:cs="Times New Roman" w:hint="eastAsia"/>
          <w:color w:val="auto"/>
          <w:szCs w:val="24"/>
        </w:rPr>
        <w:t>应计利息共计</w:t>
      </w:r>
      <w:r w:rsidRPr="00587948">
        <w:rPr>
          <w:rFonts w:ascii="Times New Roman" w:hAnsi="Times New Roman" w:cs="Times New Roman"/>
          <w:color w:val="auto"/>
          <w:szCs w:val="24"/>
        </w:rPr>
        <w:t>人民币</w:t>
      </w:r>
      <w:r w:rsidR="009762C3">
        <w:rPr>
          <w:rFonts w:ascii="Times New Roman" w:hAnsi="Times New Roman" w:cs="Times New Roman"/>
          <w:color w:val="auto"/>
          <w:szCs w:val="24"/>
        </w:rPr>
        <w:t>75.38</w:t>
      </w:r>
      <w:r w:rsidRPr="00587948">
        <w:rPr>
          <w:rFonts w:ascii="Times New Roman" w:hAnsi="Times New Roman" w:cs="Times New Roman" w:hint="eastAsia"/>
          <w:color w:val="auto"/>
          <w:szCs w:val="24"/>
        </w:rPr>
        <w:t>元</w:t>
      </w:r>
      <w:r w:rsidR="00DC6DB7">
        <w:rPr>
          <w:rFonts w:ascii="Times New Roman" w:hAnsi="Times New Roman" w:cs="Times New Roman" w:hint="eastAsia"/>
          <w:color w:val="auto"/>
          <w:szCs w:val="24"/>
        </w:rPr>
        <w:t>，</w:t>
      </w:r>
      <w:r w:rsidR="00DC6DB7" w:rsidRPr="00D15E53">
        <w:rPr>
          <w:rFonts w:ascii="Times New Roman" w:hAnsi="Times New Roman" w:cs="Times New Roman"/>
        </w:rPr>
        <w:t>已于</w:t>
      </w:r>
      <w:r w:rsidR="00DC6DB7" w:rsidRPr="00D15E53">
        <w:rPr>
          <w:rFonts w:ascii="Times New Roman" w:hAnsi="Times New Roman" w:cs="Times New Roman"/>
        </w:rPr>
        <w:t>2022</w:t>
      </w:r>
      <w:r w:rsidR="00DC6DB7" w:rsidRPr="00D15E53">
        <w:rPr>
          <w:rFonts w:ascii="Times New Roman" w:hAnsi="Times New Roman" w:cs="Times New Roman"/>
        </w:rPr>
        <w:t>年</w:t>
      </w:r>
      <w:r w:rsidR="00DC6DB7" w:rsidRPr="00D15E53">
        <w:rPr>
          <w:rFonts w:ascii="Times New Roman" w:hAnsi="Times New Roman" w:cs="Times New Roman"/>
        </w:rPr>
        <w:t>1</w:t>
      </w:r>
      <w:r w:rsidR="00DC6DB7">
        <w:rPr>
          <w:rFonts w:ascii="Times New Roman" w:hAnsi="Times New Roman" w:cs="Times New Roman"/>
        </w:rPr>
        <w:t>2</w:t>
      </w:r>
      <w:r w:rsidR="00DC6DB7" w:rsidRPr="00D15E53">
        <w:rPr>
          <w:rFonts w:ascii="Times New Roman" w:hAnsi="Times New Roman" w:cs="Times New Roman"/>
        </w:rPr>
        <w:t>月</w:t>
      </w:r>
      <w:r w:rsidR="00DC6DB7">
        <w:rPr>
          <w:rFonts w:ascii="Times New Roman" w:hAnsi="Times New Roman" w:cs="Times New Roman"/>
        </w:rPr>
        <w:t>21</w:t>
      </w:r>
      <w:r w:rsidR="00DC6DB7" w:rsidRPr="00D15E53">
        <w:rPr>
          <w:rFonts w:ascii="Times New Roman" w:hAnsi="Times New Roman" w:cs="Times New Roman"/>
        </w:rPr>
        <w:t>日</w:t>
      </w:r>
      <w:r w:rsidR="00DC6DB7">
        <w:rPr>
          <w:rFonts w:ascii="Times New Roman" w:hAnsi="Times New Roman" w:cs="Times New Roman" w:hint="eastAsia"/>
        </w:rPr>
        <w:t>结息到账</w:t>
      </w:r>
      <w:r w:rsidRPr="00587948">
        <w:rPr>
          <w:rFonts w:ascii="Times New Roman" w:hAnsi="Times New Roman" w:cs="Times New Roman" w:hint="eastAsia"/>
          <w:color w:val="auto"/>
          <w:szCs w:val="24"/>
        </w:rPr>
        <w:t>。</w:t>
      </w:r>
    </w:p>
    <w:p w:rsidR="000C738A" w:rsidRPr="00184478" w:rsidRDefault="000C738A" w:rsidP="000C738A">
      <w:pPr>
        <w:numPr>
          <w:ilvl w:val="0"/>
          <w:numId w:val="2"/>
        </w:numPr>
        <w:spacing w:after="0" w:line="360" w:lineRule="auto"/>
        <w:ind w:firstLine="480"/>
        <w:rPr>
          <w:rFonts w:ascii="Times New Roman" w:hAnsi="Times New Roman" w:cs="Times New Roman"/>
          <w:color w:val="auto"/>
          <w:szCs w:val="24"/>
        </w:rPr>
      </w:pPr>
      <w:r w:rsidRPr="00184478">
        <w:rPr>
          <w:rFonts w:ascii="Times New Roman" w:hAnsi="Times New Roman" w:cs="Times New Roman"/>
          <w:color w:val="auto"/>
          <w:szCs w:val="24"/>
        </w:rPr>
        <w:t>本基金最后运作日应收申购款为人民</w:t>
      </w:r>
      <w:r w:rsidRPr="00184478">
        <w:rPr>
          <w:rFonts w:ascii="Times New Roman" w:hAnsi="Times New Roman" w:cs="Times New Roman"/>
          <w:color w:val="auto"/>
          <w:kern w:val="0"/>
          <w:szCs w:val="24"/>
        </w:rPr>
        <w:t>币</w:t>
      </w:r>
      <w:r w:rsidR="00184FDD">
        <w:rPr>
          <w:rFonts w:ascii="Times New Roman" w:hAnsi="Times New Roman" w:cs="Times New Roman"/>
          <w:kern w:val="0"/>
          <w:szCs w:val="24"/>
        </w:rPr>
        <w:t>1,032.85</w:t>
      </w:r>
      <w:r w:rsidRPr="00184478">
        <w:rPr>
          <w:rFonts w:ascii="Times New Roman" w:hAnsi="Times New Roman" w:cs="Times New Roman"/>
          <w:color w:val="auto"/>
          <w:szCs w:val="24"/>
        </w:rPr>
        <w:t>元，</w:t>
      </w:r>
      <w:r w:rsidRPr="00184478">
        <w:rPr>
          <w:rFonts w:ascii="Times New Roman" w:hAnsi="Times New Roman" w:cs="Times New Roman" w:hint="eastAsia"/>
          <w:color w:val="auto"/>
          <w:szCs w:val="24"/>
        </w:rPr>
        <w:t>该</w:t>
      </w:r>
      <w:r w:rsidRPr="00184478">
        <w:rPr>
          <w:rFonts w:ascii="Times New Roman" w:hAnsi="Times New Roman" w:cs="Times New Roman"/>
          <w:color w:val="auto"/>
          <w:szCs w:val="24"/>
        </w:rPr>
        <w:t>款项已于</w:t>
      </w:r>
      <w:r w:rsidRPr="00184478">
        <w:rPr>
          <w:rFonts w:ascii="Times New Roman" w:hAnsi="Times New Roman" w:cs="Times New Roman"/>
          <w:color w:val="auto"/>
          <w:szCs w:val="24"/>
        </w:rPr>
        <w:t>2022</w:t>
      </w:r>
      <w:r w:rsidRPr="00184478">
        <w:rPr>
          <w:rFonts w:ascii="Times New Roman" w:hAnsi="Times New Roman" w:cs="Times New Roman" w:hint="eastAsia"/>
          <w:color w:val="auto"/>
          <w:szCs w:val="24"/>
        </w:rPr>
        <w:t>年</w:t>
      </w:r>
      <w:r w:rsidR="00184478" w:rsidRPr="00184478">
        <w:rPr>
          <w:rFonts w:ascii="Times New Roman" w:hAnsi="Times New Roman" w:cs="Times New Roman"/>
          <w:color w:val="auto"/>
          <w:szCs w:val="24"/>
        </w:rPr>
        <w:t>1</w:t>
      </w:r>
      <w:r w:rsidR="00DF64D6">
        <w:rPr>
          <w:rFonts w:ascii="Times New Roman" w:hAnsi="Times New Roman" w:cs="Times New Roman"/>
          <w:color w:val="auto"/>
          <w:szCs w:val="24"/>
        </w:rPr>
        <w:t>2</w:t>
      </w:r>
      <w:r w:rsidRPr="00184478">
        <w:rPr>
          <w:rFonts w:ascii="Times New Roman" w:hAnsi="Times New Roman" w:cs="Times New Roman" w:hint="eastAsia"/>
          <w:color w:val="auto"/>
          <w:szCs w:val="24"/>
        </w:rPr>
        <w:t>月</w:t>
      </w:r>
      <w:r w:rsidR="00DF64D6">
        <w:rPr>
          <w:rFonts w:ascii="Times New Roman" w:hAnsi="Times New Roman" w:cs="Times New Roman"/>
        </w:rPr>
        <w:t>9</w:t>
      </w:r>
      <w:r w:rsidRPr="00184478">
        <w:rPr>
          <w:rFonts w:ascii="Times New Roman" w:hAnsi="Times New Roman" w:cs="Times New Roman" w:hint="eastAsia"/>
          <w:color w:val="auto"/>
          <w:szCs w:val="24"/>
        </w:rPr>
        <w:t>日</w:t>
      </w:r>
      <w:r w:rsidRPr="00184478">
        <w:rPr>
          <w:rFonts w:ascii="Times New Roman" w:hAnsi="Times New Roman" w:cs="Times New Roman"/>
          <w:color w:val="auto"/>
          <w:szCs w:val="24"/>
        </w:rPr>
        <w:t>划入托管账户。</w:t>
      </w:r>
    </w:p>
    <w:p w:rsidR="000C738A" w:rsidRPr="00167FEB" w:rsidRDefault="000C738A" w:rsidP="000C738A">
      <w:pPr>
        <w:spacing w:after="0" w:line="360" w:lineRule="auto"/>
        <w:ind w:left="0" w:firstLineChars="200" w:firstLine="480"/>
        <w:rPr>
          <w:rFonts w:ascii="Times New Roman" w:hAnsi="Times New Roman" w:cs="Times New Roman"/>
          <w:kern w:val="0"/>
          <w:szCs w:val="24"/>
        </w:rPr>
      </w:pPr>
      <w:r w:rsidRPr="00167FEB">
        <w:rPr>
          <w:rFonts w:ascii="Times New Roman" w:hAnsi="Times New Roman" w:cs="Times New Roman"/>
          <w:color w:val="auto"/>
          <w:szCs w:val="24"/>
        </w:rPr>
        <w:t>（三）负债清偿情</w:t>
      </w:r>
      <w:r w:rsidRPr="00167FEB">
        <w:rPr>
          <w:rFonts w:ascii="Times New Roman" w:hAnsi="Times New Roman" w:cs="Times New Roman"/>
          <w:kern w:val="0"/>
          <w:szCs w:val="24"/>
        </w:rPr>
        <w:t>况</w:t>
      </w:r>
    </w:p>
    <w:p w:rsidR="000C738A" w:rsidRPr="00D15E53" w:rsidRDefault="000C738A" w:rsidP="000C738A">
      <w:pPr>
        <w:numPr>
          <w:ilvl w:val="0"/>
          <w:numId w:val="5"/>
        </w:numPr>
        <w:spacing w:after="0" w:line="360" w:lineRule="auto"/>
        <w:ind w:firstLine="480"/>
        <w:rPr>
          <w:rFonts w:ascii="Times New Roman" w:hAnsi="Times New Roman" w:cs="Times New Roman"/>
        </w:rPr>
      </w:pPr>
      <w:r w:rsidRPr="00D15E53">
        <w:rPr>
          <w:rFonts w:ascii="Times New Roman" w:hAnsi="Times New Roman" w:cs="Times New Roman"/>
        </w:rPr>
        <w:t>本基金最后运作日应付赎回款为人民币</w:t>
      </w:r>
      <w:r w:rsidR="00DF64D6">
        <w:rPr>
          <w:rFonts w:ascii="Times New Roman" w:hAnsi="Times New Roman" w:cs="Times New Roman"/>
          <w:kern w:val="0"/>
          <w:szCs w:val="24"/>
        </w:rPr>
        <w:t>31</w:t>
      </w:r>
      <w:r w:rsidRPr="00D15E53">
        <w:rPr>
          <w:rFonts w:ascii="Times New Roman" w:hAnsi="Times New Roman" w:cs="Times New Roman" w:hint="eastAsia"/>
          <w:kern w:val="0"/>
          <w:szCs w:val="24"/>
        </w:rPr>
        <w:t>,</w:t>
      </w:r>
      <w:r w:rsidR="00DF64D6">
        <w:rPr>
          <w:rFonts w:ascii="Times New Roman" w:hAnsi="Times New Roman" w:cs="Times New Roman"/>
          <w:kern w:val="0"/>
          <w:szCs w:val="24"/>
        </w:rPr>
        <w:t>764</w:t>
      </w:r>
      <w:r w:rsidRPr="00D15E53">
        <w:rPr>
          <w:rFonts w:ascii="Times New Roman" w:hAnsi="Times New Roman" w:cs="Times New Roman"/>
          <w:kern w:val="0"/>
          <w:szCs w:val="24"/>
        </w:rPr>
        <w:t>.</w:t>
      </w:r>
      <w:r w:rsidR="00DF64D6">
        <w:rPr>
          <w:rFonts w:ascii="Times New Roman" w:hAnsi="Times New Roman" w:cs="Times New Roman"/>
          <w:kern w:val="0"/>
          <w:szCs w:val="24"/>
        </w:rPr>
        <w:t>35</w:t>
      </w:r>
      <w:r w:rsidRPr="00D15E53">
        <w:rPr>
          <w:rFonts w:ascii="Times New Roman" w:hAnsi="Times New Roman" w:cs="Times New Roman"/>
        </w:rPr>
        <w:t>元，该款项已于</w:t>
      </w:r>
      <w:r w:rsidRPr="00D15E53">
        <w:rPr>
          <w:rFonts w:ascii="Times New Roman" w:hAnsi="Times New Roman" w:cs="Times New Roman"/>
        </w:rPr>
        <w:t>2022</w:t>
      </w:r>
      <w:r w:rsidRPr="00D15E53">
        <w:rPr>
          <w:rFonts w:ascii="Times New Roman" w:hAnsi="Times New Roman" w:cs="Times New Roman"/>
        </w:rPr>
        <w:t>年</w:t>
      </w:r>
      <w:r w:rsidR="00D15E53" w:rsidRPr="00D15E53">
        <w:rPr>
          <w:rFonts w:ascii="Times New Roman" w:hAnsi="Times New Roman" w:cs="Times New Roman"/>
        </w:rPr>
        <w:t>1</w:t>
      </w:r>
      <w:r w:rsidR="00DF64D6">
        <w:rPr>
          <w:rFonts w:ascii="Times New Roman" w:hAnsi="Times New Roman" w:cs="Times New Roman"/>
        </w:rPr>
        <w:t>2</w:t>
      </w:r>
      <w:r w:rsidRPr="00D15E53">
        <w:rPr>
          <w:rFonts w:ascii="Times New Roman" w:hAnsi="Times New Roman" w:cs="Times New Roman"/>
        </w:rPr>
        <w:t>月</w:t>
      </w:r>
      <w:r w:rsidR="00DF64D6">
        <w:rPr>
          <w:rFonts w:ascii="Times New Roman" w:hAnsi="Times New Roman" w:cs="Times New Roman"/>
        </w:rPr>
        <w:t>9</w:t>
      </w:r>
      <w:r w:rsidRPr="00D15E53">
        <w:rPr>
          <w:rFonts w:ascii="Times New Roman" w:hAnsi="Times New Roman" w:cs="Times New Roman"/>
        </w:rPr>
        <w:t>日支付完毕。</w:t>
      </w:r>
    </w:p>
    <w:p w:rsidR="000C738A" w:rsidRPr="001D173C" w:rsidRDefault="000C738A" w:rsidP="000C738A">
      <w:pPr>
        <w:numPr>
          <w:ilvl w:val="0"/>
          <w:numId w:val="5"/>
        </w:numPr>
        <w:spacing w:after="0" w:line="360" w:lineRule="auto"/>
        <w:ind w:firstLine="480"/>
        <w:rPr>
          <w:rFonts w:ascii="Times New Roman" w:hAnsi="Times New Roman" w:cs="Times New Roman"/>
        </w:rPr>
      </w:pPr>
      <w:r w:rsidRPr="001D173C">
        <w:rPr>
          <w:rFonts w:ascii="Times New Roman" w:hAnsi="Times New Roman" w:cs="Times New Roman"/>
        </w:rPr>
        <w:t>本基金最后运作日应付管理人报酬为人民币</w:t>
      </w:r>
      <w:r w:rsidR="00D15E53" w:rsidRPr="001D173C">
        <w:rPr>
          <w:rFonts w:ascii="Times New Roman" w:hAnsi="Times New Roman" w:cs="Times New Roman"/>
          <w:kern w:val="0"/>
          <w:szCs w:val="24"/>
        </w:rPr>
        <w:t>3</w:t>
      </w:r>
      <w:r w:rsidRPr="001D173C">
        <w:rPr>
          <w:rFonts w:ascii="Times New Roman" w:hAnsi="Times New Roman" w:cs="Times New Roman" w:hint="eastAsia"/>
          <w:kern w:val="0"/>
          <w:szCs w:val="24"/>
        </w:rPr>
        <w:t>,</w:t>
      </w:r>
      <w:r w:rsidR="00DF64D6">
        <w:rPr>
          <w:rFonts w:ascii="Times New Roman" w:hAnsi="Times New Roman" w:cs="Times New Roman"/>
          <w:kern w:val="0"/>
          <w:szCs w:val="24"/>
        </w:rPr>
        <w:t>071</w:t>
      </w:r>
      <w:r w:rsidRPr="001D173C">
        <w:rPr>
          <w:rFonts w:ascii="Times New Roman" w:hAnsi="Times New Roman" w:cs="Times New Roman"/>
          <w:kern w:val="0"/>
          <w:szCs w:val="24"/>
        </w:rPr>
        <w:t>.</w:t>
      </w:r>
      <w:r w:rsidR="00DF64D6">
        <w:rPr>
          <w:rFonts w:ascii="Times New Roman" w:hAnsi="Times New Roman" w:cs="Times New Roman"/>
          <w:kern w:val="0"/>
          <w:szCs w:val="24"/>
        </w:rPr>
        <w:t>27</w:t>
      </w:r>
      <w:r w:rsidRPr="001D173C">
        <w:rPr>
          <w:rFonts w:ascii="Times New Roman" w:hAnsi="Times New Roman" w:cs="Times New Roman"/>
        </w:rPr>
        <w:t>元，该款项已于</w:t>
      </w:r>
      <w:r w:rsidRPr="001D173C">
        <w:rPr>
          <w:rFonts w:ascii="Times New Roman" w:hAnsi="Times New Roman" w:cs="Times New Roman"/>
        </w:rPr>
        <w:t>2022</w:t>
      </w:r>
      <w:r w:rsidRPr="001D173C">
        <w:rPr>
          <w:rFonts w:ascii="Times New Roman" w:hAnsi="Times New Roman" w:cs="Times New Roman" w:hint="eastAsia"/>
        </w:rPr>
        <w:t>年</w:t>
      </w:r>
      <w:r w:rsidR="00430A08">
        <w:rPr>
          <w:rFonts w:ascii="Times New Roman" w:hAnsi="Times New Roman" w:cs="Times New Roman"/>
        </w:rPr>
        <w:t>12</w:t>
      </w:r>
      <w:r w:rsidRPr="00430A08">
        <w:rPr>
          <w:rFonts w:ascii="Times New Roman" w:hAnsi="Times New Roman" w:cs="Times New Roman" w:hint="eastAsia"/>
        </w:rPr>
        <w:t>月</w:t>
      </w:r>
      <w:r w:rsidR="00430A08">
        <w:rPr>
          <w:rFonts w:ascii="Times New Roman" w:hAnsi="Times New Roman" w:cs="Times New Roman"/>
        </w:rPr>
        <w:t>15</w:t>
      </w:r>
      <w:r w:rsidRPr="00430A08">
        <w:rPr>
          <w:rFonts w:ascii="Times New Roman" w:hAnsi="Times New Roman" w:cs="Times New Roman" w:hint="eastAsia"/>
        </w:rPr>
        <w:t>日</w:t>
      </w:r>
      <w:r w:rsidRPr="001D173C">
        <w:rPr>
          <w:rFonts w:ascii="Times New Roman" w:hAnsi="Times New Roman" w:cs="Times New Roman"/>
        </w:rPr>
        <w:t>支付。</w:t>
      </w:r>
    </w:p>
    <w:p w:rsidR="000C738A" w:rsidRPr="001D173C" w:rsidRDefault="000C738A" w:rsidP="000C738A">
      <w:pPr>
        <w:numPr>
          <w:ilvl w:val="0"/>
          <w:numId w:val="5"/>
        </w:numPr>
        <w:spacing w:after="0" w:line="360" w:lineRule="auto"/>
        <w:ind w:firstLine="480"/>
        <w:rPr>
          <w:rFonts w:ascii="Times New Roman" w:hAnsi="Times New Roman" w:cs="Times New Roman"/>
        </w:rPr>
      </w:pPr>
      <w:r w:rsidRPr="001D173C">
        <w:rPr>
          <w:rFonts w:ascii="Times New Roman" w:hAnsi="Times New Roman" w:cs="Times New Roman"/>
        </w:rPr>
        <w:t>本基金最后运作日应付托管费为人民币</w:t>
      </w:r>
      <w:r w:rsidR="00DF64D6">
        <w:rPr>
          <w:rFonts w:ascii="Times New Roman" w:hAnsi="Times New Roman" w:cs="Times New Roman" w:hint="eastAsia"/>
        </w:rPr>
        <w:t>8</w:t>
      </w:r>
      <w:r w:rsidR="00DF64D6">
        <w:rPr>
          <w:rFonts w:ascii="Times New Roman" w:hAnsi="Times New Roman" w:cs="Times New Roman"/>
        </w:rPr>
        <w:t>77.52</w:t>
      </w:r>
      <w:r w:rsidRPr="001D173C">
        <w:rPr>
          <w:rFonts w:ascii="Times New Roman" w:hAnsi="Times New Roman" w:cs="Times New Roman"/>
        </w:rPr>
        <w:t>元，该款项已于</w:t>
      </w:r>
      <w:r w:rsidRPr="001D173C">
        <w:rPr>
          <w:rFonts w:ascii="Times New Roman" w:hAnsi="Times New Roman" w:cs="Times New Roman"/>
        </w:rPr>
        <w:t>2022</w:t>
      </w:r>
      <w:r w:rsidRPr="001D173C">
        <w:rPr>
          <w:rFonts w:ascii="Times New Roman" w:hAnsi="Times New Roman" w:cs="Times New Roman" w:hint="eastAsia"/>
        </w:rPr>
        <w:t>年</w:t>
      </w:r>
      <w:r w:rsidR="00430A08" w:rsidRPr="00430A08">
        <w:rPr>
          <w:rFonts w:ascii="Times New Roman" w:hAnsi="Times New Roman" w:cs="Times New Roman"/>
        </w:rPr>
        <w:t>12</w:t>
      </w:r>
      <w:r w:rsidRPr="00430A08">
        <w:rPr>
          <w:rFonts w:ascii="Times New Roman" w:hAnsi="Times New Roman" w:cs="Times New Roman" w:hint="eastAsia"/>
        </w:rPr>
        <w:t>月</w:t>
      </w:r>
      <w:r w:rsidR="00430A08" w:rsidRPr="00430A08">
        <w:rPr>
          <w:rFonts w:ascii="Times New Roman" w:hAnsi="Times New Roman" w:cs="Times New Roman"/>
        </w:rPr>
        <w:t>15</w:t>
      </w:r>
      <w:r w:rsidRPr="00430A08">
        <w:rPr>
          <w:rFonts w:ascii="Times New Roman" w:hAnsi="Times New Roman" w:cs="Times New Roman" w:hint="eastAsia"/>
        </w:rPr>
        <w:t>日</w:t>
      </w:r>
      <w:r w:rsidRPr="001D173C">
        <w:rPr>
          <w:rFonts w:ascii="Times New Roman" w:hAnsi="Times New Roman" w:cs="Times New Roman"/>
        </w:rPr>
        <w:t>支付。</w:t>
      </w:r>
    </w:p>
    <w:p w:rsidR="00385CDF" w:rsidRDefault="00CE2060" w:rsidP="000C738A">
      <w:pPr>
        <w:numPr>
          <w:ilvl w:val="0"/>
          <w:numId w:val="5"/>
        </w:numPr>
        <w:spacing w:after="0" w:line="360" w:lineRule="auto"/>
        <w:ind w:firstLine="480"/>
        <w:rPr>
          <w:rFonts w:ascii="Times New Roman" w:hAnsi="Times New Roman" w:cs="Times New Roman"/>
        </w:rPr>
      </w:pPr>
      <w:r w:rsidRPr="001D173C">
        <w:rPr>
          <w:rFonts w:ascii="Times New Roman" w:hAnsi="Times New Roman" w:cs="Times New Roman"/>
        </w:rPr>
        <w:t>本基金最后运作日应付</w:t>
      </w:r>
      <w:r>
        <w:rPr>
          <w:rFonts w:ascii="Times New Roman" w:hAnsi="Times New Roman" w:cs="Times New Roman" w:hint="eastAsia"/>
        </w:rPr>
        <w:t>C</w:t>
      </w:r>
      <w:r>
        <w:rPr>
          <w:rFonts w:ascii="Times New Roman" w:hAnsi="Times New Roman" w:cs="Times New Roman" w:hint="eastAsia"/>
        </w:rPr>
        <w:t>类基金</w:t>
      </w:r>
      <w:r>
        <w:rPr>
          <w:rFonts w:ascii="Times New Roman" w:hAnsi="Times New Roman" w:cs="Times New Roman"/>
        </w:rPr>
        <w:t>份额销售服务费</w:t>
      </w:r>
      <w:r>
        <w:rPr>
          <w:rFonts w:ascii="Times New Roman" w:hAnsi="Times New Roman" w:cs="Times New Roman" w:hint="eastAsia"/>
        </w:rPr>
        <w:t>为</w:t>
      </w:r>
      <w:r>
        <w:rPr>
          <w:rFonts w:ascii="Times New Roman" w:hAnsi="Times New Roman" w:cs="Times New Roman"/>
        </w:rPr>
        <w:t>人民币</w:t>
      </w:r>
      <w:r>
        <w:rPr>
          <w:rFonts w:ascii="Times New Roman" w:hAnsi="Times New Roman" w:cs="Times New Roman" w:hint="eastAsia"/>
        </w:rPr>
        <w:t>324.36</w:t>
      </w:r>
      <w:r>
        <w:rPr>
          <w:rFonts w:ascii="Times New Roman" w:hAnsi="Times New Roman" w:cs="Times New Roman" w:hint="eastAsia"/>
        </w:rPr>
        <w:t>元</w:t>
      </w:r>
      <w:r>
        <w:rPr>
          <w:rFonts w:ascii="Times New Roman" w:hAnsi="Times New Roman" w:cs="Times New Roman"/>
        </w:rPr>
        <w:t>，</w:t>
      </w:r>
      <w:r w:rsidRPr="001D173C">
        <w:rPr>
          <w:rFonts w:ascii="Times New Roman" w:hAnsi="Times New Roman" w:cs="Times New Roman"/>
        </w:rPr>
        <w:t>该款项已于</w:t>
      </w:r>
      <w:r w:rsidRPr="001D173C">
        <w:rPr>
          <w:rFonts w:ascii="Times New Roman" w:hAnsi="Times New Roman" w:cs="Times New Roman"/>
        </w:rPr>
        <w:t>2022</w:t>
      </w:r>
      <w:r w:rsidRPr="001D173C">
        <w:rPr>
          <w:rFonts w:ascii="Times New Roman" w:hAnsi="Times New Roman" w:cs="Times New Roman" w:hint="eastAsia"/>
        </w:rPr>
        <w:t>年</w:t>
      </w:r>
      <w:r w:rsidR="00430A08" w:rsidRPr="00430A08">
        <w:rPr>
          <w:rFonts w:ascii="Times New Roman" w:hAnsi="Times New Roman" w:cs="Times New Roman"/>
        </w:rPr>
        <w:t>12</w:t>
      </w:r>
      <w:r w:rsidRPr="00430A08">
        <w:rPr>
          <w:rFonts w:ascii="Times New Roman" w:hAnsi="Times New Roman" w:cs="Times New Roman" w:hint="eastAsia"/>
        </w:rPr>
        <w:t>月</w:t>
      </w:r>
      <w:r w:rsidR="00430A08" w:rsidRPr="00430A08">
        <w:rPr>
          <w:rFonts w:ascii="Times New Roman" w:hAnsi="Times New Roman" w:cs="Times New Roman"/>
        </w:rPr>
        <w:t>15</w:t>
      </w:r>
      <w:r w:rsidRPr="00430A08">
        <w:rPr>
          <w:rFonts w:ascii="Times New Roman" w:hAnsi="Times New Roman" w:cs="Times New Roman" w:hint="eastAsia"/>
        </w:rPr>
        <w:t>日</w:t>
      </w:r>
      <w:r w:rsidRPr="001D173C">
        <w:rPr>
          <w:rFonts w:ascii="Times New Roman" w:hAnsi="Times New Roman" w:cs="Times New Roman"/>
        </w:rPr>
        <w:t>支付。</w:t>
      </w:r>
    </w:p>
    <w:p w:rsidR="009370D9" w:rsidRPr="00B952C9" w:rsidRDefault="000C738A" w:rsidP="006D500B">
      <w:pPr>
        <w:numPr>
          <w:ilvl w:val="0"/>
          <w:numId w:val="5"/>
        </w:numPr>
        <w:spacing w:after="0" w:line="360" w:lineRule="auto"/>
        <w:ind w:firstLine="480"/>
        <w:rPr>
          <w:rFonts w:ascii="Times New Roman" w:hAnsi="Times New Roman" w:cs="Times New Roman"/>
        </w:rPr>
      </w:pPr>
      <w:r w:rsidRPr="00385CDF">
        <w:rPr>
          <w:rFonts w:ascii="Times New Roman" w:hAnsi="Times New Roman" w:cs="Times New Roman"/>
        </w:rPr>
        <w:t>本基金最后运作日其他负债为人民币</w:t>
      </w:r>
      <w:r w:rsidR="002D3D99" w:rsidRPr="00385CDF">
        <w:rPr>
          <w:rFonts w:ascii="Times New Roman" w:hAnsi="Times New Roman" w:cs="Times New Roman"/>
          <w:kern w:val="0"/>
          <w:szCs w:val="24"/>
        </w:rPr>
        <w:t>181</w:t>
      </w:r>
      <w:r w:rsidRPr="00385CDF">
        <w:rPr>
          <w:rFonts w:ascii="Times New Roman" w:hAnsi="Times New Roman" w:cs="Times New Roman" w:hint="eastAsia"/>
          <w:kern w:val="0"/>
          <w:szCs w:val="24"/>
        </w:rPr>
        <w:t>,</w:t>
      </w:r>
      <w:r w:rsidR="002D3D99" w:rsidRPr="00385CDF">
        <w:rPr>
          <w:rFonts w:ascii="Times New Roman" w:hAnsi="Times New Roman" w:cs="Times New Roman"/>
          <w:kern w:val="0"/>
          <w:szCs w:val="24"/>
        </w:rPr>
        <w:t>049</w:t>
      </w:r>
      <w:r w:rsidRPr="00385CDF">
        <w:rPr>
          <w:rFonts w:ascii="Times New Roman" w:hAnsi="Times New Roman" w:cs="Times New Roman" w:hint="eastAsia"/>
          <w:kern w:val="0"/>
          <w:szCs w:val="24"/>
        </w:rPr>
        <w:t>.</w:t>
      </w:r>
      <w:r w:rsidR="002D3D99" w:rsidRPr="00385CDF">
        <w:rPr>
          <w:rFonts w:ascii="Times New Roman" w:hAnsi="Times New Roman" w:cs="Times New Roman"/>
          <w:kern w:val="0"/>
          <w:szCs w:val="24"/>
        </w:rPr>
        <w:t>84</w:t>
      </w:r>
      <w:r w:rsidRPr="00385CDF">
        <w:rPr>
          <w:rFonts w:ascii="Times New Roman" w:hAnsi="Times New Roman" w:cs="Times New Roman"/>
        </w:rPr>
        <w:t>元，</w:t>
      </w:r>
      <w:r w:rsidRPr="006554D7">
        <w:t>包括预提审计费</w:t>
      </w:r>
      <w:r w:rsidRPr="006554D7">
        <w:rPr>
          <w:rFonts w:hint="eastAsia"/>
        </w:rPr>
        <w:t>、预提</w:t>
      </w:r>
      <w:r w:rsidRPr="006554D7">
        <w:t>信息披露</w:t>
      </w:r>
      <w:r w:rsidRPr="006554D7">
        <w:rPr>
          <w:rFonts w:hint="eastAsia"/>
        </w:rPr>
        <w:t>费</w:t>
      </w:r>
      <w:r w:rsidR="0061381F" w:rsidRPr="006554D7">
        <w:rPr>
          <w:rFonts w:hint="eastAsia"/>
        </w:rPr>
        <w:t>、应付</w:t>
      </w:r>
      <w:r w:rsidR="0061381F" w:rsidRPr="006554D7">
        <w:t>赎回费</w:t>
      </w:r>
      <w:r w:rsidRPr="006554D7">
        <w:rPr>
          <w:rFonts w:hint="eastAsia"/>
        </w:rPr>
        <w:t>和</w:t>
      </w:r>
      <w:r w:rsidRPr="006554D7">
        <w:t>应付交易费用</w:t>
      </w:r>
      <w:r w:rsidRPr="006554D7">
        <w:rPr>
          <w:rFonts w:hint="eastAsia"/>
        </w:rPr>
        <w:t>。</w:t>
      </w:r>
      <w:r w:rsidRPr="00385CDF">
        <w:rPr>
          <w:szCs w:val="24"/>
        </w:rPr>
        <w:t>本基金最后运作日预提</w:t>
      </w:r>
      <w:r w:rsidRPr="006554D7">
        <w:t>审计费</w:t>
      </w:r>
      <w:r w:rsidRPr="00385CDF">
        <w:rPr>
          <w:rFonts w:ascii="Times New Roman" w:hAnsi="Times New Roman" w:cs="Times New Roman"/>
        </w:rPr>
        <w:t>为人民币</w:t>
      </w:r>
      <w:r w:rsidR="002957E8" w:rsidRPr="00385CDF">
        <w:rPr>
          <w:rFonts w:ascii="Times New Roman" w:hAnsi="Times New Roman" w:cs="Times New Roman"/>
        </w:rPr>
        <w:t>65</w:t>
      </w:r>
      <w:r w:rsidRPr="00385CDF">
        <w:rPr>
          <w:rFonts w:ascii="Times New Roman" w:hAnsi="Times New Roman" w:cs="Times New Roman" w:hint="eastAsia"/>
        </w:rPr>
        <w:t>,</w:t>
      </w:r>
      <w:r w:rsidR="002957E8" w:rsidRPr="00385CDF">
        <w:rPr>
          <w:rFonts w:ascii="Times New Roman" w:hAnsi="Times New Roman" w:cs="Times New Roman"/>
        </w:rPr>
        <w:t>588</w:t>
      </w:r>
      <w:r w:rsidRPr="00385CDF">
        <w:rPr>
          <w:rFonts w:ascii="Times New Roman" w:hAnsi="Times New Roman" w:cs="Times New Roman"/>
        </w:rPr>
        <w:t>.</w:t>
      </w:r>
      <w:r w:rsidR="002957E8" w:rsidRPr="00385CDF">
        <w:rPr>
          <w:rFonts w:ascii="Times New Roman" w:hAnsi="Times New Roman" w:cs="Times New Roman"/>
        </w:rPr>
        <w:t>76</w:t>
      </w:r>
      <w:r w:rsidRPr="00385CDF">
        <w:rPr>
          <w:rFonts w:ascii="Times New Roman" w:hAnsi="Times New Roman" w:cs="Times New Roman"/>
        </w:rPr>
        <w:t>元，</w:t>
      </w:r>
      <w:r w:rsidRPr="00385CDF">
        <w:rPr>
          <w:rFonts w:ascii="Times New Roman" w:hAnsi="Times New Roman" w:cs="Times New Roman" w:hint="eastAsia"/>
          <w:kern w:val="0"/>
        </w:rPr>
        <w:t>已于</w:t>
      </w:r>
      <w:r w:rsidRPr="00385CDF">
        <w:rPr>
          <w:rFonts w:ascii="Times New Roman" w:hAnsi="Times New Roman" w:cs="Times New Roman"/>
          <w:kern w:val="0"/>
        </w:rPr>
        <w:t>2022</w:t>
      </w:r>
      <w:r w:rsidRPr="00385CDF">
        <w:rPr>
          <w:rFonts w:ascii="Times New Roman" w:hAnsi="Times New Roman" w:cs="Times New Roman" w:hint="eastAsia"/>
          <w:kern w:val="0"/>
        </w:rPr>
        <w:t>年</w:t>
      </w:r>
      <w:r w:rsidR="00430A08" w:rsidRPr="00385CDF">
        <w:rPr>
          <w:rFonts w:ascii="Times New Roman" w:hAnsi="Times New Roman" w:cs="Times New Roman"/>
          <w:kern w:val="0"/>
        </w:rPr>
        <w:t>12</w:t>
      </w:r>
      <w:r w:rsidRPr="00385CDF">
        <w:rPr>
          <w:rFonts w:ascii="Times New Roman" w:hAnsi="Times New Roman" w:cs="Times New Roman" w:hint="eastAsia"/>
          <w:kern w:val="0"/>
        </w:rPr>
        <w:t>月</w:t>
      </w:r>
      <w:r w:rsidR="00430A08" w:rsidRPr="00385CDF">
        <w:rPr>
          <w:rFonts w:ascii="Times New Roman" w:hAnsi="Times New Roman" w:cs="Times New Roman"/>
          <w:kern w:val="0"/>
        </w:rPr>
        <w:t>15</w:t>
      </w:r>
      <w:r w:rsidRPr="00385CDF">
        <w:rPr>
          <w:rFonts w:ascii="Times New Roman" w:hAnsi="Times New Roman" w:cs="Times New Roman" w:hint="eastAsia"/>
          <w:kern w:val="0"/>
        </w:rPr>
        <w:t>日支付。</w:t>
      </w:r>
      <w:r w:rsidRPr="006554D7">
        <w:t>本基金</w:t>
      </w:r>
      <w:r w:rsidRPr="006554D7">
        <w:rPr>
          <w:rFonts w:hint="eastAsia"/>
        </w:rPr>
        <w:t>最后</w:t>
      </w:r>
      <w:r w:rsidRPr="006554D7">
        <w:t>运作日</w:t>
      </w:r>
      <w:r w:rsidRPr="006554D7">
        <w:rPr>
          <w:rFonts w:hint="eastAsia"/>
        </w:rPr>
        <w:t>预提</w:t>
      </w:r>
      <w:r w:rsidRPr="006554D7">
        <w:t>信息披露费</w:t>
      </w:r>
      <w:r w:rsidRPr="006554D7">
        <w:rPr>
          <w:rFonts w:hint="eastAsia"/>
        </w:rPr>
        <w:t>为</w:t>
      </w:r>
      <w:r w:rsidRPr="00385CDF">
        <w:rPr>
          <w:rFonts w:ascii="Times New Roman" w:hAnsi="Times New Roman" w:cs="Times New Roman"/>
        </w:rPr>
        <w:t>人民币</w:t>
      </w:r>
      <w:r w:rsidR="00162D7B" w:rsidRPr="00385CDF">
        <w:rPr>
          <w:rFonts w:ascii="Times New Roman" w:hAnsi="Times New Roman" w:cs="Times New Roman"/>
        </w:rPr>
        <w:t>112</w:t>
      </w:r>
      <w:r w:rsidRPr="00385CDF">
        <w:rPr>
          <w:rFonts w:ascii="Times New Roman" w:hAnsi="Times New Roman" w:cs="Times New Roman" w:hint="eastAsia"/>
        </w:rPr>
        <w:t>,</w:t>
      </w:r>
      <w:r w:rsidR="00162D7B" w:rsidRPr="00385CDF">
        <w:rPr>
          <w:rFonts w:ascii="Times New Roman" w:hAnsi="Times New Roman" w:cs="Times New Roman"/>
        </w:rPr>
        <w:t>439</w:t>
      </w:r>
      <w:r w:rsidR="00661622" w:rsidRPr="00385CDF">
        <w:rPr>
          <w:rFonts w:ascii="Times New Roman" w:hAnsi="Times New Roman" w:cs="Times New Roman"/>
        </w:rPr>
        <w:t>.</w:t>
      </w:r>
      <w:r w:rsidR="00162D7B" w:rsidRPr="00385CDF">
        <w:rPr>
          <w:rFonts w:ascii="Times New Roman" w:hAnsi="Times New Roman" w:cs="Times New Roman"/>
        </w:rPr>
        <w:t>34</w:t>
      </w:r>
      <w:r w:rsidRPr="00385CDF">
        <w:rPr>
          <w:rFonts w:ascii="Times New Roman" w:hAnsi="Times New Roman" w:cs="Times New Roman"/>
        </w:rPr>
        <w:t>元</w:t>
      </w:r>
      <w:r w:rsidRPr="00385CDF">
        <w:rPr>
          <w:rFonts w:ascii="Times New Roman" w:hAnsi="Times New Roman" w:cs="Times New Roman" w:hint="eastAsia"/>
        </w:rPr>
        <w:t>，</w:t>
      </w:r>
      <w:r w:rsidR="006554D7" w:rsidRPr="00385CDF">
        <w:rPr>
          <w:rFonts w:ascii="Times New Roman" w:hAnsi="Times New Roman" w:cs="Times New Roman" w:hint="eastAsia"/>
          <w:kern w:val="0"/>
        </w:rPr>
        <w:t>已于</w:t>
      </w:r>
      <w:r w:rsidR="006554D7" w:rsidRPr="00385CDF">
        <w:rPr>
          <w:rFonts w:ascii="Times New Roman" w:hAnsi="Times New Roman" w:cs="Times New Roman"/>
          <w:kern w:val="0"/>
        </w:rPr>
        <w:t>2022</w:t>
      </w:r>
      <w:r w:rsidR="006554D7" w:rsidRPr="00385CDF">
        <w:rPr>
          <w:rFonts w:ascii="Times New Roman" w:hAnsi="Times New Roman" w:cs="Times New Roman" w:hint="eastAsia"/>
          <w:kern w:val="0"/>
        </w:rPr>
        <w:t>年</w:t>
      </w:r>
      <w:r w:rsidR="00697AA8" w:rsidRPr="00385CDF">
        <w:rPr>
          <w:rFonts w:ascii="Times New Roman" w:hAnsi="Times New Roman" w:cs="Times New Roman" w:hint="eastAsia"/>
          <w:kern w:val="0"/>
        </w:rPr>
        <w:t>12</w:t>
      </w:r>
      <w:r w:rsidR="006554D7" w:rsidRPr="00385CDF">
        <w:rPr>
          <w:rFonts w:ascii="Times New Roman" w:hAnsi="Times New Roman" w:cs="Times New Roman" w:hint="eastAsia"/>
          <w:kern w:val="0"/>
        </w:rPr>
        <w:t>月</w:t>
      </w:r>
      <w:r w:rsidR="00697AA8" w:rsidRPr="00385CDF">
        <w:rPr>
          <w:rFonts w:ascii="Times New Roman" w:hAnsi="Times New Roman" w:cs="Times New Roman" w:hint="eastAsia"/>
          <w:kern w:val="0"/>
        </w:rPr>
        <w:t>21</w:t>
      </w:r>
      <w:r w:rsidR="006554D7" w:rsidRPr="00385CDF">
        <w:rPr>
          <w:rFonts w:ascii="Times New Roman" w:hAnsi="Times New Roman" w:cs="Times New Roman" w:hint="eastAsia"/>
          <w:kern w:val="0"/>
        </w:rPr>
        <w:t>日支付</w:t>
      </w:r>
      <w:r w:rsidRPr="00385CDF">
        <w:rPr>
          <w:rFonts w:ascii="Times New Roman" w:hAnsi="Times New Roman" w:cs="Times New Roman"/>
        </w:rPr>
        <w:t>。</w:t>
      </w:r>
      <w:r w:rsidR="0061381F" w:rsidRPr="00385CDF">
        <w:rPr>
          <w:szCs w:val="24"/>
        </w:rPr>
        <w:t>本基金最后运作日</w:t>
      </w:r>
      <w:r w:rsidR="0061381F" w:rsidRPr="00EE0A94">
        <w:rPr>
          <w:rFonts w:hint="eastAsia"/>
        </w:rPr>
        <w:t>应付</w:t>
      </w:r>
      <w:r w:rsidR="0061381F" w:rsidRPr="00EE0A94">
        <w:t>赎回费</w:t>
      </w:r>
      <w:r w:rsidR="0061381F" w:rsidRPr="00385CDF">
        <w:rPr>
          <w:rFonts w:ascii="Times New Roman" w:hAnsi="Times New Roman" w:cs="Times New Roman"/>
        </w:rPr>
        <w:t>为人民币</w:t>
      </w:r>
      <w:r w:rsidR="00162D7B" w:rsidRPr="00385CDF">
        <w:rPr>
          <w:rFonts w:ascii="Times New Roman" w:hAnsi="Times New Roman" w:cs="Times New Roman" w:hint="eastAsia"/>
        </w:rPr>
        <w:t>1</w:t>
      </w:r>
      <w:r w:rsidR="000C251B" w:rsidRPr="00385CDF">
        <w:rPr>
          <w:rFonts w:ascii="Times New Roman" w:hAnsi="Times New Roman" w:cs="Times New Roman"/>
        </w:rPr>
        <w:t>8</w:t>
      </w:r>
      <w:r w:rsidR="0061381F" w:rsidRPr="00385CDF">
        <w:rPr>
          <w:rFonts w:ascii="Times New Roman" w:hAnsi="Times New Roman" w:cs="Times New Roman" w:hint="eastAsia"/>
        </w:rPr>
        <w:t>.</w:t>
      </w:r>
      <w:r w:rsidR="00162D7B" w:rsidRPr="00385CDF">
        <w:rPr>
          <w:rFonts w:ascii="Times New Roman" w:hAnsi="Times New Roman" w:cs="Times New Roman"/>
        </w:rPr>
        <w:t>06</w:t>
      </w:r>
      <w:r w:rsidR="0061381F" w:rsidRPr="00385CDF">
        <w:rPr>
          <w:rFonts w:ascii="Times New Roman" w:hAnsi="Times New Roman" w:cs="Times New Roman"/>
        </w:rPr>
        <w:t>元，</w:t>
      </w:r>
      <w:r w:rsidR="0061381F" w:rsidRPr="00385CDF">
        <w:rPr>
          <w:rFonts w:ascii="Times New Roman" w:hAnsi="Times New Roman" w:cs="Times New Roman" w:hint="eastAsia"/>
          <w:kern w:val="0"/>
        </w:rPr>
        <w:t>已于</w:t>
      </w:r>
      <w:r w:rsidR="0061381F" w:rsidRPr="00385CDF">
        <w:rPr>
          <w:rFonts w:ascii="Times New Roman" w:hAnsi="Times New Roman" w:cs="Times New Roman"/>
          <w:kern w:val="0"/>
        </w:rPr>
        <w:t>2022</w:t>
      </w:r>
      <w:r w:rsidR="0061381F" w:rsidRPr="00385CDF">
        <w:rPr>
          <w:rFonts w:ascii="Times New Roman" w:hAnsi="Times New Roman" w:cs="Times New Roman" w:hint="eastAsia"/>
          <w:kern w:val="0"/>
        </w:rPr>
        <w:t>年</w:t>
      </w:r>
      <w:r w:rsidR="000C251B" w:rsidRPr="00385CDF">
        <w:rPr>
          <w:rFonts w:ascii="Times New Roman" w:hAnsi="Times New Roman" w:cs="Times New Roman"/>
          <w:kern w:val="0"/>
        </w:rPr>
        <w:t>1</w:t>
      </w:r>
      <w:r w:rsidR="00162D7B" w:rsidRPr="00385CDF">
        <w:rPr>
          <w:rFonts w:ascii="Times New Roman" w:hAnsi="Times New Roman" w:cs="Times New Roman"/>
          <w:kern w:val="0"/>
        </w:rPr>
        <w:t>2</w:t>
      </w:r>
      <w:r w:rsidR="0061381F" w:rsidRPr="00385CDF">
        <w:rPr>
          <w:rFonts w:ascii="Times New Roman" w:hAnsi="Times New Roman" w:cs="Times New Roman" w:hint="eastAsia"/>
          <w:kern w:val="0"/>
        </w:rPr>
        <w:t>月</w:t>
      </w:r>
      <w:r w:rsidR="00162D7B" w:rsidRPr="00385CDF">
        <w:rPr>
          <w:rFonts w:ascii="Times New Roman" w:hAnsi="Times New Roman" w:cs="Times New Roman" w:hint="eastAsia"/>
          <w:kern w:val="0"/>
        </w:rPr>
        <w:t>9</w:t>
      </w:r>
      <w:r w:rsidR="0061381F" w:rsidRPr="00385CDF">
        <w:rPr>
          <w:rFonts w:ascii="Times New Roman" w:hAnsi="Times New Roman" w:cs="Times New Roman" w:hint="eastAsia"/>
          <w:kern w:val="0"/>
        </w:rPr>
        <w:t>日支付。</w:t>
      </w:r>
      <w:r w:rsidRPr="00EE0A94">
        <w:t>本基金最后运作日</w:t>
      </w:r>
      <w:r w:rsidRPr="00EE0A94">
        <w:rPr>
          <w:rFonts w:hint="eastAsia"/>
        </w:rPr>
        <w:t>应付</w:t>
      </w:r>
      <w:r w:rsidRPr="00EE0A94">
        <w:t>交易</w:t>
      </w:r>
      <w:r w:rsidRPr="00EE0A94">
        <w:rPr>
          <w:rFonts w:hint="eastAsia"/>
        </w:rPr>
        <w:t>费</w:t>
      </w:r>
      <w:r w:rsidRPr="00EE0A94">
        <w:t>用</w:t>
      </w:r>
      <w:r w:rsidRPr="00385CDF">
        <w:rPr>
          <w:rFonts w:ascii="Times New Roman" w:hAnsi="Times New Roman" w:cs="Times New Roman"/>
        </w:rPr>
        <w:t>人民币</w:t>
      </w:r>
      <w:r w:rsidR="00162D7B" w:rsidRPr="00385CDF">
        <w:rPr>
          <w:rFonts w:ascii="Times New Roman" w:hAnsi="Times New Roman" w:cs="Times New Roman"/>
        </w:rPr>
        <w:t>3</w:t>
      </w:r>
      <w:r w:rsidRPr="00385CDF">
        <w:rPr>
          <w:rFonts w:ascii="Times New Roman" w:hAnsi="Times New Roman" w:cs="Times New Roman" w:hint="eastAsia"/>
        </w:rPr>
        <w:t>,</w:t>
      </w:r>
      <w:r w:rsidR="00162D7B" w:rsidRPr="00385CDF">
        <w:rPr>
          <w:rFonts w:ascii="Times New Roman" w:hAnsi="Times New Roman" w:cs="Times New Roman"/>
        </w:rPr>
        <w:t>003</w:t>
      </w:r>
      <w:r w:rsidRPr="00385CDF">
        <w:rPr>
          <w:rFonts w:ascii="Times New Roman" w:hAnsi="Times New Roman" w:cs="Times New Roman"/>
        </w:rPr>
        <w:t>.</w:t>
      </w:r>
      <w:r w:rsidR="000C251B" w:rsidRPr="00385CDF">
        <w:rPr>
          <w:rFonts w:ascii="Times New Roman" w:hAnsi="Times New Roman" w:cs="Times New Roman"/>
        </w:rPr>
        <w:t>6</w:t>
      </w:r>
      <w:r w:rsidR="00162D7B" w:rsidRPr="00385CDF">
        <w:rPr>
          <w:rFonts w:ascii="Times New Roman" w:hAnsi="Times New Roman" w:cs="Times New Roman"/>
        </w:rPr>
        <w:t>8</w:t>
      </w:r>
      <w:r w:rsidRPr="00385CDF">
        <w:rPr>
          <w:rFonts w:ascii="Times New Roman" w:hAnsi="Times New Roman" w:cs="Times New Roman"/>
        </w:rPr>
        <w:t>元，该款项已于</w:t>
      </w:r>
      <w:r w:rsidRPr="00385CDF">
        <w:rPr>
          <w:rFonts w:ascii="Times New Roman" w:hAnsi="Times New Roman" w:cs="Times New Roman"/>
        </w:rPr>
        <w:t>2022</w:t>
      </w:r>
      <w:r w:rsidRPr="00385CDF">
        <w:rPr>
          <w:rFonts w:ascii="Times New Roman" w:hAnsi="Times New Roman" w:cs="Times New Roman"/>
        </w:rPr>
        <w:t>年</w:t>
      </w:r>
      <w:r w:rsidR="00430A08" w:rsidRPr="00385CDF">
        <w:rPr>
          <w:rFonts w:ascii="Times New Roman" w:hAnsi="Times New Roman" w:cs="Times New Roman"/>
        </w:rPr>
        <w:t>12</w:t>
      </w:r>
      <w:r w:rsidRPr="00385CDF">
        <w:rPr>
          <w:rFonts w:ascii="Times New Roman" w:hAnsi="Times New Roman" w:cs="Times New Roman"/>
        </w:rPr>
        <w:t>月</w:t>
      </w:r>
      <w:r w:rsidR="00430A08" w:rsidRPr="00385CDF">
        <w:rPr>
          <w:rFonts w:ascii="Times New Roman" w:hAnsi="Times New Roman" w:cs="Times New Roman"/>
        </w:rPr>
        <w:t>15</w:t>
      </w:r>
      <w:r w:rsidRPr="00385CDF">
        <w:rPr>
          <w:rFonts w:ascii="Times New Roman" w:hAnsi="Times New Roman" w:cs="Times New Roman"/>
        </w:rPr>
        <w:t>日支付。</w:t>
      </w:r>
    </w:p>
    <w:p w:rsidR="00583F83" w:rsidRPr="00E96BEB" w:rsidRDefault="00E22DB5" w:rsidP="00D36DDC">
      <w:pPr>
        <w:spacing w:after="0" w:line="360" w:lineRule="auto"/>
        <w:ind w:left="0" w:firstLineChars="200" w:firstLine="480"/>
        <w:rPr>
          <w:rFonts w:ascii="Times New Roman" w:hAnsi="Times New Roman" w:cs="Times New Roman"/>
        </w:rPr>
      </w:pPr>
      <w:r w:rsidRPr="00E96BEB">
        <w:rPr>
          <w:rFonts w:ascii="Times New Roman" w:hAnsi="Times New Roman" w:cs="Times New Roman"/>
        </w:rPr>
        <w:t>（四）本次清算期间的清算损益情况</w:t>
      </w:r>
    </w:p>
    <w:p w:rsidR="00583F83" w:rsidRPr="00E96BEB" w:rsidRDefault="00E22DB5" w:rsidP="00D36DDC">
      <w:pPr>
        <w:spacing w:after="0" w:line="360" w:lineRule="auto"/>
        <w:ind w:left="11" w:right="204" w:hanging="11"/>
        <w:jc w:val="right"/>
        <w:rPr>
          <w:rFonts w:ascii="Times New Roman" w:hAnsi="Times New Roman" w:cs="Times New Roman"/>
          <w:szCs w:val="24"/>
        </w:rPr>
      </w:pPr>
      <w:r w:rsidRPr="00E96BEB">
        <w:rPr>
          <w:rFonts w:ascii="Times New Roman" w:hAnsi="Times New Roman" w:cs="Times New Roman"/>
          <w:szCs w:val="24"/>
        </w:rPr>
        <w:t>单位：人民币元</w:t>
      </w:r>
    </w:p>
    <w:tbl>
      <w:tblPr>
        <w:tblW w:w="8567" w:type="dxa"/>
        <w:tblInd w:w="584" w:type="dxa"/>
        <w:tblLook w:val="04A0"/>
      </w:tblPr>
      <w:tblGrid>
        <w:gridCol w:w="3766"/>
        <w:gridCol w:w="4801"/>
      </w:tblGrid>
      <w:tr w:rsidR="000C738A" w:rsidRPr="00F37008" w:rsidTr="00876A0B">
        <w:trPr>
          <w:trHeight w:val="608"/>
        </w:trPr>
        <w:tc>
          <w:tcPr>
            <w:tcW w:w="3766" w:type="dxa"/>
            <w:tcBorders>
              <w:top w:val="single" w:sz="4" w:space="0" w:color="auto"/>
              <w:left w:val="single" w:sz="4" w:space="0" w:color="auto"/>
              <w:bottom w:val="single" w:sz="4" w:space="0" w:color="auto"/>
              <w:right w:val="single" w:sz="4" w:space="0" w:color="auto"/>
            </w:tcBorders>
            <w:shd w:val="clear" w:color="auto" w:fill="auto"/>
            <w:hideMark/>
          </w:tcPr>
          <w:p w:rsidR="000C738A" w:rsidRPr="00F37008" w:rsidRDefault="000C738A" w:rsidP="00876A0B">
            <w:pPr>
              <w:spacing w:after="0" w:line="240" w:lineRule="auto"/>
              <w:ind w:left="0" w:firstLine="0"/>
              <w:rPr>
                <w:rFonts w:ascii="Times New Roman" w:hAnsi="Times New Roman" w:cs="Times New Roman"/>
                <w:kern w:val="0"/>
                <w:szCs w:val="24"/>
                <w:highlight w:val="yellow"/>
              </w:rPr>
            </w:pPr>
            <w:r w:rsidRPr="000F5EB7">
              <w:rPr>
                <w:rFonts w:ascii="Times New Roman" w:hAnsi="Times New Roman" w:cs="Times New Roman"/>
                <w:kern w:val="0"/>
                <w:szCs w:val="24"/>
              </w:rPr>
              <w:t>项目</w:t>
            </w:r>
          </w:p>
        </w:tc>
        <w:tc>
          <w:tcPr>
            <w:tcW w:w="4801" w:type="dxa"/>
            <w:tcBorders>
              <w:top w:val="single" w:sz="4" w:space="0" w:color="auto"/>
              <w:left w:val="nil"/>
              <w:bottom w:val="single" w:sz="4" w:space="0" w:color="auto"/>
              <w:right w:val="single" w:sz="4" w:space="0" w:color="auto"/>
            </w:tcBorders>
            <w:shd w:val="clear" w:color="auto" w:fill="auto"/>
            <w:hideMark/>
          </w:tcPr>
          <w:p w:rsidR="000C738A" w:rsidRPr="00F37008" w:rsidRDefault="000C738A" w:rsidP="00876A0B">
            <w:pPr>
              <w:spacing w:after="0" w:line="240" w:lineRule="auto"/>
              <w:ind w:left="1800" w:hangingChars="750" w:hanging="1800"/>
              <w:rPr>
                <w:rFonts w:ascii="Times New Roman" w:hAnsi="Times New Roman" w:cs="Times New Roman"/>
                <w:kern w:val="0"/>
                <w:szCs w:val="24"/>
                <w:highlight w:val="yellow"/>
              </w:rPr>
            </w:pPr>
            <w:r w:rsidRPr="000F5EB7">
              <w:rPr>
                <w:rFonts w:ascii="Times New Roman" w:hAnsi="Times New Roman" w:cs="Times New Roman"/>
                <w:kern w:val="0"/>
                <w:szCs w:val="24"/>
              </w:rPr>
              <w:t>自</w:t>
            </w:r>
            <w:r w:rsidRPr="000F5EB7">
              <w:rPr>
                <w:rFonts w:ascii="Times New Roman" w:hAnsi="Times New Roman" w:cs="Times New Roman" w:hint="eastAsia"/>
                <w:kern w:val="0"/>
                <w:szCs w:val="24"/>
              </w:rPr>
              <w:t>2022</w:t>
            </w:r>
            <w:r w:rsidRPr="000F5EB7">
              <w:rPr>
                <w:rFonts w:ascii="Times New Roman" w:hAnsi="Times New Roman" w:cs="Times New Roman"/>
                <w:kern w:val="0"/>
                <w:szCs w:val="24"/>
              </w:rPr>
              <w:t>年</w:t>
            </w:r>
            <w:r w:rsidR="00E96BEB" w:rsidRPr="000F5EB7">
              <w:rPr>
                <w:rFonts w:ascii="Times New Roman" w:hAnsi="Times New Roman" w:cs="Times New Roman"/>
                <w:kern w:val="0"/>
                <w:szCs w:val="24"/>
              </w:rPr>
              <w:t>1</w:t>
            </w:r>
            <w:r w:rsidR="00803B01">
              <w:rPr>
                <w:rFonts w:ascii="Times New Roman" w:hAnsi="Times New Roman" w:cs="Times New Roman"/>
                <w:kern w:val="0"/>
                <w:szCs w:val="24"/>
              </w:rPr>
              <w:t>2</w:t>
            </w:r>
            <w:r w:rsidRPr="000F5EB7">
              <w:rPr>
                <w:rFonts w:ascii="Times New Roman" w:hAnsi="Times New Roman" w:cs="Times New Roman"/>
                <w:kern w:val="0"/>
                <w:szCs w:val="24"/>
              </w:rPr>
              <w:t>月</w:t>
            </w:r>
            <w:r w:rsidR="00803B01">
              <w:rPr>
                <w:rFonts w:ascii="Times New Roman" w:hAnsi="Times New Roman" w:cs="Times New Roman"/>
                <w:kern w:val="0"/>
                <w:szCs w:val="24"/>
              </w:rPr>
              <w:t>9</w:t>
            </w:r>
            <w:r w:rsidRPr="000F5EB7">
              <w:rPr>
                <w:rFonts w:ascii="Times New Roman" w:hAnsi="Times New Roman" w:cs="Times New Roman"/>
                <w:kern w:val="0"/>
                <w:szCs w:val="24"/>
              </w:rPr>
              <w:t>日至</w:t>
            </w:r>
            <w:r w:rsidRPr="000F5EB7">
              <w:rPr>
                <w:rFonts w:ascii="Times New Roman" w:hAnsi="Times New Roman" w:cs="Times New Roman"/>
                <w:kern w:val="0"/>
                <w:szCs w:val="24"/>
              </w:rPr>
              <w:t>2022</w:t>
            </w:r>
            <w:r w:rsidRPr="000F5EB7">
              <w:rPr>
                <w:rFonts w:ascii="Times New Roman" w:hAnsi="Times New Roman" w:cs="Times New Roman" w:hint="eastAsia"/>
                <w:kern w:val="0"/>
                <w:szCs w:val="24"/>
              </w:rPr>
              <w:t>年</w:t>
            </w:r>
            <w:r w:rsidR="00AB5AD5">
              <w:rPr>
                <w:rFonts w:ascii="Times New Roman" w:hAnsi="Times New Roman" w:cs="Times New Roman" w:hint="eastAsia"/>
                <w:kern w:val="0"/>
                <w:szCs w:val="24"/>
              </w:rPr>
              <w:t>12</w:t>
            </w:r>
            <w:r w:rsidRPr="000F5EB7">
              <w:rPr>
                <w:rFonts w:ascii="Times New Roman" w:hAnsi="Times New Roman" w:cs="Times New Roman" w:hint="eastAsia"/>
                <w:kern w:val="0"/>
                <w:szCs w:val="24"/>
              </w:rPr>
              <w:t>月</w:t>
            </w:r>
            <w:r w:rsidR="00AB5AD5">
              <w:rPr>
                <w:rFonts w:ascii="Times New Roman" w:hAnsi="Times New Roman" w:cs="Times New Roman" w:hint="eastAsia"/>
                <w:kern w:val="0"/>
                <w:szCs w:val="24"/>
              </w:rPr>
              <w:t>23</w:t>
            </w:r>
            <w:r w:rsidRPr="000F5EB7">
              <w:rPr>
                <w:rFonts w:ascii="Times New Roman" w:hAnsi="Times New Roman" w:cs="Times New Roman" w:hint="eastAsia"/>
                <w:kern w:val="0"/>
                <w:szCs w:val="24"/>
              </w:rPr>
              <w:t>日</w:t>
            </w:r>
            <w:r w:rsidRPr="000F5EB7">
              <w:rPr>
                <w:rFonts w:ascii="Times New Roman" w:hAnsi="Times New Roman" w:cs="Times New Roman"/>
                <w:kern w:val="0"/>
                <w:szCs w:val="24"/>
              </w:rPr>
              <w:t>止清算期间</w:t>
            </w:r>
          </w:p>
        </w:tc>
      </w:tr>
      <w:tr w:rsidR="000C738A" w:rsidRPr="00F37008" w:rsidTr="00876A0B">
        <w:trPr>
          <w:trHeight w:val="319"/>
        </w:trPr>
        <w:tc>
          <w:tcPr>
            <w:tcW w:w="3766" w:type="dxa"/>
            <w:tcBorders>
              <w:top w:val="nil"/>
              <w:left w:val="single" w:sz="4" w:space="0" w:color="auto"/>
              <w:bottom w:val="single" w:sz="4" w:space="0" w:color="auto"/>
              <w:right w:val="single" w:sz="4" w:space="0" w:color="auto"/>
            </w:tcBorders>
            <w:shd w:val="clear" w:color="auto" w:fill="auto"/>
            <w:hideMark/>
          </w:tcPr>
          <w:p w:rsidR="000C738A" w:rsidRPr="00194D0A" w:rsidRDefault="000C738A" w:rsidP="00876A0B">
            <w:pPr>
              <w:spacing w:after="0" w:line="240" w:lineRule="auto"/>
              <w:ind w:left="0" w:firstLine="0"/>
              <w:rPr>
                <w:rFonts w:ascii="Times New Roman" w:hAnsi="Times New Roman" w:cs="Times New Roman"/>
                <w:kern w:val="0"/>
                <w:szCs w:val="24"/>
              </w:rPr>
            </w:pPr>
            <w:r w:rsidRPr="00194D0A">
              <w:rPr>
                <w:rFonts w:ascii="Times New Roman" w:hAnsi="Times New Roman" w:cs="Times New Roman"/>
                <w:kern w:val="0"/>
                <w:szCs w:val="24"/>
              </w:rPr>
              <w:t>一、清算期间收益</w:t>
            </w:r>
          </w:p>
        </w:tc>
        <w:tc>
          <w:tcPr>
            <w:tcW w:w="4801" w:type="dxa"/>
            <w:tcBorders>
              <w:top w:val="nil"/>
              <w:left w:val="nil"/>
              <w:bottom w:val="single" w:sz="4" w:space="0" w:color="auto"/>
              <w:right w:val="single" w:sz="4" w:space="0" w:color="auto"/>
            </w:tcBorders>
            <w:shd w:val="clear" w:color="auto" w:fill="auto"/>
            <w:hideMark/>
          </w:tcPr>
          <w:p w:rsidR="000C738A" w:rsidRPr="00194D0A" w:rsidRDefault="000C738A" w:rsidP="00876A0B">
            <w:pPr>
              <w:spacing w:after="0" w:line="240" w:lineRule="auto"/>
              <w:ind w:left="0" w:firstLine="0"/>
              <w:jc w:val="right"/>
              <w:rPr>
                <w:rFonts w:ascii="Times New Roman" w:hAnsi="Times New Roman" w:cs="Times New Roman"/>
                <w:kern w:val="0"/>
                <w:szCs w:val="24"/>
              </w:rPr>
            </w:pPr>
            <w:r w:rsidRPr="00194D0A">
              <w:rPr>
                <w:rFonts w:ascii="Times New Roman" w:hAnsi="Times New Roman" w:cs="Times New Roman"/>
                <w:kern w:val="0"/>
                <w:szCs w:val="24"/>
              </w:rPr>
              <w:t xml:space="preserve">　</w:t>
            </w:r>
          </w:p>
        </w:tc>
      </w:tr>
      <w:tr w:rsidR="000C738A" w:rsidRPr="00F37008" w:rsidTr="00876A0B">
        <w:trPr>
          <w:trHeight w:val="319"/>
        </w:trPr>
        <w:tc>
          <w:tcPr>
            <w:tcW w:w="3766" w:type="dxa"/>
            <w:tcBorders>
              <w:top w:val="nil"/>
              <w:left w:val="single" w:sz="4" w:space="0" w:color="auto"/>
              <w:bottom w:val="single" w:sz="4" w:space="0" w:color="auto"/>
              <w:right w:val="single" w:sz="4" w:space="0" w:color="auto"/>
            </w:tcBorders>
            <w:shd w:val="clear" w:color="auto" w:fill="auto"/>
            <w:hideMark/>
          </w:tcPr>
          <w:p w:rsidR="000C738A" w:rsidRPr="00194D0A" w:rsidRDefault="000C738A" w:rsidP="00876A0B">
            <w:pPr>
              <w:spacing w:after="0" w:line="240" w:lineRule="auto"/>
              <w:ind w:left="0" w:firstLineChars="100" w:firstLine="240"/>
              <w:rPr>
                <w:rFonts w:ascii="Times New Roman" w:hAnsi="Times New Roman" w:cs="Times New Roman"/>
                <w:kern w:val="0"/>
                <w:szCs w:val="24"/>
              </w:rPr>
            </w:pPr>
            <w:r w:rsidRPr="00194D0A">
              <w:rPr>
                <w:rFonts w:ascii="Times New Roman" w:hAnsi="Times New Roman" w:cs="Times New Roman"/>
                <w:kern w:val="0"/>
                <w:szCs w:val="24"/>
              </w:rPr>
              <w:t>1</w:t>
            </w:r>
            <w:r w:rsidRPr="00194D0A">
              <w:rPr>
                <w:rFonts w:ascii="Times New Roman" w:hAnsi="Times New Roman" w:cs="Times New Roman"/>
                <w:kern w:val="0"/>
                <w:szCs w:val="24"/>
              </w:rPr>
              <w:t>、利息收入（注</w:t>
            </w:r>
            <w:r w:rsidRPr="00194D0A">
              <w:rPr>
                <w:rFonts w:ascii="Times New Roman" w:hAnsi="Times New Roman" w:cs="Times New Roman"/>
                <w:kern w:val="0"/>
                <w:szCs w:val="24"/>
              </w:rPr>
              <w:t>1</w:t>
            </w:r>
            <w:r w:rsidRPr="00194D0A">
              <w:rPr>
                <w:rFonts w:ascii="Times New Roman" w:hAnsi="Times New Roman" w:cs="Times New Roman"/>
                <w:kern w:val="0"/>
                <w:szCs w:val="24"/>
              </w:rPr>
              <w:t>）</w:t>
            </w:r>
          </w:p>
        </w:tc>
        <w:tc>
          <w:tcPr>
            <w:tcW w:w="4801" w:type="dxa"/>
            <w:tcBorders>
              <w:top w:val="nil"/>
              <w:left w:val="nil"/>
              <w:bottom w:val="single" w:sz="4" w:space="0" w:color="auto"/>
              <w:right w:val="single" w:sz="4" w:space="0" w:color="auto"/>
            </w:tcBorders>
            <w:shd w:val="clear" w:color="auto" w:fill="auto"/>
          </w:tcPr>
          <w:p w:rsidR="000C738A" w:rsidRPr="00FF5FAA" w:rsidRDefault="00FF5FAA" w:rsidP="00385CDF">
            <w:pPr>
              <w:jc w:val="right"/>
              <w:rPr>
                <w:sz w:val="22"/>
              </w:rPr>
            </w:pPr>
            <w:r w:rsidRPr="00FF5FAA">
              <w:rPr>
                <w:rFonts w:hint="eastAsia"/>
                <w:sz w:val="22"/>
              </w:rPr>
              <w:t>1,574.64</w:t>
            </w:r>
          </w:p>
        </w:tc>
      </w:tr>
      <w:tr w:rsidR="000C738A" w:rsidRPr="00F37008" w:rsidTr="00876A0B">
        <w:trPr>
          <w:trHeight w:val="319"/>
        </w:trPr>
        <w:tc>
          <w:tcPr>
            <w:tcW w:w="3766" w:type="dxa"/>
            <w:tcBorders>
              <w:top w:val="nil"/>
              <w:left w:val="single" w:sz="4" w:space="0" w:color="auto"/>
              <w:bottom w:val="single" w:sz="4" w:space="0" w:color="auto"/>
              <w:right w:val="single" w:sz="4" w:space="0" w:color="auto"/>
            </w:tcBorders>
            <w:shd w:val="clear" w:color="auto" w:fill="auto"/>
            <w:hideMark/>
          </w:tcPr>
          <w:p w:rsidR="000C738A" w:rsidRPr="00194D0A" w:rsidRDefault="002464FF" w:rsidP="00876A0B">
            <w:pPr>
              <w:spacing w:after="0" w:line="240" w:lineRule="auto"/>
              <w:ind w:left="0" w:firstLineChars="100" w:firstLine="240"/>
              <w:rPr>
                <w:rFonts w:ascii="Times New Roman" w:hAnsi="Times New Roman" w:cs="Times New Roman"/>
                <w:kern w:val="0"/>
                <w:szCs w:val="24"/>
              </w:rPr>
            </w:pPr>
            <w:r w:rsidRPr="00194D0A">
              <w:rPr>
                <w:rFonts w:ascii="Times New Roman" w:hAnsi="Times New Roman" w:cs="Times New Roman" w:hint="eastAsia"/>
                <w:kern w:val="0"/>
                <w:szCs w:val="24"/>
              </w:rPr>
              <w:t>2</w:t>
            </w:r>
            <w:r w:rsidR="000C738A" w:rsidRPr="00194D0A">
              <w:rPr>
                <w:rFonts w:ascii="Times New Roman" w:hAnsi="Times New Roman" w:cs="Times New Roman"/>
                <w:kern w:val="0"/>
                <w:szCs w:val="24"/>
              </w:rPr>
              <w:t>、其他收入（注</w:t>
            </w:r>
            <w:r w:rsidRPr="00194D0A">
              <w:rPr>
                <w:rFonts w:ascii="Times New Roman" w:hAnsi="Times New Roman" w:cs="Times New Roman" w:hint="eastAsia"/>
                <w:kern w:val="0"/>
                <w:szCs w:val="24"/>
              </w:rPr>
              <w:t>2</w:t>
            </w:r>
            <w:r w:rsidR="000C738A" w:rsidRPr="00194D0A">
              <w:rPr>
                <w:rFonts w:ascii="Times New Roman" w:hAnsi="Times New Roman" w:cs="Times New Roman"/>
                <w:kern w:val="0"/>
                <w:szCs w:val="24"/>
              </w:rPr>
              <w:t>）</w:t>
            </w:r>
          </w:p>
        </w:tc>
        <w:tc>
          <w:tcPr>
            <w:tcW w:w="4801" w:type="dxa"/>
            <w:tcBorders>
              <w:top w:val="nil"/>
              <w:left w:val="nil"/>
              <w:bottom w:val="single" w:sz="4" w:space="0" w:color="auto"/>
              <w:right w:val="single" w:sz="4" w:space="0" w:color="auto"/>
            </w:tcBorders>
            <w:shd w:val="clear" w:color="auto" w:fill="auto"/>
          </w:tcPr>
          <w:p w:rsidR="000C738A" w:rsidRPr="00194D0A" w:rsidRDefault="00E6648A" w:rsidP="00876A0B">
            <w:pPr>
              <w:jc w:val="right"/>
              <w:rPr>
                <w:sz w:val="22"/>
              </w:rPr>
            </w:pPr>
            <w:r>
              <w:rPr>
                <w:sz w:val="22"/>
              </w:rPr>
              <w:t>43.08</w:t>
            </w:r>
          </w:p>
        </w:tc>
      </w:tr>
      <w:tr w:rsidR="000C738A" w:rsidRPr="00F37008" w:rsidTr="00876A0B">
        <w:trPr>
          <w:trHeight w:val="319"/>
        </w:trPr>
        <w:tc>
          <w:tcPr>
            <w:tcW w:w="3766" w:type="dxa"/>
            <w:tcBorders>
              <w:top w:val="nil"/>
              <w:left w:val="single" w:sz="4" w:space="0" w:color="auto"/>
              <w:bottom w:val="single" w:sz="4" w:space="0" w:color="auto"/>
              <w:right w:val="single" w:sz="4" w:space="0" w:color="auto"/>
            </w:tcBorders>
            <w:shd w:val="clear" w:color="auto" w:fill="auto"/>
            <w:hideMark/>
          </w:tcPr>
          <w:p w:rsidR="000C738A" w:rsidRPr="00194D0A" w:rsidRDefault="000C738A" w:rsidP="00876A0B">
            <w:pPr>
              <w:spacing w:after="0" w:line="240" w:lineRule="auto"/>
              <w:ind w:left="0" w:firstLine="0"/>
              <w:rPr>
                <w:rFonts w:ascii="Times New Roman" w:hAnsi="Times New Roman" w:cs="Times New Roman"/>
                <w:kern w:val="0"/>
                <w:szCs w:val="24"/>
              </w:rPr>
            </w:pPr>
            <w:r w:rsidRPr="00194D0A">
              <w:rPr>
                <w:rFonts w:ascii="Times New Roman" w:hAnsi="Times New Roman" w:cs="Times New Roman"/>
                <w:kern w:val="0"/>
                <w:szCs w:val="24"/>
              </w:rPr>
              <w:t>清算期间收入小计</w:t>
            </w:r>
          </w:p>
        </w:tc>
        <w:tc>
          <w:tcPr>
            <w:tcW w:w="4801" w:type="dxa"/>
            <w:tcBorders>
              <w:top w:val="nil"/>
              <w:left w:val="nil"/>
              <w:bottom w:val="single" w:sz="4" w:space="0" w:color="auto"/>
              <w:right w:val="single" w:sz="4" w:space="0" w:color="auto"/>
            </w:tcBorders>
            <w:shd w:val="clear" w:color="auto" w:fill="auto"/>
            <w:vAlign w:val="center"/>
          </w:tcPr>
          <w:p w:rsidR="000C738A" w:rsidRPr="00E64604" w:rsidRDefault="00FF5FAA" w:rsidP="00E64604">
            <w:pPr>
              <w:jc w:val="right"/>
              <w:rPr>
                <w:sz w:val="22"/>
              </w:rPr>
            </w:pPr>
            <w:r>
              <w:rPr>
                <w:rFonts w:hint="eastAsia"/>
                <w:sz w:val="22"/>
              </w:rPr>
              <w:t>1</w:t>
            </w:r>
            <w:r w:rsidR="00E64604" w:rsidRPr="00E64604">
              <w:rPr>
                <w:sz w:val="22"/>
              </w:rPr>
              <w:t>,</w:t>
            </w:r>
            <w:r>
              <w:rPr>
                <w:rFonts w:hint="eastAsia"/>
                <w:sz w:val="22"/>
              </w:rPr>
              <w:t>617</w:t>
            </w:r>
            <w:r w:rsidR="00E64604" w:rsidRPr="00E64604">
              <w:rPr>
                <w:sz w:val="22"/>
              </w:rPr>
              <w:t>.</w:t>
            </w:r>
            <w:r>
              <w:rPr>
                <w:rFonts w:hint="eastAsia"/>
                <w:sz w:val="22"/>
              </w:rPr>
              <w:t>72</w:t>
            </w:r>
          </w:p>
        </w:tc>
      </w:tr>
      <w:tr w:rsidR="000C738A" w:rsidRPr="00F37008" w:rsidTr="00876A0B">
        <w:trPr>
          <w:trHeight w:val="319"/>
        </w:trPr>
        <w:tc>
          <w:tcPr>
            <w:tcW w:w="3766" w:type="dxa"/>
            <w:tcBorders>
              <w:top w:val="nil"/>
              <w:left w:val="single" w:sz="4" w:space="0" w:color="auto"/>
              <w:bottom w:val="single" w:sz="4" w:space="0" w:color="auto"/>
              <w:right w:val="single" w:sz="4" w:space="0" w:color="auto"/>
            </w:tcBorders>
            <w:shd w:val="clear" w:color="auto" w:fill="auto"/>
            <w:hideMark/>
          </w:tcPr>
          <w:p w:rsidR="000C738A" w:rsidRPr="00194D0A" w:rsidRDefault="000C738A" w:rsidP="00876A0B">
            <w:pPr>
              <w:spacing w:after="0" w:line="240" w:lineRule="auto"/>
              <w:ind w:left="0" w:firstLine="0"/>
              <w:rPr>
                <w:rFonts w:ascii="Times New Roman" w:hAnsi="Times New Roman" w:cs="Times New Roman"/>
                <w:kern w:val="0"/>
                <w:szCs w:val="24"/>
              </w:rPr>
            </w:pPr>
            <w:r w:rsidRPr="00194D0A">
              <w:rPr>
                <w:rFonts w:ascii="Times New Roman" w:hAnsi="Times New Roman" w:cs="Times New Roman"/>
                <w:kern w:val="0"/>
                <w:szCs w:val="24"/>
              </w:rPr>
              <w:t>二、清算期间费用</w:t>
            </w:r>
          </w:p>
        </w:tc>
        <w:tc>
          <w:tcPr>
            <w:tcW w:w="4801" w:type="dxa"/>
            <w:tcBorders>
              <w:top w:val="nil"/>
              <w:left w:val="nil"/>
              <w:bottom w:val="single" w:sz="4" w:space="0" w:color="auto"/>
              <w:right w:val="single" w:sz="4" w:space="0" w:color="auto"/>
            </w:tcBorders>
            <w:shd w:val="clear" w:color="auto" w:fill="auto"/>
          </w:tcPr>
          <w:p w:rsidR="000C738A" w:rsidRPr="00194D0A" w:rsidRDefault="000C738A" w:rsidP="00876A0B">
            <w:pPr>
              <w:spacing w:after="0" w:line="240" w:lineRule="auto"/>
              <w:ind w:left="0" w:firstLine="0"/>
              <w:rPr>
                <w:rFonts w:ascii="Times New Roman" w:eastAsia="等线" w:hAnsi="Times New Roman" w:cs="Times New Roman"/>
                <w:kern w:val="0"/>
                <w:szCs w:val="24"/>
              </w:rPr>
            </w:pPr>
          </w:p>
        </w:tc>
      </w:tr>
      <w:tr w:rsidR="000C738A" w:rsidRPr="00F37008" w:rsidTr="00876A0B">
        <w:trPr>
          <w:trHeight w:val="319"/>
        </w:trPr>
        <w:tc>
          <w:tcPr>
            <w:tcW w:w="3766" w:type="dxa"/>
            <w:tcBorders>
              <w:top w:val="nil"/>
              <w:left w:val="single" w:sz="4" w:space="0" w:color="auto"/>
              <w:bottom w:val="single" w:sz="4" w:space="0" w:color="auto"/>
              <w:right w:val="single" w:sz="4" w:space="0" w:color="auto"/>
            </w:tcBorders>
            <w:shd w:val="clear" w:color="auto" w:fill="auto"/>
          </w:tcPr>
          <w:p w:rsidR="000C738A" w:rsidRPr="00194D0A" w:rsidRDefault="000C738A" w:rsidP="00876A0B">
            <w:pPr>
              <w:spacing w:after="0" w:line="240" w:lineRule="auto"/>
              <w:ind w:left="0" w:firstLine="0"/>
              <w:rPr>
                <w:rFonts w:ascii="Times New Roman" w:hAnsi="Times New Roman" w:cs="Times New Roman"/>
                <w:kern w:val="0"/>
                <w:szCs w:val="24"/>
              </w:rPr>
            </w:pPr>
            <w:r w:rsidRPr="00194D0A">
              <w:rPr>
                <w:rFonts w:ascii="Times New Roman" w:hAnsi="Times New Roman" w:cs="Times New Roman" w:hint="eastAsia"/>
                <w:kern w:val="0"/>
                <w:szCs w:val="24"/>
              </w:rPr>
              <w:t xml:space="preserve">    1</w:t>
            </w:r>
            <w:r w:rsidRPr="00194D0A">
              <w:rPr>
                <w:rFonts w:ascii="Times New Roman" w:hAnsi="Times New Roman" w:cs="Times New Roman" w:hint="eastAsia"/>
                <w:kern w:val="0"/>
                <w:szCs w:val="24"/>
              </w:rPr>
              <w:t>、律师费</w:t>
            </w:r>
          </w:p>
        </w:tc>
        <w:tc>
          <w:tcPr>
            <w:tcW w:w="4801" w:type="dxa"/>
            <w:tcBorders>
              <w:top w:val="nil"/>
              <w:left w:val="nil"/>
              <w:bottom w:val="single" w:sz="4" w:space="0" w:color="auto"/>
              <w:right w:val="single" w:sz="4" w:space="0" w:color="auto"/>
            </w:tcBorders>
            <w:shd w:val="clear" w:color="auto" w:fill="auto"/>
          </w:tcPr>
          <w:p w:rsidR="000C738A" w:rsidRPr="00194D0A" w:rsidRDefault="000C738A" w:rsidP="00876A0B">
            <w:pPr>
              <w:spacing w:after="0" w:line="240" w:lineRule="auto"/>
              <w:ind w:left="0" w:firstLineChars="1550" w:firstLine="3410"/>
              <w:rPr>
                <w:sz w:val="22"/>
              </w:rPr>
            </w:pPr>
            <w:r w:rsidRPr="00194D0A">
              <w:rPr>
                <w:rFonts w:hint="eastAsia"/>
                <w:sz w:val="22"/>
              </w:rPr>
              <w:t>-</w:t>
            </w:r>
            <w:r w:rsidR="00430A08">
              <w:rPr>
                <w:sz w:val="22"/>
              </w:rPr>
              <w:t>1</w:t>
            </w:r>
            <w:r w:rsidRPr="00194D0A">
              <w:rPr>
                <w:rFonts w:hint="eastAsia"/>
                <w:sz w:val="22"/>
              </w:rPr>
              <w:t>0,000.00</w:t>
            </w:r>
          </w:p>
        </w:tc>
      </w:tr>
      <w:tr w:rsidR="000C738A" w:rsidRPr="00F37008" w:rsidTr="00876A0B">
        <w:trPr>
          <w:trHeight w:val="319"/>
        </w:trPr>
        <w:tc>
          <w:tcPr>
            <w:tcW w:w="3766" w:type="dxa"/>
            <w:tcBorders>
              <w:top w:val="nil"/>
              <w:left w:val="single" w:sz="4" w:space="0" w:color="auto"/>
              <w:bottom w:val="single" w:sz="4" w:space="0" w:color="auto"/>
              <w:right w:val="single" w:sz="4" w:space="0" w:color="auto"/>
            </w:tcBorders>
            <w:shd w:val="clear" w:color="auto" w:fill="auto"/>
            <w:hideMark/>
          </w:tcPr>
          <w:p w:rsidR="000C738A" w:rsidRPr="00194D0A" w:rsidRDefault="000C738A" w:rsidP="00876A0B">
            <w:pPr>
              <w:spacing w:after="0" w:line="240" w:lineRule="auto"/>
              <w:ind w:left="0" w:firstLineChars="100" w:firstLine="240"/>
              <w:rPr>
                <w:rFonts w:ascii="Times New Roman" w:hAnsi="Times New Roman" w:cs="Times New Roman"/>
                <w:kern w:val="0"/>
                <w:szCs w:val="24"/>
              </w:rPr>
            </w:pPr>
            <w:r w:rsidRPr="00194D0A">
              <w:rPr>
                <w:rFonts w:ascii="Times New Roman" w:hAnsi="Times New Roman" w:cs="Times New Roman"/>
                <w:kern w:val="0"/>
                <w:szCs w:val="24"/>
              </w:rPr>
              <w:t>清算期间费用小计</w:t>
            </w:r>
          </w:p>
        </w:tc>
        <w:tc>
          <w:tcPr>
            <w:tcW w:w="4801" w:type="dxa"/>
            <w:tcBorders>
              <w:top w:val="nil"/>
              <w:left w:val="nil"/>
              <w:bottom w:val="single" w:sz="4" w:space="0" w:color="auto"/>
              <w:right w:val="single" w:sz="4" w:space="0" w:color="auto"/>
            </w:tcBorders>
            <w:shd w:val="clear" w:color="auto" w:fill="auto"/>
            <w:vAlign w:val="center"/>
          </w:tcPr>
          <w:p w:rsidR="000C738A" w:rsidRPr="00194D0A" w:rsidRDefault="000C738A" w:rsidP="00876A0B">
            <w:pPr>
              <w:jc w:val="right"/>
              <w:rPr>
                <w:sz w:val="22"/>
              </w:rPr>
            </w:pPr>
            <w:r w:rsidRPr="00194D0A">
              <w:rPr>
                <w:rFonts w:hint="eastAsia"/>
                <w:sz w:val="22"/>
              </w:rPr>
              <w:t>-</w:t>
            </w:r>
            <w:r w:rsidR="00430A08">
              <w:rPr>
                <w:sz w:val="22"/>
              </w:rPr>
              <w:t>10</w:t>
            </w:r>
            <w:r w:rsidRPr="00194D0A">
              <w:rPr>
                <w:rFonts w:hint="eastAsia"/>
                <w:sz w:val="22"/>
              </w:rPr>
              <w:t>,</w:t>
            </w:r>
            <w:r w:rsidR="00430A08">
              <w:rPr>
                <w:sz w:val="22"/>
              </w:rPr>
              <w:t>000</w:t>
            </w:r>
            <w:r w:rsidRPr="00194D0A">
              <w:rPr>
                <w:rFonts w:hint="eastAsia"/>
                <w:sz w:val="22"/>
              </w:rPr>
              <w:t>.</w:t>
            </w:r>
            <w:r w:rsidR="000F7C63" w:rsidRPr="00194D0A">
              <w:rPr>
                <w:rFonts w:hint="eastAsia"/>
                <w:sz w:val="22"/>
              </w:rPr>
              <w:t>00</w:t>
            </w:r>
          </w:p>
        </w:tc>
      </w:tr>
      <w:tr w:rsidR="000C738A" w:rsidRPr="00F37008" w:rsidTr="00876A0B">
        <w:trPr>
          <w:trHeight w:val="319"/>
        </w:trPr>
        <w:tc>
          <w:tcPr>
            <w:tcW w:w="3766" w:type="dxa"/>
            <w:tcBorders>
              <w:top w:val="nil"/>
              <w:left w:val="single" w:sz="4" w:space="0" w:color="auto"/>
              <w:bottom w:val="single" w:sz="4" w:space="0" w:color="auto"/>
              <w:right w:val="single" w:sz="4" w:space="0" w:color="auto"/>
            </w:tcBorders>
            <w:shd w:val="clear" w:color="auto" w:fill="auto"/>
            <w:hideMark/>
          </w:tcPr>
          <w:p w:rsidR="000C738A" w:rsidRPr="00194D0A" w:rsidRDefault="000C738A" w:rsidP="00876A0B">
            <w:pPr>
              <w:spacing w:after="0" w:line="240" w:lineRule="auto"/>
              <w:ind w:left="0" w:firstLine="0"/>
              <w:rPr>
                <w:rFonts w:ascii="Times New Roman" w:hAnsi="Times New Roman" w:cs="Times New Roman"/>
                <w:kern w:val="0"/>
                <w:szCs w:val="24"/>
              </w:rPr>
            </w:pPr>
            <w:r w:rsidRPr="00194D0A">
              <w:rPr>
                <w:rFonts w:ascii="Times New Roman" w:hAnsi="Times New Roman" w:cs="Times New Roman"/>
                <w:kern w:val="0"/>
                <w:szCs w:val="24"/>
              </w:rPr>
              <w:t>三、清算期间净收益</w:t>
            </w:r>
          </w:p>
        </w:tc>
        <w:tc>
          <w:tcPr>
            <w:tcW w:w="4801" w:type="dxa"/>
            <w:tcBorders>
              <w:top w:val="nil"/>
              <w:left w:val="nil"/>
              <w:bottom w:val="single" w:sz="4" w:space="0" w:color="auto"/>
              <w:right w:val="single" w:sz="4" w:space="0" w:color="auto"/>
            </w:tcBorders>
            <w:shd w:val="clear" w:color="auto" w:fill="auto"/>
            <w:vAlign w:val="center"/>
          </w:tcPr>
          <w:p w:rsidR="000C738A" w:rsidRPr="00194D0A" w:rsidRDefault="00E64604" w:rsidP="00876A0B">
            <w:pPr>
              <w:jc w:val="right"/>
              <w:rPr>
                <w:sz w:val="22"/>
              </w:rPr>
            </w:pPr>
            <w:r w:rsidRPr="00E64604">
              <w:rPr>
                <w:sz w:val="22"/>
              </w:rPr>
              <w:t>-</w:t>
            </w:r>
            <w:r w:rsidR="00FF5FAA">
              <w:rPr>
                <w:rFonts w:hint="eastAsia"/>
                <w:sz w:val="22"/>
              </w:rPr>
              <w:t>8</w:t>
            </w:r>
            <w:r w:rsidRPr="00E64604">
              <w:rPr>
                <w:sz w:val="22"/>
              </w:rPr>
              <w:t>,</w:t>
            </w:r>
            <w:r w:rsidR="00FF5FAA">
              <w:rPr>
                <w:rFonts w:hint="eastAsia"/>
                <w:sz w:val="22"/>
              </w:rPr>
              <w:t>382</w:t>
            </w:r>
            <w:r w:rsidRPr="00E64604">
              <w:rPr>
                <w:sz w:val="22"/>
              </w:rPr>
              <w:t>.</w:t>
            </w:r>
            <w:r w:rsidR="00FF5FAA">
              <w:rPr>
                <w:rFonts w:hint="eastAsia"/>
                <w:sz w:val="22"/>
              </w:rPr>
              <w:t>28</w:t>
            </w:r>
          </w:p>
        </w:tc>
      </w:tr>
    </w:tbl>
    <w:p w:rsidR="000C738A" w:rsidRPr="00F37008" w:rsidRDefault="000C738A" w:rsidP="000C738A">
      <w:pPr>
        <w:spacing w:after="0" w:line="360" w:lineRule="auto"/>
        <w:ind w:left="0" w:firstLineChars="200" w:firstLine="480"/>
        <w:rPr>
          <w:rFonts w:ascii="Times New Roman" w:hAnsi="Times New Roman" w:cs="Times New Roman"/>
          <w:highlight w:val="yellow"/>
        </w:rPr>
      </w:pPr>
    </w:p>
    <w:p w:rsidR="000C738A" w:rsidRPr="000F5EB7" w:rsidRDefault="000C738A" w:rsidP="000C738A">
      <w:pPr>
        <w:spacing w:after="0" w:line="360" w:lineRule="auto"/>
        <w:ind w:left="0" w:firstLineChars="200" w:firstLine="480"/>
        <w:rPr>
          <w:rFonts w:ascii="Times New Roman" w:hAnsi="Times New Roman" w:cs="Times New Roman"/>
        </w:rPr>
      </w:pPr>
      <w:r w:rsidRPr="000F5EB7">
        <w:rPr>
          <w:rFonts w:ascii="Times New Roman" w:hAnsi="Times New Roman" w:cs="Times New Roman"/>
        </w:rPr>
        <w:t>注：</w:t>
      </w:r>
    </w:p>
    <w:p w:rsidR="000C738A" w:rsidRPr="000F5EB7" w:rsidRDefault="000C738A" w:rsidP="000C738A">
      <w:pPr>
        <w:pStyle w:val="a6"/>
        <w:numPr>
          <w:ilvl w:val="0"/>
          <w:numId w:val="12"/>
        </w:numPr>
        <w:spacing w:after="0" w:line="360" w:lineRule="auto"/>
        <w:ind w:left="1332" w:firstLineChars="0"/>
        <w:rPr>
          <w:rFonts w:ascii="Times New Roman" w:hAnsi="Times New Roman" w:cs="Times New Roman"/>
          <w:szCs w:val="24"/>
        </w:rPr>
      </w:pPr>
      <w:r w:rsidRPr="000F5EB7">
        <w:rPr>
          <w:rFonts w:ascii="Times New Roman" w:hAnsi="Times New Roman" w:cs="Times New Roman"/>
          <w:szCs w:val="24"/>
        </w:rPr>
        <w:t>利息收入为自</w:t>
      </w:r>
      <w:r w:rsidRPr="000F5EB7">
        <w:rPr>
          <w:rFonts w:ascii="Times New Roman" w:hAnsi="Times New Roman" w:cs="Times New Roman" w:hint="eastAsia"/>
          <w:szCs w:val="24"/>
        </w:rPr>
        <w:t>2022</w:t>
      </w:r>
      <w:r w:rsidRPr="000F5EB7">
        <w:rPr>
          <w:rFonts w:ascii="Times New Roman" w:hAnsi="Times New Roman" w:cs="Times New Roman"/>
          <w:szCs w:val="24"/>
        </w:rPr>
        <w:t>年</w:t>
      </w:r>
      <w:r w:rsidR="00BF279A" w:rsidRPr="000F5EB7">
        <w:rPr>
          <w:rFonts w:ascii="Times New Roman" w:hAnsi="Times New Roman" w:cs="Times New Roman"/>
          <w:szCs w:val="24"/>
        </w:rPr>
        <w:t>1</w:t>
      </w:r>
      <w:r w:rsidR="00803B01">
        <w:rPr>
          <w:rFonts w:ascii="Times New Roman" w:hAnsi="Times New Roman" w:cs="Times New Roman"/>
          <w:szCs w:val="24"/>
        </w:rPr>
        <w:t>2</w:t>
      </w:r>
      <w:r w:rsidRPr="000F5EB7">
        <w:rPr>
          <w:rFonts w:ascii="Times New Roman" w:hAnsi="Times New Roman" w:cs="Times New Roman"/>
          <w:szCs w:val="24"/>
        </w:rPr>
        <w:t>月</w:t>
      </w:r>
      <w:r w:rsidR="00803B01">
        <w:rPr>
          <w:rFonts w:ascii="Times New Roman" w:hAnsi="Times New Roman" w:cs="Times New Roman"/>
          <w:szCs w:val="24"/>
        </w:rPr>
        <w:t>9</w:t>
      </w:r>
      <w:r w:rsidRPr="000F5EB7">
        <w:rPr>
          <w:rFonts w:ascii="Times New Roman" w:hAnsi="Times New Roman" w:cs="Times New Roman"/>
          <w:szCs w:val="24"/>
        </w:rPr>
        <w:t>日至</w:t>
      </w:r>
      <w:r w:rsidRPr="000F5EB7">
        <w:rPr>
          <w:rFonts w:ascii="Times New Roman" w:hAnsi="Times New Roman" w:cs="Times New Roman"/>
          <w:szCs w:val="24"/>
        </w:rPr>
        <w:t>2022</w:t>
      </w:r>
      <w:r w:rsidRPr="000F5EB7">
        <w:rPr>
          <w:rFonts w:ascii="Times New Roman" w:hAnsi="Times New Roman" w:cs="Times New Roman" w:hint="eastAsia"/>
          <w:szCs w:val="24"/>
        </w:rPr>
        <w:t>年</w:t>
      </w:r>
      <w:r w:rsidR="00AB5AD5">
        <w:rPr>
          <w:rFonts w:ascii="Times New Roman" w:hAnsi="Times New Roman" w:cs="Times New Roman" w:hint="eastAsia"/>
          <w:szCs w:val="24"/>
        </w:rPr>
        <w:t>12</w:t>
      </w:r>
      <w:r w:rsidRPr="000F5EB7">
        <w:rPr>
          <w:rFonts w:ascii="Times New Roman" w:hAnsi="Times New Roman" w:cs="Times New Roman" w:hint="eastAsia"/>
          <w:szCs w:val="24"/>
        </w:rPr>
        <w:t>月</w:t>
      </w:r>
      <w:r w:rsidR="00AB5AD5">
        <w:rPr>
          <w:rFonts w:ascii="Times New Roman" w:hAnsi="Times New Roman" w:cs="Times New Roman" w:hint="eastAsia"/>
          <w:szCs w:val="24"/>
        </w:rPr>
        <w:t>23</w:t>
      </w:r>
      <w:r w:rsidRPr="000F5EB7">
        <w:rPr>
          <w:rFonts w:ascii="Times New Roman" w:hAnsi="Times New Roman" w:cs="Times New Roman" w:hint="eastAsia"/>
          <w:szCs w:val="24"/>
        </w:rPr>
        <w:t>日</w:t>
      </w:r>
      <w:r w:rsidRPr="000F5EB7">
        <w:rPr>
          <w:rFonts w:ascii="Times New Roman" w:hAnsi="Times New Roman" w:cs="Times New Roman"/>
          <w:szCs w:val="24"/>
        </w:rPr>
        <w:t>止清算期间的</w:t>
      </w:r>
      <w:r w:rsidRPr="000F5EB7">
        <w:rPr>
          <w:rFonts w:ascii="Times New Roman" w:hAnsi="Times New Roman" w:hint="eastAsia"/>
          <w:kern w:val="0"/>
          <w:szCs w:val="24"/>
        </w:rPr>
        <w:t>银行存款、结算</w:t>
      </w:r>
      <w:r w:rsidRPr="000F5EB7">
        <w:rPr>
          <w:rFonts w:ascii="Times New Roman" w:hAnsi="Times New Roman"/>
          <w:kern w:val="0"/>
          <w:szCs w:val="24"/>
        </w:rPr>
        <w:t>备付金、</w:t>
      </w:r>
      <w:r w:rsidRPr="000F5EB7">
        <w:rPr>
          <w:rFonts w:ascii="Times New Roman" w:hAnsi="Times New Roman" w:hint="eastAsia"/>
          <w:kern w:val="0"/>
          <w:szCs w:val="24"/>
        </w:rPr>
        <w:t>保证金利息收入</w:t>
      </w:r>
      <w:r w:rsidRPr="000F5EB7">
        <w:rPr>
          <w:rFonts w:ascii="Times New Roman" w:hAnsi="Times New Roman" w:cs="Times New Roman"/>
          <w:szCs w:val="24"/>
        </w:rPr>
        <w:t>。</w:t>
      </w:r>
    </w:p>
    <w:p w:rsidR="000C738A" w:rsidRPr="000F5EB7" w:rsidRDefault="000C738A" w:rsidP="000C738A">
      <w:pPr>
        <w:pStyle w:val="a6"/>
        <w:numPr>
          <w:ilvl w:val="0"/>
          <w:numId w:val="12"/>
        </w:numPr>
        <w:spacing w:after="0" w:line="360" w:lineRule="auto"/>
        <w:ind w:left="1332" w:firstLineChars="0"/>
        <w:rPr>
          <w:rFonts w:ascii="Times New Roman" w:hAnsi="Times New Roman" w:cs="Times New Roman"/>
          <w:szCs w:val="24"/>
        </w:rPr>
      </w:pPr>
      <w:r w:rsidRPr="000F5EB7">
        <w:rPr>
          <w:rFonts w:ascii="Times New Roman" w:hAnsi="Times New Roman" w:cs="Times New Roman" w:hint="eastAsia"/>
          <w:szCs w:val="24"/>
        </w:rPr>
        <w:t>其他</w:t>
      </w:r>
      <w:r w:rsidRPr="000F5EB7">
        <w:rPr>
          <w:rFonts w:ascii="Times New Roman" w:hAnsi="Times New Roman" w:cs="Times New Roman"/>
          <w:szCs w:val="24"/>
        </w:rPr>
        <w:t>收入为</w:t>
      </w:r>
      <w:r w:rsidRPr="000F5EB7">
        <w:rPr>
          <w:rFonts w:ascii="Times New Roman" w:hAnsi="Times New Roman" w:cs="Times New Roman" w:hint="eastAsia"/>
          <w:szCs w:val="24"/>
        </w:rPr>
        <w:t>赎回费</w:t>
      </w:r>
      <w:r w:rsidRPr="000F5EB7">
        <w:rPr>
          <w:rFonts w:ascii="Times New Roman" w:hAnsi="Times New Roman" w:cs="Times New Roman"/>
          <w:szCs w:val="24"/>
        </w:rPr>
        <w:t>收入。</w:t>
      </w:r>
    </w:p>
    <w:p w:rsidR="0024209F" w:rsidRPr="00354EEB" w:rsidRDefault="00E22DB5">
      <w:pPr>
        <w:pStyle w:val="a6"/>
        <w:ind w:firstLine="480"/>
        <w:rPr>
          <w:rFonts w:ascii="Times New Roman" w:hAnsi="Times New Roman" w:cs="Times New Roman"/>
        </w:rPr>
      </w:pPr>
      <w:r w:rsidRPr="00354EEB">
        <w:rPr>
          <w:rFonts w:ascii="Times New Roman" w:hAnsi="Times New Roman" w:cs="Times New Roman"/>
        </w:rPr>
        <w:t>（五）截至本次清算期结束日的剩余财产情况</w:t>
      </w:r>
    </w:p>
    <w:p w:rsidR="00583F83" w:rsidRPr="00354EEB" w:rsidRDefault="00E22DB5" w:rsidP="00D36DDC">
      <w:pPr>
        <w:spacing w:after="0" w:line="360" w:lineRule="auto"/>
        <w:ind w:left="11" w:right="45" w:hanging="11"/>
        <w:jc w:val="right"/>
        <w:rPr>
          <w:rFonts w:ascii="Times New Roman" w:hAnsi="Times New Roman" w:cs="Times New Roman"/>
          <w:szCs w:val="24"/>
        </w:rPr>
      </w:pPr>
      <w:r w:rsidRPr="00354EEB">
        <w:rPr>
          <w:rFonts w:ascii="Times New Roman" w:hAnsi="Times New Roman" w:cs="Times New Roman"/>
          <w:szCs w:val="24"/>
        </w:rPr>
        <w:t>单位：人民币元</w:t>
      </w:r>
    </w:p>
    <w:tbl>
      <w:tblPr>
        <w:tblStyle w:val="TableGrid"/>
        <w:tblW w:w="867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8"/>
        <w:gridCol w:w="2605"/>
      </w:tblGrid>
      <w:tr w:rsidR="00B218BC" w:rsidRPr="00F37008" w:rsidTr="008066A1">
        <w:trPr>
          <w:trHeight w:val="295"/>
        </w:trPr>
        <w:tc>
          <w:tcPr>
            <w:tcW w:w="6068" w:type="dxa"/>
            <w:hideMark/>
          </w:tcPr>
          <w:p w:rsidR="00B218BC" w:rsidRPr="00E856B3" w:rsidRDefault="00B218BC" w:rsidP="008066A1">
            <w:pPr>
              <w:spacing w:after="0" w:line="240" w:lineRule="auto"/>
              <w:ind w:left="0" w:firstLine="0"/>
              <w:jc w:val="center"/>
              <w:rPr>
                <w:rFonts w:ascii="Times New Roman" w:hAnsi="Times New Roman" w:cs="Times New Roman"/>
                <w:kern w:val="0"/>
                <w:szCs w:val="24"/>
              </w:rPr>
            </w:pPr>
            <w:r w:rsidRPr="00E856B3">
              <w:rPr>
                <w:rFonts w:ascii="Times New Roman" w:hAnsi="Times New Roman" w:cs="Times New Roman"/>
                <w:kern w:val="0"/>
                <w:szCs w:val="24"/>
              </w:rPr>
              <w:t>项目</w:t>
            </w:r>
          </w:p>
        </w:tc>
        <w:tc>
          <w:tcPr>
            <w:tcW w:w="2605" w:type="dxa"/>
            <w:hideMark/>
          </w:tcPr>
          <w:p w:rsidR="00B218BC" w:rsidRPr="00E856B3" w:rsidRDefault="00B218BC" w:rsidP="008066A1">
            <w:pPr>
              <w:spacing w:after="0" w:line="240" w:lineRule="auto"/>
              <w:ind w:left="0" w:firstLine="0"/>
              <w:jc w:val="center"/>
              <w:rPr>
                <w:rFonts w:ascii="Times New Roman" w:hAnsi="Times New Roman" w:cs="Times New Roman"/>
                <w:kern w:val="0"/>
                <w:szCs w:val="24"/>
              </w:rPr>
            </w:pPr>
            <w:r w:rsidRPr="00E856B3">
              <w:rPr>
                <w:rFonts w:ascii="Times New Roman" w:hAnsi="Times New Roman" w:cs="Times New Roman"/>
                <w:kern w:val="0"/>
                <w:szCs w:val="24"/>
              </w:rPr>
              <w:t>金额</w:t>
            </w:r>
          </w:p>
        </w:tc>
      </w:tr>
      <w:tr w:rsidR="000C738A" w:rsidRPr="00F37008" w:rsidTr="008066A1">
        <w:trPr>
          <w:trHeight w:val="302"/>
        </w:trPr>
        <w:tc>
          <w:tcPr>
            <w:tcW w:w="6068" w:type="dxa"/>
            <w:hideMark/>
          </w:tcPr>
          <w:p w:rsidR="000C738A" w:rsidRPr="00E856B3" w:rsidRDefault="000C738A" w:rsidP="00876A0B">
            <w:pPr>
              <w:spacing w:after="0" w:line="240" w:lineRule="auto"/>
              <w:ind w:left="0" w:firstLine="0"/>
              <w:rPr>
                <w:rFonts w:ascii="Times New Roman" w:hAnsi="Times New Roman" w:cs="Times New Roman"/>
                <w:kern w:val="0"/>
                <w:szCs w:val="24"/>
              </w:rPr>
            </w:pPr>
            <w:r w:rsidRPr="00E856B3">
              <w:rPr>
                <w:rFonts w:ascii="Times New Roman" w:hAnsi="Times New Roman" w:cs="Times New Roman"/>
                <w:kern w:val="0"/>
                <w:szCs w:val="24"/>
              </w:rPr>
              <w:t>一、最后运作日</w:t>
            </w:r>
            <w:r w:rsidRPr="00E856B3">
              <w:rPr>
                <w:rFonts w:ascii="Times New Roman" w:hAnsi="Times New Roman" w:cs="Times New Roman" w:hint="eastAsia"/>
                <w:kern w:val="0"/>
                <w:szCs w:val="24"/>
              </w:rPr>
              <w:t>2022</w:t>
            </w:r>
            <w:r w:rsidRPr="00E856B3">
              <w:rPr>
                <w:rFonts w:ascii="Times New Roman" w:hAnsi="Times New Roman" w:cs="Times New Roman"/>
                <w:kern w:val="0"/>
                <w:szCs w:val="24"/>
              </w:rPr>
              <w:t>年</w:t>
            </w:r>
            <w:r w:rsidR="00A16E5D" w:rsidRPr="00E856B3">
              <w:rPr>
                <w:rFonts w:ascii="Times New Roman" w:hAnsi="Times New Roman" w:cs="Times New Roman"/>
                <w:kern w:val="0"/>
                <w:szCs w:val="24"/>
              </w:rPr>
              <w:t>1</w:t>
            </w:r>
            <w:r w:rsidR="00803B01">
              <w:rPr>
                <w:rFonts w:ascii="Times New Roman" w:hAnsi="Times New Roman" w:cs="Times New Roman"/>
                <w:kern w:val="0"/>
                <w:szCs w:val="24"/>
              </w:rPr>
              <w:t>2</w:t>
            </w:r>
            <w:r w:rsidRPr="00E856B3">
              <w:rPr>
                <w:rFonts w:ascii="Times New Roman" w:hAnsi="Times New Roman" w:cs="Times New Roman"/>
                <w:kern w:val="0"/>
                <w:szCs w:val="24"/>
              </w:rPr>
              <w:t>月</w:t>
            </w:r>
            <w:r w:rsidR="00803B01">
              <w:rPr>
                <w:rFonts w:ascii="Times New Roman" w:hAnsi="Times New Roman" w:cs="Times New Roman"/>
                <w:kern w:val="0"/>
                <w:szCs w:val="24"/>
              </w:rPr>
              <w:t>8</w:t>
            </w:r>
            <w:r w:rsidRPr="00E856B3">
              <w:rPr>
                <w:rFonts w:ascii="Times New Roman" w:hAnsi="Times New Roman" w:cs="Times New Roman"/>
                <w:kern w:val="0"/>
                <w:szCs w:val="24"/>
              </w:rPr>
              <w:t>日基金净资产</w:t>
            </w:r>
          </w:p>
        </w:tc>
        <w:tc>
          <w:tcPr>
            <w:tcW w:w="2605" w:type="dxa"/>
            <w:hideMark/>
          </w:tcPr>
          <w:p w:rsidR="000C738A" w:rsidRPr="00E856B3" w:rsidRDefault="00803B01" w:rsidP="00876A0B">
            <w:pPr>
              <w:spacing w:after="0" w:line="240" w:lineRule="auto"/>
              <w:ind w:left="0" w:firstLine="0"/>
              <w:jc w:val="right"/>
              <w:rPr>
                <w:rFonts w:ascii="Times New Roman" w:hAnsi="Times New Roman" w:cs="Times New Roman"/>
                <w:b/>
                <w:kern w:val="0"/>
                <w:szCs w:val="24"/>
              </w:rPr>
            </w:pPr>
            <w:r>
              <w:rPr>
                <w:rFonts w:ascii="Times New Roman" w:hAnsi="Times New Roman" w:cs="Times New Roman"/>
                <w:b/>
                <w:kern w:val="0"/>
                <w:szCs w:val="24"/>
              </w:rPr>
              <w:t>19</w:t>
            </w:r>
            <w:r w:rsidR="000C738A" w:rsidRPr="00E856B3">
              <w:rPr>
                <w:rFonts w:ascii="Times New Roman" w:hAnsi="Times New Roman" w:cs="Times New Roman"/>
                <w:b/>
                <w:kern w:val="0"/>
                <w:szCs w:val="24"/>
              </w:rPr>
              <w:t>,</w:t>
            </w:r>
            <w:r>
              <w:rPr>
                <w:rFonts w:ascii="Times New Roman" w:hAnsi="Times New Roman" w:cs="Times New Roman"/>
                <w:b/>
                <w:kern w:val="0"/>
                <w:szCs w:val="24"/>
              </w:rPr>
              <w:t>037</w:t>
            </w:r>
            <w:r w:rsidR="000C738A" w:rsidRPr="00E856B3">
              <w:rPr>
                <w:rFonts w:ascii="Times New Roman" w:hAnsi="Times New Roman" w:cs="Times New Roman"/>
                <w:b/>
                <w:kern w:val="0"/>
                <w:szCs w:val="24"/>
              </w:rPr>
              <w:t>,</w:t>
            </w:r>
            <w:r>
              <w:rPr>
                <w:rFonts w:ascii="Times New Roman" w:hAnsi="Times New Roman" w:cs="Times New Roman"/>
                <w:b/>
                <w:kern w:val="0"/>
                <w:szCs w:val="24"/>
              </w:rPr>
              <w:t>164</w:t>
            </w:r>
            <w:r w:rsidR="000C738A" w:rsidRPr="00E856B3">
              <w:rPr>
                <w:rFonts w:ascii="Times New Roman" w:hAnsi="Times New Roman" w:cs="Times New Roman"/>
                <w:b/>
                <w:kern w:val="0"/>
                <w:szCs w:val="24"/>
              </w:rPr>
              <w:t>.</w:t>
            </w:r>
            <w:r>
              <w:rPr>
                <w:rFonts w:ascii="Times New Roman" w:hAnsi="Times New Roman" w:cs="Times New Roman"/>
                <w:b/>
                <w:kern w:val="0"/>
                <w:szCs w:val="24"/>
              </w:rPr>
              <w:t>18</w:t>
            </w:r>
          </w:p>
        </w:tc>
      </w:tr>
      <w:tr w:rsidR="000C738A" w:rsidRPr="00F37008" w:rsidTr="00876A0B">
        <w:trPr>
          <w:trHeight w:val="325"/>
        </w:trPr>
        <w:tc>
          <w:tcPr>
            <w:tcW w:w="6068" w:type="dxa"/>
            <w:hideMark/>
          </w:tcPr>
          <w:p w:rsidR="000C738A" w:rsidRPr="00A9111F" w:rsidRDefault="000C738A" w:rsidP="00876A0B">
            <w:pPr>
              <w:spacing w:after="0" w:line="240" w:lineRule="auto"/>
              <w:ind w:left="0" w:firstLine="0"/>
              <w:rPr>
                <w:rFonts w:ascii="Times New Roman" w:hAnsi="Times New Roman" w:cs="Times New Roman"/>
                <w:kern w:val="0"/>
                <w:szCs w:val="24"/>
              </w:rPr>
            </w:pPr>
            <w:r w:rsidRPr="00A9111F">
              <w:rPr>
                <w:rFonts w:ascii="Times New Roman" w:hAnsi="Times New Roman" w:cs="Times New Roman"/>
                <w:kern w:val="0"/>
                <w:szCs w:val="24"/>
              </w:rPr>
              <w:t>加：清算期间净收益</w:t>
            </w:r>
          </w:p>
        </w:tc>
        <w:tc>
          <w:tcPr>
            <w:tcW w:w="2605" w:type="dxa"/>
            <w:vAlign w:val="center"/>
            <w:hideMark/>
          </w:tcPr>
          <w:p w:rsidR="000C738A" w:rsidRPr="00A9111F" w:rsidRDefault="00FF5FAA" w:rsidP="00876A0B">
            <w:pPr>
              <w:jc w:val="right"/>
              <w:rPr>
                <w:sz w:val="22"/>
              </w:rPr>
            </w:pPr>
            <w:r w:rsidRPr="00FF5FAA">
              <w:rPr>
                <w:sz w:val="22"/>
              </w:rPr>
              <w:t>-8,382.28</w:t>
            </w:r>
          </w:p>
        </w:tc>
      </w:tr>
      <w:tr w:rsidR="000C738A" w:rsidRPr="00F37008" w:rsidTr="00876A0B">
        <w:trPr>
          <w:trHeight w:val="325"/>
        </w:trPr>
        <w:tc>
          <w:tcPr>
            <w:tcW w:w="6068" w:type="dxa"/>
          </w:tcPr>
          <w:p w:rsidR="000C738A" w:rsidRPr="00A9111F" w:rsidRDefault="000C738A" w:rsidP="00876A0B">
            <w:pPr>
              <w:spacing w:after="0" w:line="240" w:lineRule="auto"/>
              <w:ind w:left="0" w:firstLine="0"/>
              <w:rPr>
                <w:rFonts w:ascii="Times New Roman" w:hAnsi="Times New Roman" w:cs="Times New Roman"/>
                <w:kern w:val="0"/>
                <w:szCs w:val="24"/>
              </w:rPr>
            </w:pPr>
            <w:r w:rsidRPr="00A9111F">
              <w:rPr>
                <w:rFonts w:ascii="Times New Roman" w:hAnsi="Times New Roman" w:cs="Times New Roman" w:hint="eastAsia"/>
                <w:kern w:val="0"/>
                <w:szCs w:val="24"/>
              </w:rPr>
              <w:t>加：基金申购金额（于</w:t>
            </w:r>
            <w:r w:rsidRPr="00A9111F">
              <w:rPr>
                <w:rFonts w:ascii="Times New Roman" w:hAnsi="Times New Roman" w:cs="Times New Roman"/>
                <w:kern w:val="0"/>
                <w:szCs w:val="24"/>
              </w:rPr>
              <w:t>2022</w:t>
            </w:r>
            <w:r w:rsidRPr="00A9111F">
              <w:rPr>
                <w:rFonts w:ascii="Times New Roman" w:hAnsi="Times New Roman" w:cs="Times New Roman"/>
                <w:kern w:val="0"/>
                <w:szCs w:val="24"/>
              </w:rPr>
              <w:t>年</w:t>
            </w:r>
            <w:r w:rsidR="00763E86" w:rsidRPr="00A9111F">
              <w:rPr>
                <w:rFonts w:ascii="Times New Roman" w:hAnsi="Times New Roman" w:cs="Times New Roman" w:hint="eastAsia"/>
                <w:kern w:val="0"/>
                <w:szCs w:val="24"/>
              </w:rPr>
              <w:t>1</w:t>
            </w:r>
            <w:r w:rsidR="00803B01">
              <w:rPr>
                <w:rFonts w:ascii="Times New Roman" w:hAnsi="Times New Roman" w:cs="Times New Roman"/>
                <w:kern w:val="0"/>
                <w:szCs w:val="24"/>
              </w:rPr>
              <w:t>2</w:t>
            </w:r>
            <w:r w:rsidRPr="00A9111F">
              <w:rPr>
                <w:rFonts w:ascii="Times New Roman" w:hAnsi="Times New Roman" w:cs="Times New Roman"/>
                <w:kern w:val="0"/>
                <w:szCs w:val="24"/>
              </w:rPr>
              <w:t>月</w:t>
            </w:r>
            <w:r w:rsidR="00803B01">
              <w:rPr>
                <w:rFonts w:ascii="Times New Roman" w:hAnsi="Times New Roman" w:cs="Times New Roman"/>
                <w:kern w:val="0"/>
                <w:szCs w:val="24"/>
              </w:rPr>
              <w:t>9</w:t>
            </w:r>
            <w:r w:rsidRPr="00A9111F">
              <w:rPr>
                <w:rFonts w:ascii="Times New Roman" w:hAnsi="Times New Roman" w:cs="Times New Roman"/>
                <w:kern w:val="0"/>
                <w:szCs w:val="24"/>
              </w:rPr>
              <w:t>日确认的投资者申购申请）</w:t>
            </w:r>
          </w:p>
        </w:tc>
        <w:tc>
          <w:tcPr>
            <w:tcW w:w="2605" w:type="dxa"/>
            <w:vAlign w:val="center"/>
          </w:tcPr>
          <w:p w:rsidR="000C738A" w:rsidRPr="00A9111F" w:rsidRDefault="000C738A" w:rsidP="00876A0B">
            <w:pPr>
              <w:rPr>
                <w:sz w:val="22"/>
              </w:rPr>
            </w:pPr>
            <w:r w:rsidRPr="00A9111F">
              <w:rPr>
                <w:rFonts w:hint="eastAsia"/>
                <w:sz w:val="22"/>
              </w:rPr>
              <w:t xml:space="preserve">              </w:t>
            </w:r>
            <w:r w:rsidR="003C433C" w:rsidRPr="00A9111F">
              <w:rPr>
                <w:rFonts w:hint="eastAsia"/>
                <w:sz w:val="22"/>
              </w:rPr>
              <w:t xml:space="preserve">  </w:t>
            </w:r>
            <w:r w:rsidR="00D20E48">
              <w:rPr>
                <w:sz w:val="22"/>
              </w:rPr>
              <w:t>537.72</w:t>
            </w:r>
          </w:p>
        </w:tc>
      </w:tr>
      <w:tr w:rsidR="00D20E48" w:rsidRPr="00F37008" w:rsidTr="00D20E48">
        <w:trPr>
          <w:trHeight w:val="325"/>
        </w:trPr>
        <w:tc>
          <w:tcPr>
            <w:tcW w:w="6068" w:type="dxa"/>
          </w:tcPr>
          <w:p w:rsidR="00D20E48" w:rsidRPr="00A9111F" w:rsidRDefault="00D20E48" w:rsidP="00D20E48">
            <w:pPr>
              <w:spacing w:after="0" w:line="240" w:lineRule="auto"/>
              <w:ind w:left="0" w:firstLine="0"/>
              <w:rPr>
                <w:rFonts w:ascii="Times New Roman" w:hAnsi="Times New Roman" w:cs="Times New Roman"/>
                <w:kern w:val="0"/>
                <w:szCs w:val="24"/>
              </w:rPr>
            </w:pPr>
            <w:r w:rsidRPr="00A9111F">
              <w:rPr>
                <w:rFonts w:ascii="Times New Roman" w:hAnsi="Times New Roman" w:cs="Times New Roman" w:hint="eastAsia"/>
                <w:kern w:val="0"/>
                <w:szCs w:val="24"/>
              </w:rPr>
              <w:t>减：基金赎回金额（于</w:t>
            </w:r>
            <w:r w:rsidRPr="00A9111F">
              <w:rPr>
                <w:rFonts w:ascii="Times New Roman" w:hAnsi="Times New Roman" w:cs="Times New Roman"/>
                <w:kern w:val="0"/>
                <w:szCs w:val="24"/>
              </w:rPr>
              <w:t>2022</w:t>
            </w:r>
            <w:r w:rsidRPr="00A9111F">
              <w:rPr>
                <w:rFonts w:ascii="Times New Roman" w:hAnsi="Times New Roman" w:cs="Times New Roman"/>
                <w:kern w:val="0"/>
                <w:szCs w:val="24"/>
              </w:rPr>
              <w:t>年</w:t>
            </w:r>
            <w:r w:rsidRPr="00A9111F">
              <w:rPr>
                <w:rFonts w:ascii="Times New Roman" w:hAnsi="Times New Roman" w:cs="Times New Roman" w:hint="eastAsia"/>
                <w:kern w:val="0"/>
                <w:szCs w:val="24"/>
              </w:rPr>
              <w:t>1</w:t>
            </w:r>
            <w:r>
              <w:rPr>
                <w:rFonts w:ascii="Times New Roman" w:hAnsi="Times New Roman" w:cs="Times New Roman"/>
                <w:kern w:val="0"/>
                <w:szCs w:val="24"/>
              </w:rPr>
              <w:t>2</w:t>
            </w:r>
            <w:r w:rsidRPr="00A9111F">
              <w:rPr>
                <w:rFonts w:ascii="Times New Roman" w:hAnsi="Times New Roman" w:cs="Times New Roman"/>
                <w:kern w:val="0"/>
                <w:szCs w:val="24"/>
              </w:rPr>
              <w:t>月</w:t>
            </w:r>
            <w:r>
              <w:rPr>
                <w:rFonts w:ascii="Times New Roman" w:hAnsi="Times New Roman" w:cs="Times New Roman"/>
                <w:kern w:val="0"/>
                <w:szCs w:val="24"/>
              </w:rPr>
              <w:t>9</w:t>
            </w:r>
            <w:r w:rsidRPr="00A9111F">
              <w:rPr>
                <w:rFonts w:ascii="Times New Roman" w:hAnsi="Times New Roman" w:cs="Times New Roman"/>
                <w:kern w:val="0"/>
                <w:szCs w:val="24"/>
              </w:rPr>
              <w:t>日确认的投资者赎回申请</w:t>
            </w:r>
            <w:r w:rsidRPr="00A9111F">
              <w:rPr>
                <w:rFonts w:ascii="Times New Roman" w:hAnsi="Times New Roman" w:cs="Times New Roman" w:hint="eastAsia"/>
                <w:kern w:val="0"/>
                <w:szCs w:val="24"/>
              </w:rPr>
              <w:t>）</w:t>
            </w:r>
          </w:p>
        </w:tc>
        <w:tc>
          <w:tcPr>
            <w:tcW w:w="2605" w:type="dxa"/>
            <w:vAlign w:val="center"/>
          </w:tcPr>
          <w:p w:rsidR="00D20E48" w:rsidRPr="00D20E48" w:rsidRDefault="00D20E48" w:rsidP="00D20E48">
            <w:pPr>
              <w:jc w:val="right"/>
              <w:rPr>
                <w:sz w:val="22"/>
              </w:rPr>
            </w:pPr>
            <w:r w:rsidRPr="00D20E48">
              <w:rPr>
                <w:sz w:val="22"/>
              </w:rPr>
              <w:t>1</w:t>
            </w:r>
            <w:r>
              <w:rPr>
                <w:sz w:val="22"/>
              </w:rPr>
              <w:t>1</w:t>
            </w:r>
            <w:r w:rsidRPr="00D20E48">
              <w:rPr>
                <w:sz w:val="22"/>
              </w:rPr>
              <w:t>,</w:t>
            </w:r>
            <w:r>
              <w:rPr>
                <w:sz w:val="22"/>
              </w:rPr>
              <w:t>719</w:t>
            </w:r>
            <w:r w:rsidRPr="00D20E48">
              <w:rPr>
                <w:sz w:val="22"/>
              </w:rPr>
              <w:t>,</w:t>
            </w:r>
            <w:r>
              <w:rPr>
                <w:sz w:val="22"/>
              </w:rPr>
              <w:t>048</w:t>
            </w:r>
            <w:r w:rsidRPr="00D20E48">
              <w:rPr>
                <w:sz w:val="22"/>
              </w:rPr>
              <w:t>.</w:t>
            </w:r>
            <w:r>
              <w:rPr>
                <w:sz w:val="22"/>
              </w:rPr>
              <w:t>06</w:t>
            </w:r>
          </w:p>
        </w:tc>
      </w:tr>
      <w:tr w:rsidR="00D20E48" w:rsidRPr="00F37008" w:rsidTr="00E47E53">
        <w:trPr>
          <w:trHeight w:val="325"/>
        </w:trPr>
        <w:tc>
          <w:tcPr>
            <w:tcW w:w="6068" w:type="dxa"/>
            <w:hideMark/>
          </w:tcPr>
          <w:p w:rsidR="00D20E48" w:rsidRPr="00A9111F" w:rsidRDefault="00D20E48" w:rsidP="00D20E48">
            <w:pPr>
              <w:spacing w:after="0" w:line="240" w:lineRule="auto"/>
              <w:ind w:left="0" w:firstLine="0"/>
              <w:rPr>
                <w:rFonts w:ascii="Times New Roman" w:hAnsi="Times New Roman" w:cs="Times New Roman"/>
                <w:kern w:val="0"/>
                <w:szCs w:val="24"/>
              </w:rPr>
            </w:pPr>
            <w:r w:rsidRPr="00A9111F">
              <w:rPr>
                <w:rFonts w:ascii="Times New Roman" w:hAnsi="Times New Roman" w:cs="Times New Roman"/>
                <w:kern w:val="0"/>
                <w:szCs w:val="24"/>
              </w:rPr>
              <w:t>二、</w:t>
            </w:r>
            <w:r w:rsidRPr="00A9111F">
              <w:rPr>
                <w:rFonts w:ascii="Times New Roman" w:hAnsi="Times New Roman" w:cs="Times New Roman"/>
                <w:kern w:val="0"/>
                <w:szCs w:val="24"/>
              </w:rPr>
              <w:t>2022</w:t>
            </w:r>
            <w:r w:rsidRPr="00A9111F">
              <w:rPr>
                <w:rFonts w:ascii="Times New Roman" w:hAnsi="Times New Roman" w:cs="Times New Roman" w:hint="eastAsia"/>
                <w:kern w:val="0"/>
                <w:szCs w:val="24"/>
              </w:rPr>
              <w:t>年</w:t>
            </w:r>
            <w:r>
              <w:rPr>
                <w:rFonts w:ascii="Times New Roman" w:hAnsi="Times New Roman" w:cs="Times New Roman"/>
                <w:kern w:val="0"/>
                <w:szCs w:val="24"/>
              </w:rPr>
              <w:t>12</w:t>
            </w:r>
            <w:r w:rsidRPr="00A9111F">
              <w:rPr>
                <w:rFonts w:ascii="Times New Roman" w:hAnsi="Times New Roman" w:cs="Times New Roman" w:hint="eastAsia"/>
                <w:kern w:val="0"/>
                <w:szCs w:val="24"/>
              </w:rPr>
              <w:t>月</w:t>
            </w:r>
            <w:r w:rsidR="00AB5AD5">
              <w:rPr>
                <w:rFonts w:ascii="Times New Roman" w:hAnsi="Times New Roman" w:cs="Times New Roman" w:hint="eastAsia"/>
                <w:kern w:val="0"/>
                <w:szCs w:val="24"/>
              </w:rPr>
              <w:t>23</w:t>
            </w:r>
            <w:r w:rsidRPr="00A9111F">
              <w:rPr>
                <w:rFonts w:ascii="Times New Roman" w:hAnsi="Times New Roman" w:cs="Times New Roman" w:hint="eastAsia"/>
                <w:kern w:val="0"/>
                <w:szCs w:val="24"/>
              </w:rPr>
              <w:t>日</w:t>
            </w:r>
            <w:r w:rsidRPr="00A9111F">
              <w:rPr>
                <w:rFonts w:ascii="Times New Roman" w:hAnsi="Times New Roman" w:cs="Times New Roman"/>
                <w:kern w:val="0"/>
                <w:szCs w:val="24"/>
              </w:rPr>
              <w:t>基金净资产</w:t>
            </w:r>
          </w:p>
        </w:tc>
        <w:tc>
          <w:tcPr>
            <w:tcW w:w="2605" w:type="dxa"/>
          </w:tcPr>
          <w:p w:rsidR="00D20E48" w:rsidRPr="00A9111F" w:rsidRDefault="00970A48" w:rsidP="00D20E48">
            <w:pPr>
              <w:spacing w:after="0" w:line="240" w:lineRule="auto"/>
              <w:ind w:left="0" w:firstLine="0"/>
              <w:jc w:val="right"/>
              <w:rPr>
                <w:rFonts w:ascii="Times New Roman" w:hAnsi="Times New Roman" w:cs="Times New Roman"/>
                <w:b/>
                <w:kern w:val="0"/>
                <w:szCs w:val="24"/>
              </w:rPr>
            </w:pPr>
            <w:r w:rsidRPr="00970A48">
              <w:rPr>
                <w:rFonts w:ascii="Times New Roman" w:hAnsi="Times New Roman" w:cs="Times New Roman"/>
                <w:b/>
                <w:kern w:val="0"/>
                <w:szCs w:val="24"/>
              </w:rPr>
              <w:t>7,310,271.56</w:t>
            </w:r>
          </w:p>
        </w:tc>
      </w:tr>
    </w:tbl>
    <w:p w:rsidR="00296B31" w:rsidRPr="00F37008" w:rsidRDefault="00296B31" w:rsidP="00D36DDC">
      <w:pPr>
        <w:spacing w:after="0" w:line="360" w:lineRule="auto"/>
        <w:ind w:left="0" w:firstLineChars="200" w:firstLine="480"/>
        <w:rPr>
          <w:rFonts w:ascii="Times New Roman" w:hAnsi="Times New Roman" w:cs="Times New Roman"/>
          <w:highlight w:val="yellow"/>
        </w:rPr>
      </w:pPr>
    </w:p>
    <w:p w:rsidR="00A9111F" w:rsidRPr="00A9111F" w:rsidRDefault="00A9111F" w:rsidP="00A9111F">
      <w:pPr>
        <w:spacing w:after="0" w:line="240" w:lineRule="auto"/>
        <w:ind w:left="0" w:firstLine="0"/>
        <w:rPr>
          <w:rFonts w:ascii="Times New Roman" w:hAnsi="Times New Roman" w:cs="Times New Roman"/>
          <w:b/>
          <w:kern w:val="0"/>
          <w:szCs w:val="24"/>
        </w:rPr>
      </w:pPr>
      <w:r>
        <w:rPr>
          <w:rFonts w:ascii="Times New Roman" w:hAnsi="Times New Roman" w:cs="Times New Roman" w:hint="eastAsia"/>
        </w:rPr>
        <w:t xml:space="preserve">        </w:t>
      </w:r>
      <w:r w:rsidR="000C738A" w:rsidRPr="00A9111F">
        <w:rPr>
          <w:rFonts w:ascii="Times New Roman" w:hAnsi="Times New Roman" w:cs="Times New Roman"/>
        </w:rPr>
        <w:t>截至本次清算期结束日</w:t>
      </w:r>
      <w:r w:rsidR="000C738A" w:rsidRPr="00A9111F">
        <w:rPr>
          <w:rFonts w:ascii="Times New Roman" w:hAnsi="Times New Roman" w:cs="Times New Roman"/>
        </w:rPr>
        <w:t>2022</w:t>
      </w:r>
      <w:r w:rsidR="000C738A" w:rsidRPr="00A9111F">
        <w:rPr>
          <w:rFonts w:ascii="Times New Roman" w:hAnsi="Times New Roman" w:cs="Times New Roman" w:hint="eastAsia"/>
        </w:rPr>
        <w:t>年</w:t>
      </w:r>
      <w:r w:rsidR="00803B01">
        <w:rPr>
          <w:rFonts w:ascii="Times New Roman" w:hAnsi="Times New Roman" w:cs="Times New Roman"/>
        </w:rPr>
        <w:t>12</w:t>
      </w:r>
      <w:r w:rsidR="000C738A" w:rsidRPr="00A9111F">
        <w:rPr>
          <w:rFonts w:ascii="Times New Roman" w:hAnsi="Times New Roman" w:cs="Times New Roman" w:hint="eastAsia"/>
        </w:rPr>
        <w:t>月</w:t>
      </w:r>
      <w:r w:rsidR="00AB5AD5">
        <w:rPr>
          <w:rFonts w:ascii="Times New Roman" w:hAnsi="Times New Roman" w:cs="Times New Roman" w:hint="eastAsia"/>
        </w:rPr>
        <w:t>23</w:t>
      </w:r>
      <w:r w:rsidR="000C738A" w:rsidRPr="00A9111F">
        <w:rPr>
          <w:rFonts w:ascii="Times New Roman" w:hAnsi="Times New Roman" w:cs="Times New Roman" w:hint="eastAsia"/>
        </w:rPr>
        <w:t>日</w:t>
      </w:r>
      <w:r w:rsidR="00FF5FAA">
        <w:rPr>
          <w:rFonts w:ascii="Times New Roman" w:hAnsi="Times New Roman" w:cs="Times New Roman"/>
        </w:rPr>
        <w:t>，本基金剩余财产为人民</w:t>
      </w:r>
      <w:r w:rsidR="00FF5FAA" w:rsidRPr="00FF5FAA">
        <w:rPr>
          <w:rFonts w:ascii="Times New Roman" w:hAnsi="Times New Roman" w:cs="Times New Roman"/>
          <w:b/>
          <w:kern w:val="0"/>
          <w:szCs w:val="24"/>
        </w:rPr>
        <w:t>7,310,271.56</w:t>
      </w:r>
    </w:p>
    <w:p w:rsidR="000C738A" w:rsidRPr="00F37008" w:rsidRDefault="000C738A" w:rsidP="00A9111F">
      <w:pPr>
        <w:spacing w:after="0" w:line="360" w:lineRule="auto"/>
        <w:ind w:left="0" w:firstLine="0"/>
        <w:rPr>
          <w:rFonts w:ascii="Times New Roman" w:hAnsi="Times New Roman" w:cs="Times New Roman"/>
          <w:highlight w:val="yellow"/>
        </w:rPr>
      </w:pPr>
      <w:r w:rsidRPr="00A9111F">
        <w:rPr>
          <w:rFonts w:ascii="Times New Roman" w:hAnsi="Times New Roman" w:cs="Times New Roman"/>
        </w:rPr>
        <w:t>元。自本次清算期结束日次日</w:t>
      </w:r>
      <w:r w:rsidRPr="00A9111F">
        <w:rPr>
          <w:rFonts w:ascii="Times New Roman" w:hAnsi="Times New Roman" w:cs="Times New Roman"/>
        </w:rPr>
        <w:t>2022</w:t>
      </w:r>
      <w:r w:rsidRPr="00A9111F">
        <w:rPr>
          <w:rFonts w:ascii="Times New Roman" w:hAnsi="Times New Roman" w:cs="Times New Roman" w:hint="eastAsia"/>
        </w:rPr>
        <w:t>年</w:t>
      </w:r>
      <w:r w:rsidR="00803B01">
        <w:rPr>
          <w:rFonts w:ascii="Times New Roman" w:hAnsi="Times New Roman" w:cs="Times New Roman"/>
        </w:rPr>
        <w:t>12</w:t>
      </w:r>
      <w:r w:rsidRPr="00A9111F">
        <w:rPr>
          <w:rFonts w:ascii="Times New Roman" w:hAnsi="Times New Roman" w:cs="Times New Roman" w:hint="eastAsia"/>
        </w:rPr>
        <w:t>月</w:t>
      </w:r>
      <w:r w:rsidR="00AB5AD5">
        <w:rPr>
          <w:rFonts w:ascii="Times New Roman" w:hAnsi="Times New Roman" w:cs="Times New Roman" w:hint="eastAsia"/>
        </w:rPr>
        <w:t>24</w:t>
      </w:r>
      <w:r w:rsidRPr="00A9111F">
        <w:rPr>
          <w:rFonts w:ascii="Times New Roman" w:hAnsi="Times New Roman" w:cs="Times New Roman" w:hint="eastAsia"/>
        </w:rPr>
        <w:t>日</w:t>
      </w:r>
      <w:r w:rsidRPr="00A9111F">
        <w:rPr>
          <w:rFonts w:ascii="Times New Roman" w:hAnsi="Times New Roman" w:cs="Times New Roman"/>
        </w:rPr>
        <w:t>至本次清算款划出前一日的银行存款产生的利息亦归基金份额持有人所有。</w:t>
      </w:r>
    </w:p>
    <w:p w:rsidR="00093758" w:rsidRPr="005063A8" w:rsidRDefault="000C738A" w:rsidP="00B952C9">
      <w:pPr>
        <w:spacing w:after="0" w:line="360" w:lineRule="auto"/>
        <w:ind w:left="0" w:firstLineChars="200" w:firstLine="480"/>
        <w:rPr>
          <w:rFonts w:ascii="Times New Roman" w:hAnsi="Times New Roman" w:cs="Times New Roman"/>
        </w:rPr>
      </w:pPr>
      <w:r w:rsidRPr="00CB7BCA">
        <w:rPr>
          <w:rFonts w:ascii="Times New Roman" w:hAnsi="Times New Roman" w:cs="Times New Roman"/>
        </w:rPr>
        <w:t>本基金所有剩余财产将按基金份额持有人持有的基金份额比例进行分配。</w:t>
      </w:r>
    </w:p>
    <w:p w:rsidR="00583F83" w:rsidRPr="005063A8" w:rsidRDefault="00E22DB5" w:rsidP="00D36DDC">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（六）基金清算报告的告知及剩余财产分配安排</w:t>
      </w:r>
    </w:p>
    <w:p w:rsidR="00583F83" w:rsidRPr="005063A8" w:rsidRDefault="00E22DB5" w:rsidP="00D36DDC">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D36DDC" w:rsidRPr="005063A8" w:rsidRDefault="00D36DDC" w:rsidP="00D36DDC">
      <w:pPr>
        <w:spacing w:after="0" w:line="360" w:lineRule="auto"/>
        <w:ind w:left="0" w:firstLineChars="200" w:firstLine="480"/>
        <w:rPr>
          <w:rFonts w:ascii="Times New Roman" w:hAnsi="Times New Roman" w:cs="Times New Roman"/>
        </w:rPr>
      </w:pPr>
    </w:p>
    <w:p w:rsidR="00D36DDC" w:rsidRPr="005063A8" w:rsidRDefault="00D36DDC" w:rsidP="00D36DDC">
      <w:pPr>
        <w:spacing w:after="0" w:line="360" w:lineRule="auto"/>
        <w:ind w:left="0" w:firstLineChars="200" w:firstLine="480"/>
        <w:rPr>
          <w:rFonts w:ascii="Times New Roman" w:hAnsi="Times New Roman" w:cs="Times New Roman"/>
        </w:rPr>
      </w:pPr>
    </w:p>
    <w:p w:rsidR="00583F83" w:rsidRPr="005063A8" w:rsidRDefault="00E22DB5" w:rsidP="00AB717A">
      <w:pPr>
        <w:pStyle w:val="1"/>
        <w:ind w:left="10" w:right="62" w:firstLineChars="1300" w:firstLine="3640"/>
        <w:jc w:val="both"/>
        <w:rPr>
          <w:rFonts w:ascii="Times New Roman" w:hAnsi="Times New Roman" w:cs="Times New Roman"/>
          <w:szCs w:val="28"/>
        </w:rPr>
      </w:pPr>
      <w:bookmarkStart w:id="15" w:name="_Toc122679854"/>
      <w:bookmarkStart w:id="16" w:name="_Toc123313458"/>
      <w:r w:rsidRPr="005063A8">
        <w:rPr>
          <w:rFonts w:ascii="Times New Roman" w:hAnsi="Times New Roman" w:cs="Times New Roman"/>
          <w:szCs w:val="28"/>
        </w:rPr>
        <w:t>五、备查文件</w:t>
      </w:r>
      <w:bookmarkEnd w:id="15"/>
      <w:bookmarkEnd w:id="16"/>
    </w:p>
    <w:p w:rsidR="00583F83" w:rsidRPr="005063A8" w:rsidRDefault="00321517" w:rsidP="00321517">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（一）</w:t>
      </w:r>
      <w:r w:rsidR="00E22DB5" w:rsidRPr="005063A8">
        <w:rPr>
          <w:rFonts w:ascii="Times New Roman" w:hAnsi="Times New Roman" w:cs="Times New Roman"/>
        </w:rPr>
        <w:t>备查文件目录</w:t>
      </w:r>
    </w:p>
    <w:p w:rsidR="00583F83" w:rsidRPr="005063A8" w:rsidRDefault="000205B4" w:rsidP="00321517">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1</w:t>
      </w:r>
      <w:r w:rsidRPr="005063A8">
        <w:rPr>
          <w:rFonts w:ascii="Times New Roman" w:hAnsi="Times New Roman" w:cs="Times New Roman"/>
        </w:rPr>
        <w:t>、</w:t>
      </w:r>
      <w:r w:rsidR="00E22DB5" w:rsidRPr="005063A8">
        <w:rPr>
          <w:rFonts w:ascii="Times New Roman" w:hAnsi="Times New Roman" w:cs="Times New Roman"/>
        </w:rPr>
        <w:t>《</w:t>
      </w:r>
      <w:r w:rsidR="00424D7A">
        <w:rPr>
          <w:rFonts w:ascii="Times New Roman" w:hAnsi="Times New Roman" w:cs="Times New Roman" w:hint="eastAsia"/>
        </w:rPr>
        <w:t>泰达宏利创盈灵活配置混合型证券投资基金</w:t>
      </w:r>
      <w:r w:rsidR="00E22DB5" w:rsidRPr="005063A8">
        <w:rPr>
          <w:rFonts w:ascii="Times New Roman" w:hAnsi="Times New Roman" w:cs="Times New Roman"/>
        </w:rPr>
        <w:t>清算审计报告》</w:t>
      </w:r>
    </w:p>
    <w:p w:rsidR="00583F83" w:rsidRPr="005063A8" w:rsidRDefault="000205B4" w:rsidP="00321517">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2</w:t>
      </w:r>
      <w:r w:rsidRPr="005063A8">
        <w:rPr>
          <w:rFonts w:ascii="Times New Roman" w:hAnsi="Times New Roman" w:cs="Times New Roman"/>
        </w:rPr>
        <w:t>、</w:t>
      </w:r>
      <w:r w:rsidR="00E22DB5" w:rsidRPr="005063A8">
        <w:rPr>
          <w:rFonts w:ascii="Times New Roman" w:hAnsi="Times New Roman" w:cs="Times New Roman"/>
        </w:rPr>
        <w:t>《</w:t>
      </w:r>
      <w:r w:rsidR="0021289D" w:rsidRPr="00370EEA">
        <w:rPr>
          <w:rFonts w:ascii="Times New Roman" w:hAnsi="Times New Roman" w:cs="Times New Roman" w:hint="eastAsia"/>
        </w:rPr>
        <w:t>上海市</w:t>
      </w:r>
      <w:r w:rsidR="00242C17" w:rsidRPr="00370EEA">
        <w:rPr>
          <w:rFonts w:ascii="Times New Roman" w:hAnsi="Times New Roman" w:cs="Times New Roman"/>
        </w:rPr>
        <w:t>通力律师事务所</w:t>
      </w:r>
      <w:r w:rsidR="00E22DB5" w:rsidRPr="005063A8">
        <w:rPr>
          <w:rFonts w:ascii="Times New Roman" w:hAnsi="Times New Roman" w:cs="Times New Roman"/>
        </w:rPr>
        <w:t>关于</w:t>
      </w:r>
      <w:r w:rsidR="00242C17" w:rsidRPr="005063A8">
        <w:rPr>
          <w:rFonts w:ascii="Times New Roman" w:hAnsi="Times New Roman" w:cs="Times New Roman"/>
        </w:rPr>
        <w:t>&lt;</w:t>
      </w:r>
      <w:r w:rsidR="00424D7A">
        <w:rPr>
          <w:rFonts w:ascii="Times New Roman" w:hAnsi="Times New Roman" w:cs="Times New Roman" w:hint="eastAsia"/>
        </w:rPr>
        <w:t>泰达宏利创盈灵活配置混合型证券投资基金</w:t>
      </w:r>
      <w:r w:rsidR="00E22DB5" w:rsidRPr="005063A8">
        <w:rPr>
          <w:rFonts w:ascii="Times New Roman" w:hAnsi="Times New Roman" w:cs="Times New Roman"/>
        </w:rPr>
        <w:t>清算</w:t>
      </w:r>
      <w:r w:rsidR="00242C17" w:rsidRPr="005063A8">
        <w:rPr>
          <w:rFonts w:ascii="Times New Roman" w:hAnsi="Times New Roman" w:cs="Times New Roman"/>
        </w:rPr>
        <w:t>报告</w:t>
      </w:r>
      <w:r w:rsidR="00242C17" w:rsidRPr="005063A8">
        <w:rPr>
          <w:rFonts w:ascii="Times New Roman" w:hAnsi="Times New Roman" w:cs="Times New Roman"/>
        </w:rPr>
        <w:t>&gt;</w:t>
      </w:r>
      <w:r w:rsidR="00E22DB5" w:rsidRPr="005063A8">
        <w:rPr>
          <w:rFonts w:ascii="Times New Roman" w:hAnsi="Times New Roman" w:cs="Times New Roman"/>
        </w:rPr>
        <w:t>的法律意见》</w:t>
      </w:r>
    </w:p>
    <w:p w:rsidR="00583F83" w:rsidRPr="005063A8" w:rsidRDefault="008A7022" w:rsidP="00321517">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（二）</w:t>
      </w:r>
      <w:r w:rsidR="00E12E94" w:rsidRPr="005063A8">
        <w:rPr>
          <w:rFonts w:ascii="Times New Roman" w:hAnsi="Times New Roman" w:cs="Times New Roman"/>
        </w:rPr>
        <w:t>存放地点备查文件存放于基金管理人、基金托管人处</w:t>
      </w:r>
      <w:r w:rsidRPr="005063A8">
        <w:rPr>
          <w:rFonts w:ascii="Times New Roman" w:hAnsi="Times New Roman" w:cs="Times New Roman"/>
        </w:rPr>
        <w:t>。</w:t>
      </w:r>
    </w:p>
    <w:p w:rsidR="00583F83" w:rsidRPr="005063A8" w:rsidRDefault="008A7022" w:rsidP="00321517">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（三）</w:t>
      </w:r>
      <w:r w:rsidR="00E22DB5" w:rsidRPr="005063A8">
        <w:rPr>
          <w:rFonts w:ascii="Times New Roman" w:hAnsi="Times New Roman" w:cs="Times New Roman"/>
        </w:rPr>
        <w:t>查阅方式</w:t>
      </w:r>
    </w:p>
    <w:p w:rsidR="007E7F53" w:rsidRPr="005063A8" w:rsidRDefault="00E22DB5" w:rsidP="00321517">
      <w:pPr>
        <w:spacing w:after="0" w:line="360" w:lineRule="auto"/>
        <w:ind w:left="0" w:firstLineChars="200" w:firstLine="480"/>
        <w:rPr>
          <w:rFonts w:ascii="Times New Roman" w:hAnsi="Times New Roman" w:cs="Times New Roman"/>
        </w:rPr>
      </w:pPr>
      <w:r w:rsidRPr="005063A8">
        <w:rPr>
          <w:rFonts w:ascii="Times New Roman" w:hAnsi="Times New Roman" w:cs="Times New Roman"/>
        </w:rPr>
        <w:t>投资者可在营业时间免费查阅备查文件</w:t>
      </w:r>
    </w:p>
    <w:p w:rsidR="00321517" w:rsidRPr="005063A8" w:rsidRDefault="00321517" w:rsidP="00321517">
      <w:pPr>
        <w:spacing w:after="0" w:line="360" w:lineRule="auto"/>
        <w:ind w:left="0" w:firstLineChars="200" w:firstLine="480"/>
        <w:rPr>
          <w:rFonts w:ascii="Times New Roman" w:hAnsi="Times New Roman" w:cs="Times New Roman"/>
        </w:rPr>
      </w:pPr>
    </w:p>
    <w:p w:rsidR="00321517" w:rsidRPr="005063A8" w:rsidRDefault="00321517" w:rsidP="00321517">
      <w:pPr>
        <w:spacing w:after="0" w:line="360" w:lineRule="auto"/>
        <w:ind w:left="0" w:firstLineChars="200" w:firstLine="480"/>
        <w:rPr>
          <w:rFonts w:ascii="Times New Roman" w:hAnsi="Times New Roman" w:cs="Times New Roman"/>
        </w:rPr>
      </w:pPr>
    </w:p>
    <w:p w:rsidR="00111DEB" w:rsidRDefault="00424D7A" w:rsidP="004B23B3">
      <w:pPr>
        <w:spacing w:line="378" w:lineRule="auto"/>
        <w:ind w:left="2343" w:right="41"/>
        <w:jc w:val="right"/>
        <w:rPr>
          <w:rFonts w:ascii="Times New Roman" w:hAnsi="Times New Roman" w:cs="Times New Roman"/>
        </w:rPr>
      </w:pPr>
      <w:r>
        <w:rPr>
          <w:rFonts w:ascii="Times New Roman" w:hAnsi="Times New Roman" w:cs="Times New Roman"/>
          <w:szCs w:val="24"/>
        </w:rPr>
        <w:t>泰达宏利创盈灵活配置混合型证券投资基金</w:t>
      </w:r>
    </w:p>
    <w:p w:rsidR="006D0F9A" w:rsidRPr="005063A8" w:rsidRDefault="000A5223" w:rsidP="004B23B3">
      <w:pPr>
        <w:spacing w:line="378" w:lineRule="auto"/>
        <w:ind w:left="2343" w:right="41"/>
        <w:jc w:val="right"/>
        <w:rPr>
          <w:rFonts w:ascii="Times New Roman" w:hAnsi="Times New Roman" w:cs="Times New Roman"/>
          <w:szCs w:val="24"/>
        </w:rPr>
      </w:pPr>
      <w:r w:rsidRPr="00F653FE">
        <w:rPr>
          <w:rFonts w:ascii="Times New Roman" w:hAnsi="Times New Roman" w:cs="Times New Roman" w:hint="eastAsia"/>
          <w:szCs w:val="24"/>
        </w:rPr>
        <w:t>基金</w:t>
      </w:r>
      <w:r w:rsidR="00E22DB5" w:rsidRPr="005063A8">
        <w:rPr>
          <w:rFonts w:ascii="Times New Roman" w:hAnsi="Times New Roman" w:cs="Times New Roman"/>
          <w:szCs w:val="24"/>
        </w:rPr>
        <w:t>财产清算</w:t>
      </w:r>
      <w:r w:rsidR="00D37A16" w:rsidRPr="005063A8">
        <w:rPr>
          <w:rFonts w:ascii="Times New Roman" w:hAnsi="Times New Roman" w:cs="Times New Roman"/>
          <w:szCs w:val="24"/>
        </w:rPr>
        <w:t>小</w:t>
      </w:r>
      <w:r w:rsidR="00E22DB5" w:rsidRPr="005063A8">
        <w:rPr>
          <w:rFonts w:ascii="Times New Roman" w:hAnsi="Times New Roman" w:cs="Times New Roman"/>
          <w:szCs w:val="24"/>
        </w:rPr>
        <w:t>组</w:t>
      </w:r>
    </w:p>
    <w:p w:rsidR="00583F83" w:rsidRPr="005063A8" w:rsidRDefault="00A625C3" w:rsidP="004B23B3">
      <w:pPr>
        <w:spacing w:line="378" w:lineRule="auto"/>
        <w:ind w:left="2343" w:right="-15"/>
        <w:jc w:val="right"/>
        <w:rPr>
          <w:rFonts w:ascii="Times New Roman" w:hAnsi="Times New Roman" w:cs="Times New Roman"/>
          <w:szCs w:val="24"/>
        </w:rPr>
      </w:pPr>
      <w:r>
        <w:rPr>
          <w:rFonts w:ascii="Times New Roman" w:hAnsi="Times New Roman" w:cs="Times New Roman" w:hint="eastAsia"/>
          <w:szCs w:val="24"/>
        </w:rPr>
        <w:t>2022</w:t>
      </w:r>
      <w:r w:rsidR="00E22DB5" w:rsidRPr="005063A8">
        <w:rPr>
          <w:rFonts w:ascii="Times New Roman" w:hAnsi="Times New Roman" w:cs="Times New Roman"/>
          <w:szCs w:val="24"/>
        </w:rPr>
        <w:t>年</w:t>
      </w:r>
      <w:r w:rsidR="004A70AB">
        <w:rPr>
          <w:rFonts w:ascii="Times New Roman" w:hAnsi="Times New Roman" w:cs="Times New Roman"/>
          <w:szCs w:val="24"/>
        </w:rPr>
        <w:t>12</w:t>
      </w:r>
      <w:r w:rsidR="00E22DB5" w:rsidRPr="005F1C7D">
        <w:rPr>
          <w:rFonts w:ascii="Times New Roman" w:hAnsi="Times New Roman" w:cs="Times New Roman" w:hint="eastAsia"/>
          <w:szCs w:val="24"/>
        </w:rPr>
        <w:t>月</w:t>
      </w:r>
      <w:r w:rsidR="00AB5AD5">
        <w:rPr>
          <w:rFonts w:ascii="Times New Roman" w:hAnsi="Times New Roman" w:cs="Times New Roman" w:hint="eastAsia"/>
          <w:szCs w:val="24"/>
        </w:rPr>
        <w:t>23</w:t>
      </w:r>
      <w:r w:rsidR="00E22DB5" w:rsidRPr="005F1C7D">
        <w:rPr>
          <w:rFonts w:ascii="Times New Roman" w:hAnsi="Times New Roman" w:cs="Times New Roman" w:hint="eastAsia"/>
          <w:szCs w:val="24"/>
        </w:rPr>
        <w:t>日</w:t>
      </w:r>
    </w:p>
    <w:sectPr w:rsidR="00583F83" w:rsidRPr="005063A8" w:rsidSect="00E96BEB">
      <w:headerReference w:type="default" r:id="rId8"/>
      <w:footerReference w:type="even" r:id="rId9"/>
      <w:footerReference w:type="default" r:id="rId10"/>
      <w:headerReference w:type="first" r:id="rId11"/>
      <w:footerReference w:type="first" r:id="rId12"/>
      <w:pgSz w:w="11906" w:h="16838"/>
      <w:pgMar w:top="851" w:right="1375" w:bottom="1298" w:left="1418"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86" w:rsidRDefault="00351686">
      <w:pPr>
        <w:spacing w:after="0" w:line="240" w:lineRule="auto"/>
      </w:pPr>
      <w:r>
        <w:separator/>
      </w:r>
    </w:p>
  </w:endnote>
  <w:endnote w:type="continuationSeparator" w:id="0">
    <w:p w:rsidR="00351686" w:rsidRDefault="00351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D1" w:rsidRDefault="00571FE9">
    <w:pPr>
      <w:spacing w:after="0"/>
      <w:ind w:left="0" w:right="61" w:firstLine="0"/>
      <w:jc w:val="center"/>
    </w:pPr>
    <w:r w:rsidRPr="00571FE9">
      <w:fldChar w:fldCharType="begin"/>
    </w:r>
    <w:r w:rsidR="00A034D1">
      <w:instrText xml:space="preserve"> PAGE   \* MERGEFORMAT </w:instrText>
    </w:r>
    <w:r w:rsidRPr="00571FE9">
      <w:fldChar w:fldCharType="separate"/>
    </w:r>
    <w:r w:rsidR="00A034D1">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A034D1" w:rsidRDefault="00A034D1">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D1" w:rsidRDefault="00571FE9">
    <w:pPr>
      <w:spacing w:after="0"/>
      <w:ind w:left="0" w:right="61" w:firstLine="0"/>
      <w:jc w:val="center"/>
    </w:pPr>
    <w:r w:rsidRPr="00571FE9">
      <w:fldChar w:fldCharType="begin"/>
    </w:r>
    <w:r w:rsidR="00A034D1">
      <w:instrText xml:space="preserve"> PAGE   \* MERGEFORMAT </w:instrText>
    </w:r>
    <w:r w:rsidRPr="00571FE9">
      <w:fldChar w:fldCharType="separate"/>
    </w:r>
    <w:r w:rsidR="00003706" w:rsidRPr="00003706">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p>
  <w:p w:rsidR="00A034D1" w:rsidRDefault="00A034D1">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D1" w:rsidRDefault="00A034D1">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86" w:rsidRDefault="00351686">
      <w:pPr>
        <w:spacing w:after="0" w:line="240" w:lineRule="auto"/>
      </w:pPr>
      <w:r>
        <w:separator/>
      </w:r>
    </w:p>
  </w:footnote>
  <w:footnote w:type="continuationSeparator" w:id="0">
    <w:p w:rsidR="00351686" w:rsidRDefault="00351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D1" w:rsidRPr="007554ED" w:rsidRDefault="00571FE9" w:rsidP="00967AD2">
    <w:pPr>
      <w:jc w:val="right"/>
      <w:rPr>
        <w:sz w:val="18"/>
        <w:szCs w:val="18"/>
      </w:rPr>
    </w:pPr>
    <w:r w:rsidRPr="00571FE9">
      <w:rPr>
        <w:rFonts w:cs="Calibri"/>
        <w:noProof/>
        <w:sz w:val="18"/>
        <w:szCs w:val="18"/>
      </w:rPr>
      <w:pict>
        <v:group id="Group 12065" o:spid="_x0000_s4097"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4098"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A034D1">
      <w:rPr>
        <w:rFonts w:cs="微软雅黑" w:hint="eastAsia"/>
        <w:noProof/>
        <w:sz w:val="18"/>
        <w:szCs w:val="18"/>
      </w:rPr>
      <w:t>泰达宏利创盈灵活配置混合型证券投资基金</w:t>
    </w:r>
    <w:r w:rsidR="00A034D1" w:rsidRPr="007554ED">
      <w:rPr>
        <w:sz w:val="18"/>
        <w:szCs w:val="18"/>
      </w:rPr>
      <w:t>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D1" w:rsidRDefault="00A034D1">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332E"/>
    <w:multiLevelType w:val="hybridMultilevel"/>
    <w:tmpl w:val="8FE6FD8E"/>
    <w:lvl w:ilvl="0" w:tplc="56209272">
      <w:start w:val="1"/>
      <w:numFmt w:val="decimal"/>
      <w:lvlText w:val="%1、"/>
      <w:lvlJc w:val="left"/>
      <w:pPr>
        <w:ind w:left="1090" w:hanging="360"/>
      </w:pPr>
      <w:rPr>
        <w:rFonts w:hint="default"/>
      </w:rPr>
    </w:lvl>
    <w:lvl w:ilvl="1" w:tplc="04090019" w:tentative="1">
      <w:start w:val="1"/>
      <w:numFmt w:val="lowerLetter"/>
      <w:lvlText w:val="%2)"/>
      <w:lvlJc w:val="left"/>
      <w:pPr>
        <w:ind w:left="1570" w:hanging="420"/>
      </w:pPr>
    </w:lvl>
    <w:lvl w:ilvl="2" w:tplc="0409001B" w:tentative="1">
      <w:start w:val="1"/>
      <w:numFmt w:val="lowerRoman"/>
      <w:lvlText w:val="%3."/>
      <w:lvlJc w:val="right"/>
      <w:pPr>
        <w:ind w:left="1990" w:hanging="420"/>
      </w:pPr>
    </w:lvl>
    <w:lvl w:ilvl="3" w:tplc="0409000F" w:tentative="1">
      <w:start w:val="1"/>
      <w:numFmt w:val="decimal"/>
      <w:lvlText w:val="%4."/>
      <w:lvlJc w:val="left"/>
      <w:pPr>
        <w:ind w:left="2410" w:hanging="420"/>
      </w:pPr>
    </w:lvl>
    <w:lvl w:ilvl="4" w:tplc="04090019" w:tentative="1">
      <w:start w:val="1"/>
      <w:numFmt w:val="lowerLetter"/>
      <w:lvlText w:val="%5)"/>
      <w:lvlJc w:val="left"/>
      <w:pPr>
        <w:ind w:left="2830" w:hanging="420"/>
      </w:pPr>
    </w:lvl>
    <w:lvl w:ilvl="5" w:tplc="0409001B" w:tentative="1">
      <w:start w:val="1"/>
      <w:numFmt w:val="lowerRoman"/>
      <w:lvlText w:val="%6."/>
      <w:lvlJc w:val="right"/>
      <w:pPr>
        <w:ind w:left="3250" w:hanging="420"/>
      </w:pPr>
    </w:lvl>
    <w:lvl w:ilvl="6" w:tplc="0409000F" w:tentative="1">
      <w:start w:val="1"/>
      <w:numFmt w:val="decimal"/>
      <w:lvlText w:val="%7."/>
      <w:lvlJc w:val="left"/>
      <w:pPr>
        <w:ind w:left="3670" w:hanging="420"/>
      </w:pPr>
    </w:lvl>
    <w:lvl w:ilvl="7" w:tplc="04090019" w:tentative="1">
      <w:start w:val="1"/>
      <w:numFmt w:val="lowerLetter"/>
      <w:lvlText w:val="%8)"/>
      <w:lvlJc w:val="left"/>
      <w:pPr>
        <w:ind w:left="4090" w:hanging="420"/>
      </w:pPr>
    </w:lvl>
    <w:lvl w:ilvl="8" w:tplc="0409001B" w:tentative="1">
      <w:start w:val="1"/>
      <w:numFmt w:val="lowerRoman"/>
      <w:lvlText w:val="%9."/>
      <w:lvlJc w:val="right"/>
      <w:pPr>
        <w:ind w:left="4510" w:hanging="420"/>
      </w:pPr>
    </w:lvl>
  </w:abstractNum>
  <w:abstractNum w:abstractNumId="1">
    <w:nsid w:val="19476221"/>
    <w:multiLevelType w:val="hybridMultilevel"/>
    <w:tmpl w:val="AB28B7AC"/>
    <w:lvl w:ilvl="0" w:tplc="D5E0A4E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19A033EE"/>
    <w:multiLevelType w:val="hybridMultilevel"/>
    <w:tmpl w:val="00180EAA"/>
    <w:lvl w:ilvl="0" w:tplc="D42634C0">
      <w:start w:val="1"/>
      <w:numFmt w:val="ideographDigital"/>
      <w:lvlText w:val="（%1）"/>
      <w:lvlJc w:val="left"/>
      <w:pPr>
        <w:ind w:left="1277" w:hanging="720"/>
      </w:pPr>
      <w:rPr>
        <w:rFonts w:hint="default"/>
      </w:rPr>
    </w:lvl>
    <w:lvl w:ilvl="1" w:tplc="04090019" w:tentative="1">
      <w:start w:val="1"/>
      <w:numFmt w:val="lowerLetter"/>
      <w:lvlText w:val="%2)"/>
      <w:lvlJc w:val="left"/>
      <w:pPr>
        <w:ind w:left="1397" w:hanging="420"/>
      </w:pPr>
    </w:lvl>
    <w:lvl w:ilvl="2" w:tplc="0409001B" w:tentative="1">
      <w:start w:val="1"/>
      <w:numFmt w:val="lowerRoman"/>
      <w:lvlText w:val="%3."/>
      <w:lvlJc w:val="right"/>
      <w:pPr>
        <w:ind w:left="1817" w:hanging="420"/>
      </w:pPr>
    </w:lvl>
    <w:lvl w:ilvl="3" w:tplc="0409000F" w:tentative="1">
      <w:start w:val="1"/>
      <w:numFmt w:val="decimal"/>
      <w:lvlText w:val="%4."/>
      <w:lvlJc w:val="left"/>
      <w:pPr>
        <w:ind w:left="2237" w:hanging="420"/>
      </w:pPr>
    </w:lvl>
    <w:lvl w:ilvl="4" w:tplc="04090019" w:tentative="1">
      <w:start w:val="1"/>
      <w:numFmt w:val="lowerLetter"/>
      <w:lvlText w:val="%5)"/>
      <w:lvlJc w:val="left"/>
      <w:pPr>
        <w:ind w:left="2657" w:hanging="420"/>
      </w:pPr>
    </w:lvl>
    <w:lvl w:ilvl="5" w:tplc="0409001B" w:tentative="1">
      <w:start w:val="1"/>
      <w:numFmt w:val="lowerRoman"/>
      <w:lvlText w:val="%6."/>
      <w:lvlJc w:val="right"/>
      <w:pPr>
        <w:ind w:left="3077" w:hanging="420"/>
      </w:pPr>
    </w:lvl>
    <w:lvl w:ilvl="6" w:tplc="0409000F" w:tentative="1">
      <w:start w:val="1"/>
      <w:numFmt w:val="decimal"/>
      <w:lvlText w:val="%7."/>
      <w:lvlJc w:val="left"/>
      <w:pPr>
        <w:ind w:left="3497" w:hanging="420"/>
      </w:pPr>
    </w:lvl>
    <w:lvl w:ilvl="7" w:tplc="04090019" w:tentative="1">
      <w:start w:val="1"/>
      <w:numFmt w:val="lowerLetter"/>
      <w:lvlText w:val="%8)"/>
      <w:lvlJc w:val="left"/>
      <w:pPr>
        <w:ind w:left="3917" w:hanging="420"/>
      </w:pPr>
    </w:lvl>
    <w:lvl w:ilvl="8" w:tplc="0409001B" w:tentative="1">
      <w:start w:val="1"/>
      <w:numFmt w:val="lowerRoman"/>
      <w:lvlText w:val="%9."/>
      <w:lvlJc w:val="right"/>
      <w:pPr>
        <w:ind w:left="4337" w:hanging="420"/>
      </w:pPr>
    </w:lvl>
  </w:abstractNum>
  <w:abstractNum w:abstractNumId="3">
    <w:nsid w:val="208F3F73"/>
    <w:multiLevelType w:val="hybridMultilevel"/>
    <w:tmpl w:val="A4A0369A"/>
    <w:lvl w:ilvl="0" w:tplc="B3321B32">
      <w:start w:val="1"/>
      <w:numFmt w:val="decimal"/>
      <w:lvlText w:val="（%1）"/>
      <w:lvlJc w:val="left"/>
      <w:pPr>
        <w:ind w:left="4548" w:hanging="720"/>
      </w:pPr>
      <w:rPr>
        <w:rFonts w:hint="default"/>
      </w:rPr>
    </w:lvl>
    <w:lvl w:ilvl="1" w:tplc="04090019" w:tentative="1">
      <w:start w:val="1"/>
      <w:numFmt w:val="lowerLetter"/>
      <w:lvlText w:val="%2)"/>
      <w:lvlJc w:val="left"/>
      <w:pPr>
        <w:ind w:left="1453" w:hanging="420"/>
      </w:pPr>
    </w:lvl>
    <w:lvl w:ilvl="2" w:tplc="0409001B" w:tentative="1">
      <w:start w:val="1"/>
      <w:numFmt w:val="lowerRoman"/>
      <w:lvlText w:val="%3."/>
      <w:lvlJc w:val="right"/>
      <w:pPr>
        <w:ind w:left="1873" w:hanging="420"/>
      </w:pPr>
    </w:lvl>
    <w:lvl w:ilvl="3" w:tplc="0409000F" w:tentative="1">
      <w:start w:val="1"/>
      <w:numFmt w:val="decimal"/>
      <w:lvlText w:val="%4."/>
      <w:lvlJc w:val="left"/>
      <w:pPr>
        <w:ind w:left="2293" w:hanging="420"/>
      </w:pPr>
    </w:lvl>
    <w:lvl w:ilvl="4" w:tplc="04090019" w:tentative="1">
      <w:start w:val="1"/>
      <w:numFmt w:val="lowerLetter"/>
      <w:lvlText w:val="%5)"/>
      <w:lvlJc w:val="left"/>
      <w:pPr>
        <w:ind w:left="2713" w:hanging="420"/>
      </w:pPr>
    </w:lvl>
    <w:lvl w:ilvl="5" w:tplc="0409001B" w:tentative="1">
      <w:start w:val="1"/>
      <w:numFmt w:val="lowerRoman"/>
      <w:lvlText w:val="%6."/>
      <w:lvlJc w:val="right"/>
      <w:pPr>
        <w:ind w:left="3133" w:hanging="420"/>
      </w:pPr>
    </w:lvl>
    <w:lvl w:ilvl="6" w:tplc="0409000F" w:tentative="1">
      <w:start w:val="1"/>
      <w:numFmt w:val="decimal"/>
      <w:lvlText w:val="%7."/>
      <w:lvlJc w:val="left"/>
      <w:pPr>
        <w:ind w:left="3553" w:hanging="420"/>
      </w:pPr>
    </w:lvl>
    <w:lvl w:ilvl="7" w:tplc="04090019" w:tentative="1">
      <w:start w:val="1"/>
      <w:numFmt w:val="lowerLetter"/>
      <w:lvlText w:val="%8)"/>
      <w:lvlJc w:val="left"/>
      <w:pPr>
        <w:ind w:left="3973" w:hanging="420"/>
      </w:pPr>
    </w:lvl>
    <w:lvl w:ilvl="8" w:tplc="0409001B" w:tentative="1">
      <w:start w:val="1"/>
      <w:numFmt w:val="lowerRoman"/>
      <w:lvlText w:val="%9."/>
      <w:lvlJc w:val="right"/>
      <w:pPr>
        <w:ind w:left="4393" w:hanging="420"/>
      </w:pPr>
    </w:lvl>
  </w:abstractNum>
  <w:abstractNum w:abstractNumId="4">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B8679FB"/>
    <w:multiLevelType w:val="hybridMultilevel"/>
    <w:tmpl w:val="A718F042"/>
    <w:lvl w:ilvl="0" w:tplc="B474795A">
      <w:start w:val="2"/>
      <w:numFmt w:val="ideographDigital"/>
      <w:lvlText w:val="（%1）"/>
      <w:lvlJc w:val="left"/>
      <w:pPr>
        <w:ind w:left="141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29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01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273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45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17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489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61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33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48C44E5"/>
    <w:multiLevelType w:val="hybridMultilevel"/>
    <w:tmpl w:val="91946244"/>
    <w:lvl w:ilvl="0" w:tplc="5CE2E1B8">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4B44104"/>
    <w:multiLevelType w:val="hybridMultilevel"/>
    <w:tmpl w:val="EB1AF392"/>
    <w:lvl w:ilvl="0" w:tplc="D38E643C">
      <w:start w:val="1"/>
      <w:numFmt w:val="decimal"/>
      <w:lvlText w:val="（%1）"/>
      <w:lvlJc w:val="left"/>
      <w:pPr>
        <w:ind w:left="28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D0C6BD04">
      <w:start w:val="1"/>
      <w:numFmt w:val="lowerLetter"/>
      <w:lvlText w:val="%2"/>
      <w:lvlJc w:val="left"/>
      <w:pPr>
        <w:ind w:left="76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FC3E8354">
      <w:start w:val="1"/>
      <w:numFmt w:val="lowerRoman"/>
      <w:lvlText w:val="%3"/>
      <w:lvlJc w:val="left"/>
      <w:pPr>
        <w:ind w:left="148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EF0A91E">
      <w:start w:val="1"/>
      <w:numFmt w:val="decimal"/>
      <w:lvlText w:val="%4"/>
      <w:lvlJc w:val="left"/>
      <w:pPr>
        <w:ind w:left="220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AC6C0CE">
      <w:start w:val="1"/>
      <w:numFmt w:val="lowerLetter"/>
      <w:lvlText w:val="%5"/>
      <w:lvlJc w:val="left"/>
      <w:pPr>
        <w:ind w:left="292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4F6EF9E">
      <w:start w:val="1"/>
      <w:numFmt w:val="lowerRoman"/>
      <w:lvlText w:val="%6"/>
      <w:lvlJc w:val="left"/>
      <w:pPr>
        <w:ind w:left="364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2E2A0D0">
      <w:start w:val="1"/>
      <w:numFmt w:val="decimal"/>
      <w:lvlText w:val="%7"/>
      <w:lvlJc w:val="left"/>
      <w:pPr>
        <w:ind w:left="436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0E8CB5A">
      <w:start w:val="1"/>
      <w:numFmt w:val="lowerLetter"/>
      <w:lvlText w:val="%8"/>
      <w:lvlJc w:val="left"/>
      <w:pPr>
        <w:ind w:left="508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53AF274">
      <w:start w:val="1"/>
      <w:numFmt w:val="lowerRoman"/>
      <w:lvlText w:val="%9"/>
      <w:lvlJc w:val="left"/>
      <w:pPr>
        <w:ind w:left="580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nsid w:val="55ED1E40"/>
    <w:multiLevelType w:val="hybridMultilevel"/>
    <w:tmpl w:val="5762CC6A"/>
    <w:lvl w:ilvl="0" w:tplc="1BF604C4">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5CD47E81"/>
    <w:multiLevelType w:val="hybridMultilevel"/>
    <w:tmpl w:val="A4A0369A"/>
    <w:lvl w:ilvl="0" w:tplc="B3321B32">
      <w:start w:val="1"/>
      <w:numFmt w:val="decimal"/>
      <w:lvlText w:val="（%1）"/>
      <w:lvlJc w:val="left"/>
      <w:pPr>
        <w:ind w:left="4548" w:hanging="720"/>
      </w:pPr>
      <w:rPr>
        <w:rFonts w:hint="default"/>
      </w:rPr>
    </w:lvl>
    <w:lvl w:ilvl="1" w:tplc="04090019" w:tentative="1">
      <w:start w:val="1"/>
      <w:numFmt w:val="lowerLetter"/>
      <w:lvlText w:val="%2)"/>
      <w:lvlJc w:val="left"/>
      <w:pPr>
        <w:ind w:left="1453" w:hanging="420"/>
      </w:pPr>
    </w:lvl>
    <w:lvl w:ilvl="2" w:tplc="0409001B" w:tentative="1">
      <w:start w:val="1"/>
      <w:numFmt w:val="lowerRoman"/>
      <w:lvlText w:val="%3."/>
      <w:lvlJc w:val="right"/>
      <w:pPr>
        <w:ind w:left="1873" w:hanging="420"/>
      </w:pPr>
    </w:lvl>
    <w:lvl w:ilvl="3" w:tplc="0409000F" w:tentative="1">
      <w:start w:val="1"/>
      <w:numFmt w:val="decimal"/>
      <w:lvlText w:val="%4."/>
      <w:lvlJc w:val="left"/>
      <w:pPr>
        <w:ind w:left="2293" w:hanging="420"/>
      </w:pPr>
    </w:lvl>
    <w:lvl w:ilvl="4" w:tplc="04090019" w:tentative="1">
      <w:start w:val="1"/>
      <w:numFmt w:val="lowerLetter"/>
      <w:lvlText w:val="%5)"/>
      <w:lvlJc w:val="left"/>
      <w:pPr>
        <w:ind w:left="2713" w:hanging="420"/>
      </w:pPr>
    </w:lvl>
    <w:lvl w:ilvl="5" w:tplc="0409001B" w:tentative="1">
      <w:start w:val="1"/>
      <w:numFmt w:val="lowerRoman"/>
      <w:lvlText w:val="%6."/>
      <w:lvlJc w:val="right"/>
      <w:pPr>
        <w:ind w:left="3133" w:hanging="420"/>
      </w:pPr>
    </w:lvl>
    <w:lvl w:ilvl="6" w:tplc="0409000F" w:tentative="1">
      <w:start w:val="1"/>
      <w:numFmt w:val="decimal"/>
      <w:lvlText w:val="%7."/>
      <w:lvlJc w:val="left"/>
      <w:pPr>
        <w:ind w:left="3553" w:hanging="420"/>
      </w:pPr>
    </w:lvl>
    <w:lvl w:ilvl="7" w:tplc="04090019" w:tentative="1">
      <w:start w:val="1"/>
      <w:numFmt w:val="lowerLetter"/>
      <w:lvlText w:val="%8)"/>
      <w:lvlJc w:val="left"/>
      <w:pPr>
        <w:ind w:left="3973" w:hanging="420"/>
      </w:pPr>
    </w:lvl>
    <w:lvl w:ilvl="8" w:tplc="0409001B" w:tentative="1">
      <w:start w:val="1"/>
      <w:numFmt w:val="lowerRoman"/>
      <w:lvlText w:val="%9."/>
      <w:lvlJc w:val="right"/>
      <w:pPr>
        <w:ind w:left="4393" w:hanging="420"/>
      </w:pPr>
    </w:lvl>
  </w:abstractNum>
  <w:abstractNum w:abstractNumId="12">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F7521AF"/>
    <w:multiLevelType w:val="hybridMultilevel"/>
    <w:tmpl w:val="E988C7F4"/>
    <w:lvl w:ilvl="0" w:tplc="7ED433B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4995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0E89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28AE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8D4A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288B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128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6E88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C1FE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13"/>
  </w:num>
  <w:num w:numId="5">
    <w:abstractNumId w:val="7"/>
  </w:num>
  <w:num w:numId="6">
    <w:abstractNumId w:val="8"/>
  </w:num>
  <w:num w:numId="7">
    <w:abstractNumId w:val="12"/>
  </w:num>
  <w:num w:numId="8">
    <w:abstractNumId w:val="5"/>
  </w:num>
  <w:num w:numId="9">
    <w:abstractNumId w:val="6"/>
  </w:num>
  <w:num w:numId="10">
    <w:abstractNumId w:val="2"/>
  </w:num>
  <w:num w:numId="11">
    <w:abstractNumId w:val="0"/>
  </w:num>
  <w:num w:numId="12">
    <w:abstractNumId w:val="11"/>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583F83"/>
    <w:rsid w:val="000022D2"/>
    <w:rsid w:val="00003706"/>
    <w:rsid w:val="000047AE"/>
    <w:rsid w:val="00007548"/>
    <w:rsid w:val="00007F21"/>
    <w:rsid w:val="0001017A"/>
    <w:rsid w:val="00010201"/>
    <w:rsid w:val="000110AB"/>
    <w:rsid w:val="00011D95"/>
    <w:rsid w:val="000147D7"/>
    <w:rsid w:val="000149D9"/>
    <w:rsid w:val="00015A39"/>
    <w:rsid w:val="000205B4"/>
    <w:rsid w:val="0002347C"/>
    <w:rsid w:val="00026FA1"/>
    <w:rsid w:val="000272CC"/>
    <w:rsid w:val="00027FD9"/>
    <w:rsid w:val="0003157F"/>
    <w:rsid w:val="000318CE"/>
    <w:rsid w:val="00031D1F"/>
    <w:rsid w:val="00033F7E"/>
    <w:rsid w:val="00040E04"/>
    <w:rsid w:val="00041879"/>
    <w:rsid w:val="00041996"/>
    <w:rsid w:val="00045530"/>
    <w:rsid w:val="00045B1E"/>
    <w:rsid w:val="00046661"/>
    <w:rsid w:val="000468B4"/>
    <w:rsid w:val="0005236F"/>
    <w:rsid w:val="00054B0C"/>
    <w:rsid w:val="00055331"/>
    <w:rsid w:val="00057108"/>
    <w:rsid w:val="00057B8F"/>
    <w:rsid w:val="00062451"/>
    <w:rsid w:val="000663CA"/>
    <w:rsid w:val="00067C9E"/>
    <w:rsid w:val="0007398E"/>
    <w:rsid w:val="000745FE"/>
    <w:rsid w:val="000746A9"/>
    <w:rsid w:val="00076BEF"/>
    <w:rsid w:val="00077BD1"/>
    <w:rsid w:val="00081C30"/>
    <w:rsid w:val="00081CD4"/>
    <w:rsid w:val="000835F7"/>
    <w:rsid w:val="00083777"/>
    <w:rsid w:val="000853BB"/>
    <w:rsid w:val="00093758"/>
    <w:rsid w:val="000938D2"/>
    <w:rsid w:val="00093E91"/>
    <w:rsid w:val="00094B4C"/>
    <w:rsid w:val="00095E91"/>
    <w:rsid w:val="00097E65"/>
    <w:rsid w:val="00097EA4"/>
    <w:rsid w:val="000A5223"/>
    <w:rsid w:val="000B4882"/>
    <w:rsid w:val="000B4DC6"/>
    <w:rsid w:val="000B698F"/>
    <w:rsid w:val="000B7FDB"/>
    <w:rsid w:val="000C044C"/>
    <w:rsid w:val="000C1D4C"/>
    <w:rsid w:val="000C251B"/>
    <w:rsid w:val="000C3806"/>
    <w:rsid w:val="000C50E7"/>
    <w:rsid w:val="000C6144"/>
    <w:rsid w:val="000C738A"/>
    <w:rsid w:val="000C7A7A"/>
    <w:rsid w:val="000D003F"/>
    <w:rsid w:val="000D0A05"/>
    <w:rsid w:val="000D2498"/>
    <w:rsid w:val="000D2BBA"/>
    <w:rsid w:val="000D2F5E"/>
    <w:rsid w:val="000D3436"/>
    <w:rsid w:val="000D46A7"/>
    <w:rsid w:val="000D68A1"/>
    <w:rsid w:val="000D6925"/>
    <w:rsid w:val="000E2EE4"/>
    <w:rsid w:val="000E472A"/>
    <w:rsid w:val="000E5CB2"/>
    <w:rsid w:val="000F5EB7"/>
    <w:rsid w:val="000F7C21"/>
    <w:rsid w:val="000F7C63"/>
    <w:rsid w:val="0010570E"/>
    <w:rsid w:val="0010630F"/>
    <w:rsid w:val="00106344"/>
    <w:rsid w:val="00107239"/>
    <w:rsid w:val="001076DD"/>
    <w:rsid w:val="00110898"/>
    <w:rsid w:val="00110E19"/>
    <w:rsid w:val="00111DEB"/>
    <w:rsid w:val="0011220C"/>
    <w:rsid w:val="00115D9B"/>
    <w:rsid w:val="00116221"/>
    <w:rsid w:val="00121263"/>
    <w:rsid w:val="00125908"/>
    <w:rsid w:val="00125A8E"/>
    <w:rsid w:val="00127FE0"/>
    <w:rsid w:val="00130035"/>
    <w:rsid w:val="00131641"/>
    <w:rsid w:val="001345F1"/>
    <w:rsid w:val="00136D3C"/>
    <w:rsid w:val="00141CDB"/>
    <w:rsid w:val="00144FC8"/>
    <w:rsid w:val="00144FEE"/>
    <w:rsid w:val="00146FB3"/>
    <w:rsid w:val="00147E14"/>
    <w:rsid w:val="001519C4"/>
    <w:rsid w:val="00153857"/>
    <w:rsid w:val="001572E8"/>
    <w:rsid w:val="00162D7B"/>
    <w:rsid w:val="00166889"/>
    <w:rsid w:val="00167FEB"/>
    <w:rsid w:val="00170F55"/>
    <w:rsid w:val="00175D28"/>
    <w:rsid w:val="00177556"/>
    <w:rsid w:val="0017796C"/>
    <w:rsid w:val="00184478"/>
    <w:rsid w:val="00184FDD"/>
    <w:rsid w:val="001874E5"/>
    <w:rsid w:val="00187B3B"/>
    <w:rsid w:val="0019453C"/>
    <w:rsid w:val="001947BD"/>
    <w:rsid w:val="00194D0A"/>
    <w:rsid w:val="0019703E"/>
    <w:rsid w:val="00197B5B"/>
    <w:rsid w:val="001A0946"/>
    <w:rsid w:val="001B3DF6"/>
    <w:rsid w:val="001B459A"/>
    <w:rsid w:val="001B5561"/>
    <w:rsid w:val="001B696B"/>
    <w:rsid w:val="001C1BDD"/>
    <w:rsid w:val="001C2580"/>
    <w:rsid w:val="001C4225"/>
    <w:rsid w:val="001C4E9B"/>
    <w:rsid w:val="001C5D51"/>
    <w:rsid w:val="001D03AB"/>
    <w:rsid w:val="001D0730"/>
    <w:rsid w:val="001D173C"/>
    <w:rsid w:val="001D2523"/>
    <w:rsid w:val="001D4332"/>
    <w:rsid w:val="001E02D9"/>
    <w:rsid w:val="001E1541"/>
    <w:rsid w:val="001E38CD"/>
    <w:rsid w:val="001E43CE"/>
    <w:rsid w:val="001E4431"/>
    <w:rsid w:val="001E51F3"/>
    <w:rsid w:val="001E7294"/>
    <w:rsid w:val="001F0D8D"/>
    <w:rsid w:val="001F4EBE"/>
    <w:rsid w:val="001F57C8"/>
    <w:rsid w:val="001F5CB8"/>
    <w:rsid w:val="0020031A"/>
    <w:rsid w:val="002003A8"/>
    <w:rsid w:val="0020282E"/>
    <w:rsid w:val="0020693F"/>
    <w:rsid w:val="00206D42"/>
    <w:rsid w:val="0021271A"/>
    <w:rsid w:val="0021289D"/>
    <w:rsid w:val="00212FA3"/>
    <w:rsid w:val="002130E9"/>
    <w:rsid w:val="00213FFA"/>
    <w:rsid w:val="00215A86"/>
    <w:rsid w:val="00217F5F"/>
    <w:rsid w:val="002201AA"/>
    <w:rsid w:val="0022385D"/>
    <w:rsid w:val="0023053C"/>
    <w:rsid w:val="00235CC3"/>
    <w:rsid w:val="002367C8"/>
    <w:rsid w:val="002375C6"/>
    <w:rsid w:val="00237A05"/>
    <w:rsid w:val="0024209F"/>
    <w:rsid w:val="00242C17"/>
    <w:rsid w:val="00243125"/>
    <w:rsid w:val="002464FF"/>
    <w:rsid w:val="002473EF"/>
    <w:rsid w:val="002504B6"/>
    <w:rsid w:val="00251396"/>
    <w:rsid w:val="0025148A"/>
    <w:rsid w:val="00261D30"/>
    <w:rsid w:val="00262714"/>
    <w:rsid w:val="002638DB"/>
    <w:rsid w:val="002642F5"/>
    <w:rsid w:val="00265CA5"/>
    <w:rsid w:val="00266749"/>
    <w:rsid w:val="00267DDC"/>
    <w:rsid w:val="00271228"/>
    <w:rsid w:val="002738B8"/>
    <w:rsid w:val="00274361"/>
    <w:rsid w:val="0027521A"/>
    <w:rsid w:val="00277593"/>
    <w:rsid w:val="00277CD1"/>
    <w:rsid w:val="002810B0"/>
    <w:rsid w:val="00292227"/>
    <w:rsid w:val="002927E5"/>
    <w:rsid w:val="00293028"/>
    <w:rsid w:val="002935A3"/>
    <w:rsid w:val="00293BD8"/>
    <w:rsid w:val="002957E8"/>
    <w:rsid w:val="00296B31"/>
    <w:rsid w:val="002978A3"/>
    <w:rsid w:val="002A1D6C"/>
    <w:rsid w:val="002A1E13"/>
    <w:rsid w:val="002A2ED3"/>
    <w:rsid w:val="002A729E"/>
    <w:rsid w:val="002B02A4"/>
    <w:rsid w:val="002B1AA3"/>
    <w:rsid w:val="002B279C"/>
    <w:rsid w:val="002B5F77"/>
    <w:rsid w:val="002C112B"/>
    <w:rsid w:val="002C362F"/>
    <w:rsid w:val="002D3725"/>
    <w:rsid w:val="002D3D99"/>
    <w:rsid w:val="002D4DAA"/>
    <w:rsid w:val="002D6D48"/>
    <w:rsid w:val="002E52BB"/>
    <w:rsid w:val="002E7218"/>
    <w:rsid w:val="002F0661"/>
    <w:rsid w:val="002F2DB1"/>
    <w:rsid w:val="002F3404"/>
    <w:rsid w:val="002F7911"/>
    <w:rsid w:val="002F7C15"/>
    <w:rsid w:val="00307BDF"/>
    <w:rsid w:val="00311201"/>
    <w:rsid w:val="0031233C"/>
    <w:rsid w:val="00314310"/>
    <w:rsid w:val="003157B8"/>
    <w:rsid w:val="003174D4"/>
    <w:rsid w:val="00321517"/>
    <w:rsid w:val="003218DD"/>
    <w:rsid w:val="0032210D"/>
    <w:rsid w:val="003251A6"/>
    <w:rsid w:val="003262CB"/>
    <w:rsid w:val="00332169"/>
    <w:rsid w:val="0033388A"/>
    <w:rsid w:val="003374E0"/>
    <w:rsid w:val="00340368"/>
    <w:rsid w:val="00340705"/>
    <w:rsid w:val="00342A1F"/>
    <w:rsid w:val="003464CF"/>
    <w:rsid w:val="0034703E"/>
    <w:rsid w:val="0035037E"/>
    <w:rsid w:val="00351095"/>
    <w:rsid w:val="003515ED"/>
    <w:rsid w:val="00351686"/>
    <w:rsid w:val="003536A9"/>
    <w:rsid w:val="0035409D"/>
    <w:rsid w:val="00354EEB"/>
    <w:rsid w:val="00356CAB"/>
    <w:rsid w:val="003643CE"/>
    <w:rsid w:val="00364B9A"/>
    <w:rsid w:val="00365700"/>
    <w:rsid w:val="003662D2"/>
    <w:rsid w:val="003704A6"/>
    <w:rsid w:val="00370EEA"/>
    <w:rsid w:val="00372DBD"/>
    <w:rsid w:val="003755D2"/>
    <w:rsid w:val="003756AC"/>
    <w:rsid w:val="0037775D"/>
    <w:rsid w:val="0038248D"/>
    <w:rsid w:val="003835EA"/>
    <w:rsid w:val="00385CDF"/>
    <w:rsid w:val="003868D1"/>
    <w:rsid w:val="00386F50"/>
    <w:rsid w:val="0039402E"/>
    <w:rsid w:val="003956B9"/>
    <w:rsid w:val="00397199"/>
    <w:rsid w:val="00397C7F"/>
    <w:rsid w:val="003A08F7"/>
    <w:rsid w:val="003A28EA"/>
    <w:rsid w:val="003A2F65"/>
    <w:rsid w:val="003A3506"/>
    <w:rsid w:val="003A4095"/>
    <w:rsid w:val="003A4202"/>
    <w:rsid w:val="003A7287"/>
    <w:rsid w:val="003B0CA4"/>
    <w:rsid w:val="003B41A3"/>
    <w:rsid w:val="003C1EF7"/>
    <w:rsid w:val="003C433C"/>
    <w:rsid w:val="003C5E38"/>
    <w:rsid w:val="003C6E91"/>
    <w:rsid w:val="003C7E0A"/>
    <w:rsid w:val="003D1813"/>
    <w:rsid w:val="003D3DF6"/>
    <w:rsid w:val="003D44C7"/>
    <w:rsid w:val="003D62AB"/>
    <w:rsid w:val="003D7420"/>
    <w:rsid w:val="003E26B3"/>
    <w:rsid w:val="003E5139"/>
    <w:rsid w:val="003E552F"/>
    <w:rsid w:val="003E56FC"/>
    <w:rsid w:val="003E6A9C"/>
    <w:rsid w:val="003E6BE6"/>
    <w:rsid w:val="003F0DB1"/>
    <w:rsid w:val="003F1B17"/>
    <w:rsid w:val="003F206A"/>
    <w:rsid w:val="003F771C"/>
    <w:rsid w:val="004009DA"/>
    <w:rsid w:val="00401832"/>
    <w:rsid w:val="00401F1D"/>
    <w:rsid w:val="00404E85"/>
    <w:rsid w:val="00407EBF"/>
    <w:rsid w:val="004118C9"/>
    <w:rsid w:val="00412A6D"/>
    <w:rsid w:val="00415F05"/>
    <w:rsid w:val="00416351"/>
    <w:rsid w:val="0041667E"/>
    <w:rsid w:val="00423792"/>
    <w:rsid w:val="00424901"/>
    <w:rsid w:val="00424D7A"/>
    <w:rsid w:val="0042535C"/>
    <w:rsid w:val="00425AA8"/>
    <w:rsid w:val="00430A08"/>
    <w:rsid w:val="004316C8"/>
    <w:rsid w:val="00432C57"/>
    <w:rsid w:val="0043383A"/>
    <w:rsid w:val="004354E2"/>
    <w:rsid w:val="004433E1"/>
    <w:rsid w:val="00443794"/>
    <w:rsid w:val="004441E9"/>
    <w:rsid w:val="0044627A"/>
    <w:rsid w:val="004472CE"/>
    <w:rsid w:val="00452FFC"/>
    <w:rsid w:val="004538B8"/>
    <w:rsid w:val="00453C49"/>
    <w:rsid w:val="0045457D"/>
    <w:rsid w:val="00454DBC"/>
    <w:rsid w:val="00454E5B"/>
    <w:rsid w:val="00455A76"/>
    <w:rsid w:val="00460EE8"/>
    <w:rsid w:val="0046136A"/>
    <w:rsid w:val="0046224B"/>
    <w:rsid w:val="004650E6"/>
    <w:rsid w:val="00466421"/>
    <w:rsid w:val="00466925"/>
    <w:rsid w:val="00472311"/>
    <w:rsid w:val="004735C1"/>
    <w:rsid w:val="004739E1"/>
    <w:rsid w:val="004743F5"/>
    <w:rsid w:val="0047605A"/>
    <w:rsid w:val="0048063F"/>
    <w:rsid w:val="00483B48"/>
    <w:rsid w:val="004848D4"/>
    <w:rsid w:val="00487A44"/>
    <w:rsid w:val="00491FAB"/>
    <w:rsid w:val="004927A2"/>
    <w:rsid w:val="00492D73"/>
    <w:rsid w:val="00493D50"/>
    <w:rsid w:val="00495924"/>
    <w:rsid w:val="00495F4B"/>
    <w:rsid w:val="004A0FC2"/>
    <w:rsid w:val="004A1B8E"/>
    <w:rsid w:val="004A6792"/>
    <w:rsid w:val="004A70AB"/>
    <w:rsid w:val="004A72DE"/>
    <w:rsid w:val="004B0F8D"/>
    <w:rsid w:val="004B23B3"/>
    <w:rsid w:val="004B445F"/>
    <w:rsid w:val="004B53F7"/>
    <w:rsid w:val="004C11CC"/>
    <w:rsid w:val="004C1BAB"/>
    <w:rsid w:val="004C5DCA"/>
    <w:rsid w:val="004C5FE0"/>
    <w:rsid w:val="004D1AFB"/>
    <w:rsid w:val="004D37D4"/>
    <w:rsid w:val="004E07D9"/>
    <w:rsid w:val="004E2859"/>
    <w:rsid w:val="004E2E78"/>
    <w:rsid w:val="004E5683"/>
    <w:rsid w:val="004F0015"/>
    <w:rsid w:val="004F1AF9"/>
    <w:rsid w:val="004F413E"/>
    <w:rsid w:val="004F5382"/>
    <w:rsid w:val="004F67A2"/>
    <w:rsid w:val="005027E0"/>
    <w:rsid w:val="005063A8"/>
    <w:rsid w:val="00511AF2"/>
    <w:rsid w:val="0051230B"/>
    <w:rsid w:val="00512C97"/>
    <w:rsid w:val="005136FB"/>
    <w:rsid w:val="00514129"/>
    <w:rsid w:val="005152F5"/>
    <w:rsid w:val="0051745B"/>
    <w:rsid w:val="00520DBA"/>
    <w:rsid w:val="00524A95"/>
    <w:rsid w:val="00524FE1"/>
    <w:rsid w:val="005269B5"/>
    <w:rsid w:val="0053066E"/>
    <w:rsid w:val="00532F7C"/>
    <w:rsid w:val="005350BD"/>
    <w:rsid w:val="00535260"/>
    <w:rsid w:val="00535C95"/>
    <w:rsid w:val="005363C0"/>
    <w:rsid w:val="00540177"/>
    <w:rsid w:val="005410D7"/>
    <w:rsid w:val="005411DF"/>
    <w:rsid w:val="00541750"/>
    <w:rsid w:val="00553068"/>
    <w:rsid w:val="00556219"/>
    <w:rsid w:val="00557C3D"/>
    <w:rsid w:val="005628B5"/>
    <w:rsid w:val="00562D08"/>
    <w:rsid w:val="00564C7C"/>
    <w:rsid w:val="00564D03"/>
    <w:rsid w:val="005652DD"/>
    <w:rsid w:val="005665C8"/>
    <w:rsid w:val="005667D8"/>
    <w:rsid w:val="00571FE9"/>
    <w:rsid w:val="00575A40"/>
    <w:rsid w:val="00575B76"/>
    <w:rsid w:val="0058043E"/>
    <w:rsid w:val="00581CC0"/>
    <w:rsid w:val="005822A2"/>
    <w:rsid w:val="005833BD"/>
    <w:rsid w:val="005834F3"/>
    <w:rsid w:val="00583F83"/>
    <w:rsid w:val="00586D78"/>
    <w:rsid w:val="00587948"/>
    <w:rsid w:val="00592A28"/>
    <w:rsid w:val="00593925"/>
    <w:rsid w:val="00597E07"/>
    <w:rsid w:val="005A7EBC"/>
    <w:rsid w:val="005B0F75"/>
    <w:rsid w:val="005B7456"/>
    <w:rsid w:val="005C4652"/>
    <w:rsid w:val="005D2965"/>
    <w:rsid w:val="005D305A"/>
    <w:rsid w:val="005D537F"/>
    <w:rsid w:val="005D6157"/>
    <w:rsid w:val="005E0896"/>
    <w:rsid w:val="005E2D42"/>
    <w:rsid w:val="005F1C7D"/>
    <w:rsid w:val="005F46F3"/>
    <w:rsid w:val="005F4B42"/>
    <w:rsid w:val="005F4BD8"/>
    <w:rsid w:val="005F6D2A"/>
    <w:rsid w:val="006022E1"/>
    <w:rsid w:val="00603A82"/>
    <w:rsid w:val="006108F7"/>
    <w:rsid w:val="00611C48"/>
    <w:rsid w:val="0061381F"/>
    <w:rsid w:val="006162B2"/>
    <w:rsid w:val="006203D0"/>
    <w:rsid w:val="00621C09"/>
    <w:rsid w:val="00623E11"/>
    <w:rsid w:val="006245A4"/>
    <w:rsid w:val="00630436"/>
    <w:rsid w:val="00630D8D"/>
    <w:rsid w:val="00633B71"/>
    <w:rsid w:val="00634ADB"/>
    <w:rsid w:val="00646819"/>
    <w:rsid w:val="00646B57"/>
    <w:rsid w:val="006554D7"/>
    <w:rsid w:val="00655ECC"/>
    <w:rsid w:val="00656F34"/>
    <w:rsid w:val="00660414"/>
    <w:rsid w:val="0066111F"/>
    <w:rsid w:val="00661622"/>
    <w:rsid w:val="00681B64"/>
    <w:rsid w:val="00690EA1"/>
    <w:rsid w:val="00691321"/>
    <w:rsid w:val="00691483"/>
    <w:rsid w:val="00691DAB"/>
    <w:rsid w:val="006933D5"/>
    <w:rsid w:val="00693A51"/>
    <w:rsid w:val="00693A93"/>
    <w:rsid w:val="00693D11"/>
    <w:rsid w:val="00693E60"/>
    <w:rsid w:val="00697AA8"/>
    <w:rsid w:val="006A0E6F"/>
    <w:rsid w:val="006B11CD"/>
    <w:rsid w:val="006B2401"/>
    <w:rsid w:val="006B2BFB"/>
    <w:rsid w:val="006B2C63"/>
    <w:rsid w:val="006B408A"/>
    <w:rsid w:val="006B4785"/>
    <w:rsid w:val="006C0AB3"/>
    <w:rsid w:val="006C0B18"/>
    <w:rsid w:val="006C0FFC"/>
    <w:rsid w:val="006C3BBA"/>
    <w:rsid w:val="006C4FDC"/>
    <w:rsid w:val="006D04F5"/>
    <w:rsid w:val="006D0F9A"/>
    <w:rsid w:val="006D353D"/>
    <w:rsid w:val="006D500B"/>
    <w:rsid w:val="006D5D4A"/>
    <w:rsid w:val="006D68E5"/>
    <w:rsid w:val="006D6F92"/>
    <w:rsid w:val="006D7187"/>
    <w:rsid w:val="006E0D85"/>
    <w:rsid w:val="006E146B"/>
    <w:rsid w:val="006E43C3"/>
    <w:rsid w:val="006E5A6E"/>
    <w:rsid w:val="006E5D92"/>
    <w:rsid w:val="006F02EB"/>
    <w:rsid w:val="006F096F"/>
    <w:rsid w:val="006F3C69"/>
    <w:rsid w:val="006F596E"/>
    <w:rsid w:val="007004A6"/>
    <w:rsid w:val="00710E91"/>
    <w:rsid w:val="007119C9"/>
    <w:rsid w:val="0071283A"/>
    <w:rsid w:val="00712C5B"/>
    <w:rsid w:val="00714D31"/>
    <w:rsid w:val="007174A8"/>
    <w:rsid w:val="00722425"/>
    <w:rsid w:val="0072662D"/>
    <w:rsid w:val="0072703E"/>
    <w:rsid w:val="007371D8"/>
    <w:rsid w:val="00744197"/>
    <w:rsid w:val="00751359"/>
    <w:rsid w:val="007530C5"/>
    <w:rsid w:val="007554ED"/>
    <w:rsid w:val="00763E86"/>
    <w:rsid w:val="00764A44"/>
    <w:rsid w:val="00765A19"/>
    <w:rsid w:val="00767E9D"/>
    <w:rsid w:val="00771235"/>
    <w:rsid w:val="00772F47"/>
    <w:rsid w:val="0077353C"/>
    <w:rsid w:val="00773903"/>
    <w:rsid w:val="00774CCD"/>
    <w:rsid w:val="00777383"/>
    <w:rsid w:val="0078258A"/>
    <w:rsid w:val="00782754"/>
    <w:rsid w:val="00783016"/>
    <w:rsid w:val="00783EEB"/>
    <w:rsid w:val="00790E1D"/>
    <w:rsid w:val="007A2602"/>
    <w:rsid w:val="007A4D74"/>
    <w:rsid w:val="007A5182"/>
    <w:rsid w:val="007A6B35"/>
    <w:rsid w:val="007A7079"/>
    <w:rsid w:val="007B29C3"/>
    <w:rsid w:val="007B6308"/>
    <w:rsid w:val="007C0222"/>
    <w:rsid w:val="007C342F"/>
    <w:rsid w:val="007C6C85"/>
    <w:rsid w:val="007D0BBF"/>
    <w:rsid w:val="007D7009"/>
    <w:rsid w:val="007E2BC6"/>
    <w:rsid w:val="007E340B"/>
    <w:rsid w:val="007E362B"/>
    <w:rsid w:val="007E4829"/>
    <w:rsid w:val="007E511A"/>
    <w:rsid w:val="007E7922"/>
    <w:rsid w:val="007E7F53"/>
    <w:rsid w:val="007F12EF"/>
    <w:rsid w:val="007F1D59"/>
    <w:rsid w:val="007F3697"/>
    <w:rsid w:val="007F3E55"/>
    <w:rsid w:val="007F47A2"/>
    <w:rsid w:val="007F489A"/>
    <w:rsid w:val="007F5896"/>
    <w:rsid w:val="007F60D6"/>
    <w:rsid w:val="007F6588"/>
    <w:rsid w:val="008012AB"/>
    <w:rsid w:val="00802598"/>
    <w:rsid w:val="00803B01"/>
    <w:rsid w:val="00805348"/>
    <w:rsid w:val="008066A1"/>
    <w:rsid w:val="00810FBB"/>
    <w:rsid w:val="00814AAD"/>
    <w:rsid w:val="008160FE"/>
    <w:rsid w:val="008174B6"/>
    <w:rsid w:val="00817B1E"/>
    <w:rsid w:val="00820D48"/>
    <w:rsid w:val="0083417D"/>
    <w:rsid w:val="00834D20"/>
    <w:rsid w:val="00845895"/>
    <w:rsid w:val="00846625"/>
    <w:rsid w:val="008477AF"/>
    <w:rsid w:val="00851F54"/>
    <w:rsid w:val="00852204"/>
    <w:rsid w:val="00852D7D"/>
    <w:rsid w:val="00853652"/>
    <w:rsid w:val="00854A76"/>
    <w:rsid w:val="00856A18"/>
    <w:rsid w:val="0085702A"/>
    <w:rsid w:val="00857B45"/>
    <w:rsid w:val="00867382"/>
    <w:rsid w:val="00867FC3"/>
    <w:rsid w:val="008705A1"/>
    <w:rsid w:val="0087108E"/>
    <w:rsid w:val="00876A0B"/>
    <w:rsid w:val="00877D85"/>
    <w:rsid w:val="0088204F"/>
    <w:rsid w:val="008829EE"/>
    <w:rsid w:val="008833E1"/>
    <w:rsid w:val="008877C2"/>
    <w:rsid w:val="00891680"/>
    <w:rsid w:val="008923E9"/>
    <w:rsid w:val="008931C2"/>
    <w:rsid w:val="00893790"/>
    <w:rsid w:val="0089418F"/>
    <w:rsid w:val="0089797E"/>
    <w:rsid w:val="008A1BA7"/>
    <w:rsid w:val="008A29B3"/>
    <w:rsid w:val="008A569D"/>
    <w:rsid w:val="008A5FB4"/>
    <w:rsid w:val="008A7022"/>
    <w:rsid w:val="008A7A18"/>
    <w:rsid w:val="008B154C"/>
    <w:rsid w:val="008B31CF"/>
    <w:rsid w:val="008B3E0D"/>
    <w:rsid w:val="008B46B9"/>
    <w:rsid w:val="008B4BBC"/>
    <w:rsid w:val="008B5F42"/>
    <w:rsid w:val="008B76DE"/>
    <w:rsid w:val="008C4909"/>
    <w:rsid w:val="008E0936"/>
    <w:rsid w:val="008E2681"/>
    <w:rsid w:val="008E3B4E"/>
    <w:rsid w:val="008E5997"/>
    <w:rsid w:val="008E5C37"/>
    <w:rsid w:val="008E5D30"/>
    <w:rsid w:val="008E70DB"/>
    <w:rsid w:val="008F5F32"/>
    <w:rsid w:val="008F6883"/>
    <w:rsid w:val="008F6C5B"/>
    <w:rsid w:val="008F785D"/>
    <w:rsid w:val="00902294"/>
    <w:rsid w:val="00902B67"/>
    <w:rsid w:val="00904265"/>
    <w:rsid w:val="00910481"/>
    <w:rsid w:val="009146F0"/>
    <w:rsid w:val="009204DD"/>
    <w:rsid w:val="009273BF"/>
    <w:rsid w:val="00931DDD"/>
    <w:rsid w:val="00933071"/>
    <w:rsid w:val="00934A97"/>
    <w:rsid w:val="009370D9"/>
    <w:rsid w:val="0093765D"/>
    <w:rsid w:val="00943CCA"/>
    <w:rsid w:val="009516F4"/>
    <w:rsid w:val="00952C7A"/>
    <w:rsid w:val="00953C89"/>
    <w:rsid w:val="009556FA"/>
    <w:rsid w:val="0095704C"/>
    <w:rsid w:val="00960EA4"/>
    <w:rsid w:val="009638E0"/>
    <w:rsid w:val="00963961"/>
    <w:rsid w:val="009675B5"/>
    <w:rsid w:val="00967AD2"/>
    <w:rsid w:val="00967C37"/>
    <w:rsid w:val="00970A48"/>
    <w:rsid w:val="00972094"/>
    <w:rsid w:val="0097352C"/>
    <w:rsid w:val="00974585"/>
    <w:rsid w:val="009747AF"/>
    <w:rsid w:val="009762C3"/>
    <w:rsid w:val="00980832"/>
    <w:rsid w:val="00980E79"/>
    <w:rsid w:val="009818CE"/>
    <w:rsid w:val="00985F7E"/>
    <w:rsid w:val="00990109"/>
    <w:rsid w:val="009908C4"/>
    <w:rsid w:val="00993540"/>
    <w:rsid w:val="0099432C"/>
    <w:rsid w:val="009946A2"/>
    <w:rsid w:val="00994A7A"/>
    <w:rsid w:val="009A1105"/>
    <w:rsid w:val="009A5039"/>
    <w:rsid w:val="009A7813"/>
    <w:rsid w:val="009B2EE1"/>
    <w:rsid w:val="009B32C7"/>
    <w:rsid w:val="009B5D93"/>
    <w:rsid w:val="009B71E0"/>
    <w:rsid w:val="009C5E3B"/>
    <w:rsid w:val="009C6A1C"/>
    <w:rsid w:val="009C6EDA"/>
    <w:rsid w:val="009D1B4F"/>
    <w:rsid w:val="009D4F34"/>
    <w:rsid w:val="009D5C13"/>
    <w:rsid w:val="009D68AA"/>
    <w:rsid w:val="009E0403"/>
    <w:rsid w:val="009E2C1E"/>
    <w:rsid w:val="009E397F"/>
    <w:rsid w:val="009F067E"/>
    <w:rsid w:val="009F7623"/>
    <w:rsid w:val="00A0264D"/>
    <w:rsid w:val="00A034D1"/>
    <w:rsid w:val="00A064BE"/>
    <w:rsid w:val="00A15562"/>
    <w:rsid w:val="00A16104"/>
    <w:rsid w:val="00A16E5D"/>
    <w:rsid w:val="00A17CF0"/>
    <w:rsid w:val="00A21300"/>
    <w:rsid w:val="00A22B50"/>
    <w:rsid w:val="00A254F6"/>
    <w:rsid w:val="00A269F9"/>
    <w:rsid w:val="00A307A9"/>
    <w:rsid w:val="00A324EB"/>
    <w:rsid w:val="00A34A4E"/>
    <w:rsid w:val="00A45027"/>
    <w:rsid w:val="00A45D14"/>
    <w:rsid w:val="00A50230"/>
    <w:rsid w:val="00A51041"/>
    <w:rsid w:val="00A51CCD"/>
    <w:rsid w:val="00A625C3"/>
    <w:rsid w:val="00A64E68"/>
    <w:rsid w:val="00A6696F"/>
    <w:rsid w:val="00A703AE"/>
    <w:rsid w:val="00A720E3"/>
    <w:rsid w:val="00A72112"/>
    <w:rsid w:val="00A75480"/>
    <w:rsid w:val="00A8127D"/>
    <w:rsid w:val="00A8317A"/>
    <w:rsid w:val="00A83918"/>
    <w:rsid w:val="00A86357"/>
    <w:rsid w:val="00A9111F"/>
    <w:rsid w:val="00A912B6"/>
    <w:rsid w:val="00A941E8"/>
    <w:rsid w:val="00A9603F"/>
    <w:rsid w:val="00A9728D"/>
    <w:rsid w:val="00A97FD0"/>
    <w:rsid w:val="00AA153C"/>
    <w:rsid w:val="00AA432A"/>
    <w:rsid w:val="00AA4340"/>
    <w:rsid w:val="00AA4675"/>
    <w:rsid w:val="00AA4782"/>
    <w:rsid w:val="00AB45F6"/>
    <w:rsid w:val="00AB57F3"/>
    <w:rsid w:val="00AB5AD5"/>
    <w:rsid w:val="00AB717A"/>
    <w:rsid w:val="00AC18FC"/>
    <w:rsid w:val="00AC5152"/>
    <w:rsid w:val="00AC7A65"/>
    <w:rsid w:val="00AD0BB6"/>
    <w:rsid w:val="00AD196A"/>
    <w:rsid w:val="00AD2EC6"/>
    <w:rsid w:val="00AD385D"/>
    <w:rsid w:val="00AD4702"/>
    <w:rsid w:val="00AD54BF"/>
    <w:rsid w:val="00AE0945"/>
    <w:rsid w:val="00AE2152"/>
    <w:rsid w:val="00AE23DE"/>
    <w:rsid w:val="00AE275B"/>
    <w:rsid w:val="00AE52DB"/>
    <w:rsid w:val="00AF02C8"/>
    <w:rsid w:val="00AF4DFB"/>
    <w:rsid w:val="00AF651E"/>
    <w:rsid w:val="00AF6B56"/>
    <w:rsid w:val="00AF6EFE"/>
    <w:rsid w:val="00B04CB6"/>
    <w:rsid w:val="00B1356C"/>
    <w:rsid w:val="00B20232"/>
    <w:rsid w:val="00B217C4"/>
    <w:rsid w:val="00B218BC"/>
    <w:rsid w:val="00B323A7"/>
    <w:rsid w:val="00B328E0"/>
    <w:rsid w:val="00B41B7D"/>
    <w:rsid w:val="00B432A2"/>
    <w:rsid w:val="00B50D4C"/>
    <w:rsid w:val="00B520EF"/>
    <w:rsid w:val="00B53D4A"/>
    <w:rsid w:val="00B5462A"/>
    <w:rsid w:val="00B54E55"/>
    <w:rsid w:val="00B551EE"/>
    <w:rsid w:val="00B574CE"/>
    <w:rsid w:val="00B63175"/>
    <w:rsid w:val="00B65170"/>
    <w:rsid w:val="00B660C1"/>
    <w:rsid w:val="00B66B70"/>
    <w:rsid w:val="00B67C64"/>
    <w:rsid w:val="00B74321"/>
    <w:rsid w:val="00B76DBB"/>
    <w:rsid w:val="00B77D3D"/>
    <w:rsid w:val="00B77E64"/>
    <w:rsid w:val="00B838CD"/>
    <w:rsid w:val="00B845FA"/>
    <w:rsid w:val="00B849C9"/>
    <w:rsid w:val="00B86DEE"/>
    <w:rsid w:val="00B8719C"/>
    <w:rsid w:val="00B9036F"/>
    <w:rsid w:val="00B91F12"/>
    <w:rsid w:val="00B952C9"/>
    <w:rsid w:val="00BA010A"/>
    <w:rsid w:val="00BA6B6E"/>
    <w:rsid w:val="00BA77DE"/>
    <w:rsid w:val="00BB27AF"/>
    <w:rsid w:val="00BB64E0"/>
    <w:rsid w:val="00BB7078"/>
    <w:rsid w:val="00BB7DCC"/>
    <w:rsid w:val="00BC1DFD"/>
    <w:rsid w:val="00BC2CBE"/>
    <w:rsid w:val="00BC4CC6"/>
    <w:rsid w:val="00BC6914"/>
    <w:rsid w:val="00BD22E1"/>
    <w:rsid w:val="00BD400D"/>
    <w:rsid w:val="00BD5957"/>
    <w:rsid w:val="00BD746B"/>
    <w:rsid w:val="00BE3FBD"/>
    <w:rsid w:val="00BE5EEB"/>
    <w:rsid w:val="00BE5FD6"/>
    <w:rsid w:val="00BF0343"/>
    <w:rsid w:val="00BF0AED"/>
    <w:rsid w:val="00BF279A"/>
    <w:rsid w:val="00BF3D55"/>
    <w:rsid w:val="00BF7DB5"/>
    <w:rsid w:val="00C00032"/>
    <w:rsid w:val="00C0175E"/>
    <w:rsid w:val="00C02318"/>
    <w:rsid w:val="00C02F2F"/>
    <w:rsid w:val="00C039F9"/>
    <w:rsid w:val="00C03C74"/>
    <w:rsid w:val="00C03F13"/>
    <w:rsid w:val="00C056D9"/>
    <w:rsid w:val="00C067CB"/>
    <w:rsid w:val="00C112AF"/>
    <w:rsid w:val="00C11EC9"/>
    <w:rsid w:val="00C12BBA"/>
    <w:rsid w:val="00C1339F"/>
    <w:rsid w:val="00C13424"/>
    <w:rsid w:val="00C14CF2"/>
    <w:rsid w:val="00C35C2F"/>
    <w:rsid w:val="00C41064"/>
    <w:rsid w:val="00C410A1"/>
    <w:rsid w:val="00C50B1E"/>
    <w:rsid w:val="00C51B87"/>
    <w:rsid w:val="00C64648"/>
    <w:rsid w:val="00C653F7"/>
    <w:rsid w:val="00C7064A"/>
    <w:rsid w:val="00C72652"/>
    <w:rsid w:val="00C73F9B"/>
    <w:rsid w:val="00C744C5"/>
    <w:rsid w:val="00C74EB9"/>
    <w:rsid w:val="00C7661B"/>
    <w:rsid w:val="00C76C72"/>
    <w:rsid w:val="00C86EC0"/>
    <w:rsid w:val="00C9044D"/>
    <w:rsid w:val="00C94D60"/>
    <w:rsid w:val="00C96A8F"/>
    <w:rsid w:val="00CA0E5E"/>
    <w:rsid w:val="00CA241C"/>
    <w:rsid w:val="00CA351F"/>
    <w:rsid w:val="00CA4ACE"/>
    <w:rsid w:val="00CA6703"/>
    <w:rsid w:val="00CA7858"/>
    <w:rsid w:val="00CB1724"/>
    <w:rsid w:val="00CB2788"/>
    <w:rsid w:val="00CB3F0A"/>
    <w:rsid w:val="00CB7BCA"/>
    <w:rsid w:val="00CC02A5"/>
    <w:rsid w:val="00CC040C"/>
    <w:rsid w:val="00CC5DA4"/>
    <w:rsid w:val="00CC6083"/>
    <w:rsid w:val="00CC62A4"/>
    <w:rsid w:val="00CD3098"/>
    <w:rsid w:val="00CD347B"/>
    <w:rsid w:val="00CD5624"/>
    <w:rsid w:val="00CE2060"/>
    <w:rsid w:val="00CF04F5"/>
    <w:rsid w:val="00D05842"/>
    <w:rsid w:val="00D11CF0"/>
    <w:rsid w:val="00D12EC9"/>
    <w:rsid w:val="00D15E53"/>
    <w:rsid w:val="00D166DE"/>
    <w:rsid w:val="00D17AE8"/>
    <w:rsid w:val="00D204B1"/>
    <w:rsid w:val="00D20CB1"/>
    <w:rsid w:val="00D20E48"/>
    <w:rsid w:val="00D24A21"/>
    <w:rsid w:val="00D36DDC"/>
    <w:rsid w:val="00D37A16"/>
    <w:rsid w:val="00D41196"/>
    <w:rsid w:val="00D415D4"/>
    <w:rsid w:val="00D41E30"/>
    <w:rsid w:val="00D42FC8"/>
    <w:rsid w:val="00D4348A"/>
    <w:rsid w:val="00D466BB"/>
    <w:rsid w:val="00D47680"/>
    <w:rsid w:val="00D52442"/>
    <w:rsid w:val="00D52848"/>
    <w:rsid w:val="00D556B6"/>
    <w:rsid w:val="00D64EB1"/>
    <w:rsid w:val="00D67BDB"/>
    <w:rsid w:val="00D71D32"/>
    <w:rsid w:val="00D772FA"/>
    <w:rsid w:val="00D81592"/>
    <w:rsid w:val="00D81839"/>
    <w:rsid w:val="00D83CF6"/>
    <w:rsid w:val="00D85332"/>
    <w:rsid w:val="00D85E00"/>
    <w:rsid w:val="00D91FB0"/>
    <w:rsid w:val="00D93480"/>
    <w:rsid w:val="00D93E3E"/>
    <w:rsid w:val="00DA13D6"/>
    <w:rsid w:val="00DA1D6C"/>
    <w:rsid w:val="00DA31D5"/>
    <w:rsid w:val="00DA35B2"/>
    <w:rsid w:val="00DA3710"/>
    <w:rsid w:val="00DA4408"/>
    <w:rsid w:val="00DA483A"/>
    <w:rsid w:val="00DA7C05"/>
    <w:rsid w:val="00DC39BD"/>
    <w:rsid w:val="00DC4F35"/>
    <w:rsid w:val="00DC6442"/>
    <w:rsid w:val="00DC6DB7"/>
    <w:rsid w:val="00DC6E17"/>
    <w:rsid w:val="00DC7831"/>
    <w:rsid w:val="00DC7CCF"/>
    <w:rsid w:val="00DD0DE9"/>
    <w:rsid w:val="00DD2C2C"/>
    <w:rsid w:val="00DE1001"/>
    <w:rsid w:val="00DE30DF"/>
    <w:rsid w:val="00DE63AA"/>
    <w:rsid w:val="00DF0FDD"/>
    <w:rsid w:val="00DF3FF6"/>
    <w:rsid w:val="00DF5BC6"/>
    <w:rsid w:val="00DF64D6"/>
    <w:rsid w:val="00E01D7C"/>
    <w:rsid w:val="00E02BE6"/>
    <w:rsid w:val="00E04E3C"/>
    <w:rsid w:val="00E06987"/>
    <w:rsid w:val="00E100EA"/>
    <w:rsid w:val="00E12E94"/>
    <w:rsid w:val="00E13F46"/>
    <w:rsid w:val="00E22DB5"/>
    <w:rsid w:val="00E24CE0"/>
    <w:rsid w:val="00E27632"/>
    <w:rsid w:val="00E31B95"/>
    <w:rsid w:val="00E35D0B"/>
    <w:rsid w:val="00E37320"/>
    <w:rsid w:val="00E40811"/>
    <w:rsid w:val="00E45F06"/>
    <w:rsid w:val="00E46279"/>
    <w:rsid w:val="00E47E53"/>
    <w:rsid w:val="00E50498"/>
    <w:rsid w:val="00E52913"/>
    <w:rsid w:val="00E533B2"/>
    <w:rsid w:val="00E54B91"/>
    <w:rsid w:val="00E56BB2"/>
    <w:rsid w:val="00E57061"/>
    <w:rsid w:val="00E60151"/>
    <w:rsid w:val="00E62A83"/>
    <w:rsid w:val="00E62FE1"/>
    <w:rsid w:val="00E64604"/>
    <w:rsid w:val="00E6648A"/>
    <w:rsid w:val="00E67363"/>
    <w:rsid w:val="00E67CBA"/>
    <w:rsid w:val="00E73490"/>
    <w:rsid w:val="00E755D7"/>
    <w:rsid w:val="00E77AF0"/>
    <w:rsid w:val="00E77EB2"/>
    <w:rsid w:val="00E831E1"/>
    <w:rsid w:val="00E8399E"/>
    <w:rsid w:val="00E84944"/>
    <w:rsid w:val="00E856B3"/>
    <w:rsid w:val="00E86F54"/>
    <w:rsid w:val="00E91A01"/>
    <w:rsid w:val="00E9329D"/>
    <w:rsid w:val="00E9688E"/>
    <w:rsid w:val="00E96BEB"/>
    <w:rsid w:val="00E979A8"/>
    <w:rsid w:val="00E97E44"/>
    <w:rsid w:val="00EA1524"/>
    <w:rsid w:val="00EA589D"/>
    <w:rsid w:val="00EB0854"/>
    <w:rsid w:val="00EB594A"/>
    <w:rsid w:val="00EC0EBA"/>
    <w:rsid w:val="00EC127D"/>
    <w:rsid w:val="00EC2235"/>
    <w:rsid w:val="00EC39B5"/>
    <w:rsid w:val="00EC506A"/>
    <w:rsid w:val="00ED04E6"/>
    <w:rsid w:val="00ED05B4"/>
    <w:rsid w:val="00ED6988"/>
    <w:rsid w:val="00ED7304"/>
    <w:rsid w:val="00ED7CA9"/>
    <w:rsid w:val="00EE0A94"/>
    <w:rsid w:val="00EE4F55"/>
    <w:rsid w:val="00EE5163"/>
    <w:rsid w:val="00EE60CB"/>
    <w:rsid w:val="00EE6FA5"/>
    <w:rsid w:val="00EF43BF"/>
    <w:rsid w:val="00EF595F"/>
    <w:rsid w:val="00F02B83"/>
    <w:rsid w:val="00F132A6"/>
    <w:rsid w:val="00F14CBA"/>
    <w:rsid w:val="00F21053"/>
    <w:rsid w:val="00F22CE6"/>
    <w:rsid w:val="00F25B92"/>
    <w:rsid w:val="00F309AC"/>
    <w:rsid w:val="00F314B5"/>
    <w:rsid w:val="00F331AA"/>
    <w:rsid w:val="00F33362"/>
    <w:rsid w:val="00F35428"/>
    <w:rsid w:val="00F37008"/>
    <w:rsid w:val="00F40A8D"/>
    <w:rsid w:val="00F4173D"/>
    <w:rsid w:val="00F41814"/>
    <w:rsid w:val="00F44C56"/>
    <w:rsid w:val="00F44C80"/>
    <w:rsid w:val="00F44E11"/>
    <w:rsid w:val="00F47B07"/>
    <w:rsid w:val="00F50B4C"/>
    <w:rsid w:val="00F55020"/>
    <w:rsid w:val="00F653FE"/>
    <w:rsid w:val="00F6763C"/>
    <w:rsid w:val="00F67D16"/>
    <w:rsid w:val="00F71B38"/>
    <w:rsid w:val="00F74981"/>
    <w:rsid w:val="00F75F4C"/>
    <w:rsid w:val="00F83CD1"/>
    <w:rsid w:val="00F84A2F"/>
    <w:rsid w:val="00F84F93"/>
    <w:rsid w:val="00F85392"/>
    <w:rsid w:val="00F86295"/>
    <w:rsid w:val="00F87A77"/>
    <w:rsid w:val="00F95A61"/>
    <w:rsid w:val="00F96392"/>
    <w:rsid w:val="00F96533"/>
    <w:rsid w:val="00FA2118"/>
    <w:rsid w:val="00FA7940"/>
    <w:rsid w:val="00FB01D6"/>
    <w:rsid w:val="00FB2651"/>
    <w:rsid w:val="00FB37A5"/>
    <w:rsid w:val="00FB3E72"/>
    <w:rsid w:val="00FB5D06"/>
    <w:rsid w:val="00FB5FFA"/>
    <w:rsid w:val="00FB7730"/>
    <w:rsid w:val="00FC0119"/>
    <w:rsid w:val="00FC1A92"/>
    <w:rsid w:val="00FC1D38"/>
    <w:rsid w:val="00FC5707"/>
    <w:rsid w:val="00FC7095"/>
    <w:rsid w:val="00FD085F"/>
    <w:rsid w:val="00FD20B6"/>
    <w:rsid w:val="00FD44A4"/>
    <w:rsid w:val="00FD4E98"/>
    <w:rsid w:val="00FD58A5"/>
    <w:rsid w:val="00FE0206"/>
    <w:rsid w:val="00FE39D8"/>
    <w:rsid w:val="00FE476F"/>
    <w:rsid w:val="00FF0678"/>
    <w:rsid w:val="00FF1519"/>
    <w:rsid w:val="00FF34F6"/>
    <w:rsid w:val="00FF40FF"/>
    <w:rsid w:val="00FF56E5"/>
    <w:rsid w:val="00FF5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08"/>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057108"/>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057108"/>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57108"/>
    <w:rPr>
      <w:rFonts w:ascii="宋体" w:eastAsia="宋体" w:hAnsi="宋体" w:cs="宋体"/>
      <w:color w:val="000000"/>
      <w:sz w:val="28"/>
    </w:rPr>
  </w:style>
  <w:style w:type="character" w:customStyle="1" w:styleId="1Char">
    <w:name w:val="标题 1 Char"/>
    <w:link w:val="1"/>
    <w:rsid w:val="00057108"/>
    <w:rPr>
      <w:rFonts w:ascii="宋体" w:eastAsia="宋体" w:hAnsi="宋体" w:cs="宋体"/>
      <w:color w:val="000000"/>
      <w:sz w:val="28"/>
    </w:rPr>
  </w:style>
  <w:style w:type="paragraph" w:styleId="10">
    <w:name w:val="toc 1"/>
    <w:hidden/>
    <w:uiPriority w:val="39"/>
    <w:rsid w:val="00057108"/>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057108"/>
    <w:tblPr>
      <w:tblCellMar>
        <w:top w:w="0" w:type="dxa"/>
        <w:left w:w="0" w:type="dxa"/>
        <w:bottom w:w="0" w:type="dxa"/>
        <w:right w:w="0" w:type="dxa"/>
      </w:tblCellMar>
    </w:tblPr>
  </w:style>
  <w:style w:type="paragraph" w:styleId="a3">
    <w:name w:val="Normal (Web)"/>
    <w:basedOn w:val="a"/>
    <w:rsid w:val="006D0F9A"/>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paragraph" w:styleId="a4">
    <w:name w:val="Balloon Text"/>
    <w:basedOn w:val="a"/>
    <w:link w:val="Char"/>
    <w:uiPriority w:val="99"/>
    <w:semiHidden/>
    <w:unhideWhenUsed/>
    <w:rsid w:val="006E146B"/>
    <w:pPr>
      <w:spacing w:after="0" w:line="240" w:lineRule="auto"/>
    </w:pPr>
    <w:rPr>
      <w:sz w:val="18"/>
      <w:szCs w:val="18"/>
    </w:rPr>
  </w:style>
  <w:style w:type="character" w:customStyle="1" w:styleId="Char">
    <w:name w:val="批注框文本 Char"/>
    <w:basedOn w:val="a0"/>
    <w:link w:val="a4"/>
    <w:uiPriority w:val="99"/>
    <w:semiHidden/>
    <w:rsid w:val="006E146B"/>
    <w:rPr>
      <w:rFonts w:ascii="宋体" w:eastAsia="宋体" w:hAnsi="宋体" w:cs="宋体"/>
      <w:color w:val="000000"/>
      <w:sz w:val="18"/>
      <w:szCs w:val="18"/>
    </w:rPr>
  </w:style>
  <w:style w:type="paragraph" w:customStyle="1" w:styleId="Default">
    <w:name w:val="Default"/>
    <w:rsid w:val="00FB01D6"/>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BB2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44C80"/>
    <w:pPr>
      <w:ind w:firstLineChars="200" w:firstLine="420"/>
    </w:pPr>
  </w:style>
  <w:style w:type="character" w:styleId="a7">
    <w:name w:val="annotation reference"/>
    <w:basedOn w:val="a0"/>
    <w:uiPriority w:val="99"/>
    <w:semiHidden/>
    <w:unhideWhenUsed/>
    <w:rsid w:val="00423792"/>
    <w:rPr>
      <w:sz w:val="21"/>
      <w:szCs w:val="21"/>
    </w:rPr>
  </w:style>
  <w:style w:type="paragraph" w:styleId="a8">
    <w:name w:val="annotation text"/>
    <w:basedOn w:val="a"/>
    <w:link w:val="Char0"/>
    <w:uiPriority w:val="99"/>
    <w:semiHidden/>
    <w:unhideWhenUsed/>
    <w:rsid w:val="00423792"/>
  </w:style>
  <w:style w:type="character" w:customStyle="1" w:styleId="Char0">
    <w:name w:val="批注文字 Char"/>
    <w:basedOn w:val="a0"/>
    <w:link w:val="a8"/>
    <w:uiPriority w:val="99"/>
    <w:semiHidden/>
    <w:rsid w:val="00423792"/>
    <w:rPr>
      <w:rFonts w:ascii="宋体" w:eastAsia="宋体" w:hAnsi="宋体" w:cs="宋体"/>
      <w:color w:val="000000"/>
      <w:sz w:val="24"/>
    </w:rPr>
  </w:style>
  <w:style w:type="character" w:styleId="a9">
    <w:name w:val="Hyperlink"/>
    <w:basedOn w:val="a0"/>
    <w:uiPriority w:val="99"/>
    <w:unhideWhenUsed/>
    <w:rsid w:val="00296B31"/>
    <w:rPr>
      <w:color w:val="0563C1" w:themeColor="hyperlink"/>
      <w:u w:val="single"/>
    </w:rPr>
  </w:style>
  <w:style w:type="paragraph" w:styleId="aa">
    <w:name w:val="annotation subject"/>
    <w:basedOn w:val="a8"/>
    <w:next w:val="a8"/>
    <w:link w:val="Char1"/>
    <w:uiPriority w:val="99"/>
    <w:semiHidden/>
    <w:unhideWhenUsed/>
    <w:rsid w:val="002A2ED3"/>
    <w:rPr>
      <w:b/>
      <w:bCs/>
    </w:rPr>
  </w:style>
  <w:style w:type="character" w:customStyle="1" w:styleId="Char1">
    <w:name w:val="批注主题 Char"/>
    <w:basedOn w:val="Char0"/>
    <w:link w:val="aa"/>
    <w:uiPriority w:val="99"/>
    <w:semiHidden/>
    <w:rsid w:val="002A2ED3"/>
    <w:rPr>
      <w:rFonts w:ascii="宋体" w:eastAsia="宋体" w:hAnsi="宋体" w:cs="宋体"/>
      <w:b/>
      <w:bCs/>
      <w:color w:val="000000"/>
      <w:sz w:val="24"/>
    </w:rPr>
  </w:style>
  <w:style w:type="paragraph" w:styleId="ab">
    <w:name w:val="header"/>
    <w:basedOn w:val="a"/>
    <w:link w:val="Char2"/>
    <w:uiPriority w:val="99"/>
    <w:unhideWhenUsed/>
    <w:rsid w:val="00A8635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A86357"/>
    <w:rPr>
      <w:rFonts w:ascii="宋体" w:eastAsia="宋体" w:hAnsi="宋体" w:cs="宋体"/>
      <w:color w:val="000000"/>
      <w:sz w:val="18"/>
      <w:szCs w:val="18"/>
    </w:rPr>
  </w:style>
  <w:style w:type="paragraph" w:styleId="ac">
    <w:name w:val="Revision"/>
    <w:hidden/>
    <w:uiPriority w:val="99"/>
    <w:semiHidden/>
    <w:rsid w:val="00EE60CB"/>
    <w:rPr>
      <w:rFonts w:ascii="宋体" w:eastAsia="宋体" w:hAnsi="宋体" w:cs="宋体"/>
      <w:color w:val="000000"/>
      <w:sz w:val="24"/>
    </w:rPr>
  </w:style>
</w:styles>
</file>

<file path=word/webSettings.xml><?xml version="1.0" encoding="utf-8"?>
<w:webSettings xmlns:r="http://schemas.openxmlformats.org/officeDocument/2006/relationships" xmlns:w="http://schemas.openxmlformats.org/wordprocessingml/2006/main">
  <w:divs>
    <w:div w:id="1517606">
      <w:bodyDiv w:val="1"/>
      <w:marLeft w:val="0"/>
      <w:marRight w:val="0"/>
      <w:marTop w:val="0"/>
      <w:marBottom w:val="0"/>
      <w:divBdr>
        <w:top w:val="none" w:sz="0" w:space="0" w:color="auto"/>
        <w:left w:val="none" w:sz="0" w:space="0" w:color="auto"/>
        <w:bottom w:val="none" w:sz="0" w:space="0" w:color="auto"/>
        <w:right w:val="none" w:sz="0" w:space="0" w:color="auto"/>
      </w:divBdr>
    </w:div>
    <w:div w:id="5911604">
      <w:bodyDiv w:val="1"/>
      <w:marLeft w:val="0"/>
      <w:marRight w:val="0"/>
      <w:marTop w:val="0"/>
      <w:marBottom w:val="0"/>
      <w:divBdr>
        <w:top w:val="none" w:sz="0" w:space="0" w:color="auto"/>
        <w:left w:val="none" w:sz="0" w:space="0" w:color="auto"/>
        <w:bottom w:val="none" w:sz="0" w:space="0" w:color="auto"/>
        <w:right w:val="none" w:sz="0" w:space="0" w:color="auto"/>
      </w:divBdr>
    </w:div>
    <w:div w:id="16198347">
      <w:bodyDiv w:val="1"/>
      <w:marLeft w:val="0"/>
      <w:marRight w:val="0"/>
      <w:marTop w:val="0"/>
      <w:marBottom w:val="0"/>
      <w:divBdr>
        <w:top w:val="none" w:sz="0" w:space="0" w:color="auto"/>
        <w:left w:val="none" w:sz="0" w:space="0" w:color="auto"/>
        <w:bottom w:val="none" w:sz="0" w:space="0" w:color="auto"/>
        <w:right w:val="none" w:sz="0" w:space="0" w:color="auto"/>
      </w:divBdr>
    </w:div>
    <w:div w:id="20057430">
      <w:bodyDiv w:val="1"/>
      <w:marLeft w:val="0"/>
      <w:marRight w:val="0"/>
      <w:marTop w:val="0"/>
      <w:marBottom w:val="0"/>
      <w:divBdr>
        <w:top w:val="none" w:sz="0" w:space="0" w:color="auto"/>
        <w:left w:val="none" w:sz="0" w:space="0" w:color="auto"/>
        <w:bottom w:val="none" w:sz="0" w:space="0" w:color="auto"/>
        <w:right w:val="none" w:sz="0" w:space="0" w:color="auto"/>
      </w:divBdr>
    </w:div>
    <w:div w:id="43918809">
      <w:bodyDiv w:val="1"/>
      <w:marLeft w:val="0"/>
      <w:marRight w:val="0"/>
      <w:marTop w:val="0"/>
      <w:marBottom w:val="0"/>
      <w:divBdr>
        <w:top w:val="none" w:sz="0" w:space="0" w:color="auto"/>
        <w:left w:val="none" w:sz="0" w:space="0" w:color="auto"/>
        <w:bottom w:val="none" w:sz="0" w:space="0" w:color="auto"/>
        <w:right w:val="none" w:sz="0" w:space="0" w:color="auto"/>
      </w:divBdr>
    </w:div>
    <w:div w:id="81806214">
      <w:bodyDiv w:val="1"/>
      <w:marLeft w:val="0"/>
      <w:marRight w:val="0"/>
      <w:marTop w:val="0"/>
      <w:marBottom w:val="0"/>
      <w:divBdr>
        <w:top w:val="none" w:sz="0" w:space="0" w:color="auto"/>
        <w:left w:val="none" w:sz="0" w:space="0" w:color="auto"/>
        <w:bottom w:val="none" w:sz="0" w:space="0" w:color="auto"/>
        <w:right w:val="none" w:sz="0" w:space="0" w:color="auto"/>
      </w:divBdr>
    </w:div>
    <w:div w:id="87847518">
      <w:bodyDiv w:val="1"/>
      <w:marLeft w:val="0"/>
      <w:marRight w:val="0"/>
      <w:marTop w:val="0"/>
      <w:marBottom w:val="0"/>
      <w:divBdr>
        <w:top w:val="none" w:sz="0" w:space="0" w:color="auto"/>
        <w:left w:val="none" w:sz="0" w:space="0" w:color="auto"/>
        <w:bottom w:val="none" w:sz="0" w:space="0" w:color="auto"/>
        <w:right w:val="none" w:sz="0" w:space="0" w:color="auto"/>
      </w:divBdr>
    </w:div>
    <w:div w:id="95948747">
      <w:bodyDiv w:val="1"/>
      <w:marLeft w:val="0"/>
      <w:marRight w:val="0"/>
      <w:marTop w:val="0"/>
      <w:marBottom w:val="0"/>
      <w:divBdr>
        <w:top w:val="none" w:sz="0" w:space="0" w:color="auto"/>
        <w:left w:val="none" w:sz="0" w:space="0" w:color="auto"/>
        <w:bottom w:val="none" w:sz="0" w:space="0" w:color="auto"/>
        <w:right w:val="none" w:sz="0" w:space="0" w:color="auto"/>
      </w:divBdr>
    </w:div>
    <w:div w:id="106119791">
      <w:bodyDiv w:val="1"/>
      <w:marLeft w:val="0"/>
      <w:marRight w:val="0"/>
      <w:marTop w:val="0"/>
      <w:marBottom w:val="0"/>
      <w:divBdr>
        <w:top w:val="none" w:sz="0" w:space="0" w:color="auto"/>
        <w:left w:val="none" w:sz="0" w:space="0" w:color="auto"/>
        <w:bottom w:val="none" w:sz="0" w:space="0" w:color="auto"/>
        <w:right w:val="none" w:sz="0" w:space="0" w:color="auto"/>
      </w:divBdr>
    </w:div>
    <w:div w:id="108163972">
      <w:bodyDiv w:val="1"/>
      <w:marLeft w:val="0"/>
      <w:marRight w:val="0"/>
      <w:marTop w:val="0"/>
      <w:marBottom w:val="0"/>
      <w:divBdr>
        <w:top w:val="none" w:sz="0" w:space="0" w:color="auto"/>
        <w:left w:val="none" w:sz="0" w:space="0" w:color="auto"/>
        <w:bottom w:val="none" w:sz="0" w:space="0" w:color="auto"/>
        <w:right w:val="none" w:sz="0" w:space="0" w:color="auto"/>
      </w:divBdr>
    </w:div>
    <w:div w:id="127669965">
      <w:bodyDiv w:val="1"/>
      <w:marLeft w:val="0"/>
      <w:marRight w:val="0"/>
      <w:marTop w:val="0"/>
      <w:marBottom w:val="0"/>
      <w:divBdr>
        <w:top w:val="none" w:sz="0" w:space="0" w:color="auto"/>
        <w:left w:val="none" w:sz="0" w:space="0" w:color="auto"/>
        <w:bottom w:val="none" w:sz="0" w:space="0" w:color="auto"/>
        <w:right w:val="none" w:sz="0" w:space="0" w:color="auto"/>
      </w:divBdr>
    </w:div>
    <w:div w:id="128010714">
      <w:bodyDiv w:val="1"/>
      <w:marLeft w:val="0"/>
      <w:marRight w:val="0"/>
      <w:marTop w:val="0"/>
      <w:marBottom w:val="0"/>
      <w:divBdr>
        <w:top w:val="none" w:sz="0" w:space="0" w:color="auto"/>
        <w:left w:val="none" w:sz="0" w:space="0" w:color="auto"/>
        <w:bottom w:val="none" w:sz="0" w:space="0" w:color="auto"/>
        <w:right w:val="none" w:sz="0" w:space="0" w:color="auto"/>
      </w:divBdr>
    </w:div>
    <w:div w:id="131094263">
      <w:bodyDiv w:val="1"/>
      <w:marLeft w:val="0"/>
      <w:marRight w:val="0"/>
      <w:marTop w:val="0"/>
      <w:marBottom w:val="0"/>
      <w:divBdr>
        <w:top w:val="none" w:sz="0" w:space="0" w:color="auto"/>
        <w:left w:val="none" w:sz="0" w:space="0" w:color="auto"/>
        <w:bottom w:val="none" w:sz="0" w:space="0" w:color="auto"/>
        <w:right w:val="none" w:sz="0" w:space="0" w:color="auto"/>
      </w:divBdr>
    </w:div>
    <w:div w:id="159851171">
      <w:bodyDiv w:val="1"/>
      <w:marLeft w:val="0"/>
      <w:marRight w:val="0"/>
      <w:marTop w:val="0"/>
      <w:marBottom w:val="0"/>
      <w:divBdr>
        <w:top w:val="none" w:sz="0" w:space="0" w:color="auto"/>
        <w:left w:val="none" w:sz="0" w:space="0" w:color="auto"/>
        <w:bottom w:val="none" w:sz="0" w:space="0" w:color="auto"/>
        <w:right w:val="none" w:sz="0" w:space="0" w:color="auto"/>
      </w:divBdr>
    </w:div>
    <w:div w:id="164370541">
      <w:bodyDiv w:val="1"/>
      <w:marLeft w:val="0"/>
      <w:marRight w:val="0"/>
      <w:marTop w:val="0"/>
      <w:marBottom w:val="0"/>
      <w:divBdr>
        <w:top w:val="none" w:sz="0" w:space="0" w:color="auto"/>
        <w:left w:val="none" w:sz="0" w:space="0" w:color="auto"/>
        <w:bottom w:val="none" w:sz="0" w:space="0" w:color="auto"/>
        <w:right w:val="none" w:sz="0" w:space="0" w:color="auto"/>
      </w:divBdr>
    </w:div>
    <w:div w:id="174737353">
      <w:bodyDiv w:val="1"/>
      <w:marLeft w:val="0"/>
      <w:marRight w:val="0"/>
      <w:marTop w:val="0"/>
      <w:marBottom w:val="0"/>
      <w:divBdr>
        <w:top w:val="none" w:sz="0" w:space="0" w:color="auto"/>
        <w:left w:val="none" w:sz="0" w:space="0" w:color="auto"/>
        <w:bottom w:val="none" w:sz="0" w:space="0" w:color="auto"/>
        <w:right w:val="none" w:sz="0" w:space="0" w:color="auto"/>
      </w:divBdr>
    </w:div>
    <w:div w:id="176311217">
      <w:bodyDiv w:val="1"/>
      <w:marLeft w:val="0"/>
      <w:marRight w:val="0"/>
      <w:marTop w:val="0"/>
      <w:marBottom w:val="0"/>
      <w:divBdr>
        <w:top w:val="none" w:sz="0" w:space="0" w:color="auto"/>
        <w:left w:val="none" w:sz="0" w:space="0" w:color="auto"/>
        <w:bottom w:val="none" w:sz="0" w:space="0" w:color="auto"/>
        <w:right w:val="none" w:sz="0" w:space="0" w:color="auto"/>
      </w:divBdr>
    </w:div>
    <w:div w:id="180507884">
      <w:bodyDiv w:val="1"/>
      <w:marLeft w:val="0"/>
      <w:marRight w:val="0"/>
      <w:marTop w:val="0"/>
      <w:marBottom w:val="0"/>
      <w:divBdr>
        <w:top w:val="none" w:sz="0" w:space="0" w:color="auto"/>
        <w:left w:val="none" w:sz="0" w:space="0" w:color="auto"/>
        <w:bottom w:val="none" w:sz="0" w:space="0" w:color="auto"/>
        <w:right w:val="none" w:sz="0" w:space="0" w:color="auto"/>
      </w:divBdr>
    </w:div>
    <w:div w:id="198593787">
      <w:bodyDiv w:val="1"/>
      <w:marLeft w:val="0"/>
      <w:marRight w:val="0"/>
      <w:marTop w:val="0"/>
      <w:marBottom w:val="0"/>
      <w:divBdr>
        <w:top w:val="none" w:sz="0" w:space="0" w:color="auto"/>
        <w:left w:val="none" w:sz="0" w:space="0" w:color="auto"/>
        <w:bottom w:val="none" w:sz="0" w:space="0" w:color="auto"/>
        <w:right w:val="none" w:sz="0" w:space="0" w:color="auto"/>
      </w:divBdr>
    </w:div>
    <w:div w:id="217515599">
      <w:bodyDiv w:val="1"/>
      <w:marLeft w:val="0"/>
      <w:marRight w:val="0"/>
      <w:marTop w:val="0"/>
      <w:marBottom w:val="0"/>
      <w:divBdr>
        <w:top w:val="none" w:sz="0" w:space="0" w:color="auto"/>
        <w:left w:val="none" w:sz="0" w:space="0" w:color="auto"/>
        <w:bottom w:val="none" w:sz="0" w:space="0" w:color="auto"/>
        <w:right w:val="none" w:sz="0" w:space="0" w:color="auto"/>
      </w:divBdr>
    </w:div>
    <w:div w:id="236131218">
      <w:bodyDiv w:val="1"/>
      <w:marLeft w:val="0"/>
      <w:marRight w:val="0"/>
      <w:marTop w:val="0"/>
      <w:marBottom w:val="0"/>
      <w:divBdr>
        <w:top w:val="none" w:sz="0" w:space="0" w:color="auto"/>
        <w:left w:val="none" w:sz="0" w:space="0" w:color="auto"/>
        <w:bottom w:val="none" w:sz="0" w:space="0" w:color="auto"/>
        <w:right w:val="none" w:sz="0" w:space="0" w:color="auto"/>
      </w:divBdr>
    </w:div>
    <w:div w:id="261650140">
      <w:bodyDiv w:val="1"/>
      <w:marLeft w:val="0"/>
      <w:marRight w:val="0"/>
      <w:marTop w:val="0"/>
      <w:marBottom w:val="0"/>
      <w:divBdr>
        <w:top w:val="none" w:sz="0" w:space="0" w:color="auto"/>
        <w:left w:val="none" w:sz="0" w:space="0" w:color="auto"/>
        <w:bottom w:val="none" w:sz="0" w:space="0" w:color="auto"/>
        <w:right w:val="none" w:sz="0" w:space="0" w:color="auto"/>
      </w:divBdr>
    </w:div>
    <w:div w:id="276301822">
      <w:bodyDiv w:val="1"/>
      <w:marLeft w:val="0"/>
      <w:marRight w:val="0"/>
      <w:marTop w:val="0"/>
      <w:marBottom w:val="0"/>
      <w:divBdr>
        <w:top w:val="none" w:sz="0" w:space="0" w:color="auto"/>
        <w:left w:val="none" w:sz="0" w:space="0" w:color="auto"/>
        <w:bottom w:val="none" w:sz="0" w:space="0" w:color="auto"/>
        <w:right w:val="none" w:sz="0" w:space="0" w:color="auto"/>
      </w:divBdr>
    </w:div>
    <w:div w:id="322205102">
      <w:bodyDiv w:val="1"/>
      <w:marLeft w:val="0"/>
      <w:marRight w:val="0"/>
      <w:marTop w:val="0"/>
      <w:marBottom w:val="0"/>
      <w:divBdr>
        <w:top w:val="none" w:sz="0" w:space="0" w:color="auto"/>
        <w:left w:val="none" w:sz="0" w:space="0" w:color="auto"/>
        <w:bottom w:val="none" w:sz="0" w:space="0" w:color="auto"/>
        <w:right w:val="none" w:sz="0" w:space="0" w:color="auto"/>
      </w:divBdr>
    </w:div>
    <w:div w:id="322440931">
      <w:bodyDiv w:val="1"/>
      <w:marLeft w:val="0"/>
      <w:marRight w:val="0"/>
      <w:marTop w:val="0"/>
      <w:marBottom w:val="0"/>
      <w:divBdr>
        <w:top w:val="none" w:sz="0" w:space="0" w:color="auto"/>
        <w:left w:val="none" w:sz="0" w:space="0" w:color="auto"/>
        <w:bottom w:val="none" w:sz="0" w:space="0" w:color="auto"/>
        <w:right w:val="none" w:sz="0" w:space="0" w:color="auto"/>
      </w:divBdr>
    </w:div>
    <w:div w:id="339432546">
      <w:bodyDiv w:val="1"/>
      <w:marLeft w:val="0"/>
      <w:marRight w:val="0"/>
      <w:marTop w:val="0"/>
      <w:marBottom w:val="0"/>
      <w:divBdr>
        <w:top w:val="none" w:sz="0" w:space="0" w:color="auto"/>
        <w:left w:val="none" w:sz="0" w:space="0" w:color="auto"/>
        <w:bottom w:val="none" w:sz="0" w:space="0" w:color="auto"/>
        <w:right w:val="none" w:sz="0" w:space="0" w:color="auto"/>
      </w:divBdr>
    </w:div>
    <w:div w:id="358434999">
      <w:bodyDiv w:val="1"/>
      <w:marLeft w:val="0"/>
      <w:marRight w:val="0"/>
      <w:marTop w:val="0"/>
      <w:marBottom w:val="0"/>
      <w:divBdr>
        <w:top w:val="none" w:sz="0" w:space="0" w:color="auto"/>
        <w:left w:val="none" w:sz="0" w:space="0" w:color="auto"/>
        <w:bottom w:val="none" w:sz="0" w:space="0" w:color="auto"/>
        <w:right w:val="none" w:sz="0" w:space="0" w:color="auto"/>
      </w:divBdr>
    </w:div>
    <w:div w:id="361051231">
      <w:bodyDiv w:val="1"/>
      <w:marLeft w:val="0"/>
      <w:marRight w:val="0"/>
      <w:marTop w:val="0"/>
      <w:marBottom w:val="0"/>
      <w:divBdr>
        <w:top w:val="none" w:sz="0" w:space="0" w:color="auto"/>
        <w:left w:val="none" w:sz="0" w:space="0" w:color="auto"/>
        <w:bottom w:val="none" w:sz="0" w:space="0" w:color="auto"/>
        <w:right w:val="none" w:sz="0" w:space="0" w:color="auto"/>
      </w:divBdr>
    </w:div>
    <w:div w:id="374961887">
      <w:bodyDiv w:val="1"/>
      <w:marLeft w:val="0"/>
      <w:marRight w:val="0"/>
      <w:marTop w:val="0"/>
      <w:marBottom w:val="0"/>
      <w:divBdr>
        <w:top w:val="none" w:sz="0" w:space="0" w:color="auto"/>
        <w:left w:val="none" w:sz="0" w:space="0" w:color="auto"/>
        <w:bottom w:val="none" w:sz="0" w:space="0" w:color="auto"/>
        <w:right w:val="none" w:sz="0" w:space="0" w:color="auto"/>
      </w:divBdr>
    </w:div>
    <w:div w:id="394622062">
      <w:bodyDiv w:val="1"/>
      <w:marLeft w:val="0"/>
      <w:marRight w:val="0"/>
      <w:marTop w:val="0"/>
      <w:marBottom w:val="0"/>
      <w:divBdr>
        <w:top w:val="none" w:sz="0" w:space="0" w:color="auto"/>
        <w:left w:val="none" w:sz="0" w:space="0" w:color="auto"/>
        <w:bottom w:val="none" w:sz="0" w:space="0" w:color="auto"/>
        <w:right w:val="none" w:sz="0" w:space="0" w:color="auto"/>
      </w:divBdr>
    </w:div>
    <w:div w:id="419177195">
      <w:bodyDiv w:val="1"/>
      <w:marLeft w:val="0"/>
      <w:marRight w:val="0"/>
      <w:marTop w:val="0"/>
      <w:marBottom w:val="0"/>
      <w:divBdr>
        <w:top w:val="none" w:sz="0" w:space="0" w:color="auto"/>
        <w:left w:val="none" w:sz="0" w:space="0" w:color="auto"/>
        <w:bottom w:val="none" w:sz="0" w:space="0" w:color="auto"/>
        <w:right w:val="none" w:sz="0" w:space="0" w:color="auto"/>
      </w:divBdr>
    </w:div>
    <w:div w:id="421148465">
      <w:bodyDiv w:val="1"/>
      <w:marLeft w:val="0"/>
      <w:marRight w:val="0"/>
      <w:marTop w:val="0"/>
      <w:marBottom w:val="0"/>
      <w:divBdr>
        <w:top w:val="none" w:sz="0" w:space="0" w:color="auto"/>
        <w:left w:val="none" w:sz="0" w:space="0" w:color="auto"/>
        <w:bottom w:val="none" w:sz="0" w:space="0" w:color="auto"/>
        <w:right w:val="none" w:sz="0" w:space="0" w:color="auto"/>
      </w:divBdr>
    </w:div>
    <w:div w:id="431899130">
      <w:bodyDiv w:val="1"/>
      <w:marLeft w:val="0"/>
      <w:marRight w:val="0"/>
      <w:marTop w:val="0"/>
      <w:marBottom w:val="0"/>
      <w:divBdr>
        <w:top w:val="none" w:sz="0" w:space="0" w:color="auto"/>
        <w:left w:val="none" w:sz="0" w:space="0" w:color="auto"/>
        <w:bottom w:val="none" w:sz="0" w:space="0" w:color="auto"/>
        <w:right w:val="none" w:sz="0" w:space="0" w:color="auto"/>
      </w:divBdr>
    </w:div>
    <w:div w:id="434176199">
      <w:bodyDiv w:val="1"/>
      <w:marLeft w:val="0"/>
      <w:marRight w:val="0"/>
      <w:marTop w:val="0"/>
      <w:marBottom w:val="0"/>
      <w:divBdr>
        <w:top w:val="none" w:sz="0" w:space="0" w:color="auto"/>
        <w:left w:val="none" w:sz="0" w:space="0" w:color="auto"/>
        <w:bottom w:val="none" w:sz="0" w:space="0" w:color="auto"/>
        <w:right w:val="none" w:sz="0" w:space="0" w:color="auto"/>
      </w:divBdr>
    </w:div>
    <w:div w:id="466357922">
      <w:bodyDiv w:val="1"/>
      <w:marLeft w:val="0"/>
      <w:marRight w:val="0"/>
      <w:marTop w:val="0"/>
      <w:marBottom w:val="0"/>
      <w:divBdr>
        <w:top w:val="none" w:sz="0" w:space="0" w:color="auto"/>
        <w:left w:val="none" w:sz="0" w:space="0" w:color="auto"/>
        <w:bottom w:val="none" w:sz="0" w:space="0" w:color="auto"/>
        <w:right w:val="none" w:sz="0" w:space="0" w:color="auto"/>
      </w:divBdr>
    </w:div>
    <w:div w:id="478889151">
      <w:bodyDiv w:val="1"/>
      <w:marLeft w:val="0"/>
      <w:marRight w:val="0"/>
      <w:marTop w:val="0"/>
      <w:marBottom w:val="0"/>
      <w:divBdr>
        <w:top w:val="none" w:sz="0" w:space="0" w:color="auto"/>
        <w:left w:val="none" w:sz="0" w:space="0" w:color="auto"/>
        <w:bottom w:val="none" w:sz="0" w:space="0" w:color="auto"/>
        <w:right w:val="none" w:sz="0" w:space="0" w:color="auto"/>
      </w:divBdr>
    </w:div>
    <w:div w:id="493762508">
      <w:bodyDiv w:val="1"/>
      <w:marLeft w:val="0"/>
      <w:marRight w:val="0"/>
      <w:marTop w:val="0"/>
      <w:marBottom w:val="0"/>
      <w:divBdr>
        <w:top w:val="none" w:sz="0" w:space="0" w:color="auto"/>
        <w:left w:val="none" w:sz="0" w:space="0" w:color="auto"/>
        <w:bottom w:val="none" w:sz="0" w:space="0" w:color="auto"/>
        <w:right w:val="none" w:sz="0" w:space="0" w:color="auto"/>
      </w:divBdr>
    </w:div>
    <w:div w:id="494147590">
      <w:bodyDiv w:val="1"/>
      <w:marLeft w:val="0"/>
      <w:marRight w:val="0"/>
      <w:marTop w:val="0"/>
      <w:marBottom w:val="0"/>
      <w:divBdr>
        <w:top w:val="none" w:sz="0" w:space="0" w:color="auto"/>
        <w:left w:val="none" w:sz="0" w:space="0" w:color="auto"/>
        <w:bottom w:val="none" w:sz="0" w:space="0" w:color="auto"/>
        <w:right w:val="none" w:sz="0" w:space="0" w:color="auto"/>
      </w:divBdr>
    </w:div>
    <w:div w:id="506213588">
      <w:bodyDiv w:val="1"/>
      <w:marLeft w:val="0"/>
      <w:marRight w:val="0"/>
      <w:marTop w:val="0"/>
      <w:marBottom w:val="0"/>
      <w:divBdr>
        <w:top w:val="none" w:sz="0" w:space="0" w:color="auto"/>
        <w:left w:val="none" w:sz="0" w:space="0" w:color="auto"/>
        <w:bottom w:val="none" w:sz="0" w:space="0" w:color="auto"/>
        <w:right w:val="none" w:sz="0" w:space="0" w:color="auto"/>
      </w:divBdr>
    </w:div>
    <w:div w:id="535239436">
      <w:bodyDiv w:val="1"/>
      <w:marLeft w:val="0"/>
      <w:marRight w:val="0"/>
      <w:marTop w:val="0"/>
      <w:marBottom w:val="0"/>
      <w:divBdr>
        <w:top w:val="none" w:sz="0" w:space="0" w:color="auto"/>
        <w:left w:val="none" w:sz="0" w:space="0" w:color="auto"/>
        <w:bottom w:val="none" w:sz="0" w:space="0" w:color="auto"/>
        <w:right w:val="none" w:sz="0" w:space="0" w:color="auto"/>
      </w:divBdr>
    </w:div>
    <w:div w:id="553932304">
      <w:bodyDiv w:val="1"/>
      <w:marLeft w:val="0"/>
      <w:marRight w:val="0"/>
      <w:marTop w:val="0"/>
      <w:marBottom w:val="0"/>
      <w:divBdr>
        <w:top w:val="none" w:sz="0" w:space="0" w:color="auto"/>
        <w:left w:val="none" w:sz="0" w:space="0" w:color="auto"/>
        <w:bottom w:val="none" w:sz="0" w:space="0" w:color="auto"/>
        <w:right w:val="none" w:sz="0" w:space="0" w:color="auto"/>
      </w:divBdr>
    </w:div>
    <w:div w:id="564029874">
      <w:bodyDiv w:val="1"/>
      <w:marLeft w:val="0"/>
      <w:marRight w:val="0"/>
      <w:marTop w:val="0"/>
      <w:marBottom w:val="0"/>
      <w:divBdr>
        <w:top w:val="none" w:sz="0" w:space="0" w:color="auto"/>
        <w:left w:val="none" w:sz="0" w:space="0" w:color="auto"/>
        <w:bottom w:val="none" w:sz="0" w:space="0" w:color="auto"/>
        <w:right w:val="none" w:sz="0" w:space="0" w:color="auto"/>
      </w:divBdr>
    </w:div>
    <w:div w:id="568808858">
      <w:bodyDiv w:val="1"/>
      <w:marLeft w:val="0"/>
      <w:marRight w:val="0"/>
      <w:marTop w:val="0"/>
      <w:marBottom w:val="0"/>
      <w:divBdr>
        <w:top w:val="none" w:sz="0" w:space="0" w:color="auto"/>
        <w:left w:val="none" w:sz="0" w:space="0" w:color="auto"/>
        <w:bottom w:val="none" w:sz="0" w:space="0" w:color="auto"/>
        <w:right w:val="none" w:sz="0" w:space="0" w:color="auto"/>
      </w:divBdr>
    </w:div>
    <w:div w:id="574095911">
      <w:bodyDiv w:val="1"/>
      <w:marLeft w:val="0"/>
      <w:marRight w:val="0"/>
      <w:marTop w:val="0"/>
      <w:marBottom w:val="0"/>
      <w:divBdr>
        <w:top w:val="none" w:sz="0" w:space="0" w:color="auto"/>
        <w:left w:val="none" w:sz="0" w:space="0" w:color="auto"/>
        <w:bottom w:val="none" w:sz="0" w:space="0" w:color="auto"/>
        <w:right w:val="none" w:sz="0" w:space="0" w:color="auto"/>
      </w:divBdr>
    </w:div>
    <w:div w:id="587542222">
      <w:bodyDiv w:val="1"/>
      <w:marLeft w:val="0"/>
      <w:marRight w:val="0"/>
      <w:marTop w:val="0"/>
      <w:marBottom w:val="0"/>
      <w:divBdr>
        <w:top w:val="none" w:sz="0" w:space="0" w:color="auto"/>
        <w:left w:val="none" w:sz="0" w:space="0" w:color="auto"/>
        <w:bottom w:val="none" w:sz="0" w:space="0" w:color="auto"/>
        <w:right w:val="none" w:sz="0" w:space="0" w:color="auto"/>
      </w:divBdr>
    </w:div>
    <w:div w:id="591358869">
      <w:bodyDiv w:val="1"/>
      <w:marLeft w:val="0"/>
      <w:marRight w:val="0"/>
      <w:marTop w:val="0"/>
      <w:marBottom w:val="0"/>
      <w:divBdr>
        <w:top w:val="none" w:sz="0" w:space="0" w:color="auto"/>
        <w:left w:val="none" w:sz="0" w:space="0" w:color="auto"/>
        <w:bottom w:val="none" w:sz="0" w:space="0" w:color="auto"/>
        <w:right w:val="none" w:sz="0" w:space="0" w:color="auto"/>
      </w:divBdr>
    </w:div>
    <w:div w:id="613483600">
      <w:bodyDiv w:val="1"/>
      <w:marLeft w:val="0"/>
      <w:marRight w:val="0"/>
      <w:marTop w:val="0"/>
      <w:marBottom w:val="0"/>
      <w:divBdr>
        <w:top w:val="none" w:sz="0" w:space="0" w:color="auto"/>
        <w:left w:val="none" w:sz="0" w:space="0" w:color="auto"/>
        <w:bottom w:val="none" w:sz="0" w:space="0" w:color="auto"/>
        <w:right w:val="none" w:sz="0" w:space="0" w:color="auto"/>
      </w:divBdr>
    </w:div>
    <w:div w:id="621767089">
      <w:bodyDiv w:val="1"/>
      <w:marLeft w:val="0"/>
      <w:marRight w:val="0"/>
      <w:marTop w:val="0"/>
      <w:marBottom w:val="0"/>
      <w:divBdr>
        <w:top w:val="none" w:sz="0" w:space="0" w:color="auto"/>
        <w:left w:val="none" w:sz="0" w:space="0" w:color="auto"/>
        <w:bottom w:val="none" w:sz="0" w:space="0" w:color="auto"/>
        <w:right w:val="none" w:sz="0" w:space="0" w:color="auto"/>
      </w:divBdr>
    </w:div>
    <w:div w:id="630021661">
      <w:bodyDiv w:val="1"/>
      <w:marLeft w:val="0"/>
      <w:marRight w:val="0"/>
      <w:marTop w:val="0"/>
      <w:marBottom w:val="0"/>
      <w:divBdr>
        <w:top w:val="none" w:sz="0" w:space="0" w:color="auto"/>
        <w:left w:val="none" w:sz="0" w:space="0" w:color="auto"/>
        <w:bottom w:val="none" w:sz="0" w:space="0" w:color="auto"/>
        <w:right w:val="none" w:sz="0" w:space="0" w:color="auto"/>
      </w:divBdr>
    </w:div>
    <w:div w:id="640965024">
      <w:bodyDiv w:val="1"/>
      <w:marLeft w:val="0"/>
      <w:marRight w:val="0"/>
      <w:marTop w:val="0"/>
      <w:marBottom w:val="0"/>
      <w:divBdr>
        <w:top w:val="none" w:sz="0" w:space="0" w:color="auto"/>
        <w:left w:val="none" w:sz="0" w:space="0" w:color="auto"/>
        <w:bottom w:val="none" w:sz="0" w:space="0" w:color="auto"/>
        <w:right w:val="none" w:sz="0" w:space="0" w:color="auto"/>
      </w:divBdr>
    </w:div>
    <w:div w:id="674580048">
      <w:bodyDiv w:val="1"/>
      <w:marLeft w:val="0"/>
      <w:marRight w:val="0"/>
      <w:marTop w:val="0"/>
      <w:marBottom w:val="0"/>
      <w:divBdr>
        <w:top w:val="none" w:sz="0" w:space="0" w:color="auto"/>
        <w:left w:val="none" w:sz="0" w:space="0" w:color="auto"/>
        <w:bottom w:val="none" w:sz="0" w:space="0" w:color="auto"/>
        <w:right w:val="none" w:sz="0" w:space="0" w:color="auto"/>
      </w:divBdr>
    </w:div>
    <w:div w:id="675812475">
      <w:bodyDiv w:val="1"/>
      <w:marLeft w:val="0"/>
      <w:marRight w:val="0"/>
      <w:marTop w:val="0"/>
      <w:marBottom w:val="0"/>
      <w:divBdr>
        <w:top w:val="none" w:sz="0" w:space="0" w:color="auto"/>
        <w:left w:val="none" w:sz="0" w:space="0" w:color="auto"/>
        <w:bottom w:val="none" w:sz="0" w:space="0" w:color="auto"/>
        <w:right w:val="none" w:sz="0" w:space="0" w:color="auto"/>
      </w:divBdr>
    </w:div>
    <w:div w:id="679698236">
      <w:bodyDiv w:val="1"/>
      <w:marLeft w:val="0"/>
      <w:marRight w:val="0"/>
      <w:marTop w:val="0"/>
      <w:marBottom w:val="0"/>
      <w:divBdr>
        <w:top w:val="none" w:sz="0" w:space="0" w:color="auto"/>
        <w:left w:val="none" w:sz="0" w:space="0" w:color="auto"/>
        <w:bottom w:val="none" w:sz="0" w:space="0" w:color="auto"/>
        <w:right w:val="none" w:sz="0" w:space="0" w:color="auto"/>
      </w:divBdr>
    </w:div>
    <w:div w:id="699361022">
      <w:bodyDiv w:val="1"/>
      <w:marLeft w:val="0"/>
      <w:marRight w:val="0"/>
      <w:marTop w:val="0"/>
      <w:marBottom w:val="0"/>
      <w:divBdr>
        <w:top w:val="none" w:sz="0" w:space="0" w:color="auto"/>
        <w:left w:val="none" w:sz="0" w:space="0" w:color="auto"/>
        <w:bottom w:val="none" w:sz="0" w:space="0" w:color="auto"/>
        <w:right w:val="none" w:sz="0" w:space="0" w:color="auto"/>
      </w:divBdr>
    </w:div>
    <w:div w:id="710885650">
      <w:bodyDiv w:val="1"/>
      <w:marLeft w:val="0"/>
      <w:marRight w:val="0"/>
      <w:marTop w:val="0"/>
      <w:marBottom w:val="0"/>
      <w:divBdr>
        <w:top w:val="none" w:sz="0" w:space="0" w:color="auto"/>
        <w:left w:val="none" w:sz="0" w:space="0" w:color="auto"/>
        <w:bottom w:val="none" w:sz="0" w:space="0" w:color="auto"/>
        <w:right w:val="none" w:sz="0" w:space="0" w:color="auto"/>
      </w:divBdr>
    </w:div>
    <w:div w:id="710961256">
      <w:bodyDiv w:val="1"/>
      <w:marLeft w:val="0"/>
      <w:marRight w:val="0"/>
      <w:marTop w:val="0"/>
      <w:marBottom w:val="0"/>
      <w:divBdr>
        <w:top w:val="none" w:sz="0" w:space="0" w:color="auto"/>
        <w:left w:val="none" w:sz="0" w:space="0" w:color="auto"/>
        <w:bottom w:val="none" w:sz="0" w:space="0" w:color="auto"/>
        <w:right w:val="none" w:sz="0" w:space="0" w:color="auto"/>
      </w:divBdr>
    </w:div>
    <w:div w:id="724455167">
      <w:bodyDiv w:val="1"/>
      <w:marLeft w:val="0"/>
      <w:marRight w:val="0"/>
      <w:marTop w:val="0"/>
      <w:marBottom w:val="0"/>
      <w:divBdr>
        <w:top w:val="none" w:sz="0" w:space="0" w:color="auto"/>
        <w:left w:val="none" w:sz="0" w:space="0" w:color="auto"/>
        <w:bottom w:val="none" w:sz="0" w:space="0" w:color="auto"/>
        <w:right w:val="none" w:sz="0" w:space="0" w:color="auto"/>
      </w:divBdr>
    </w:div>
    <w:div w:id="735858103">
      <w:bodyDiv w:val="1"/>
      <w:marLeft w:val="0"/>
      <w:marRight w:val="0"/>
      <w:marTop w:val="0"/>
      <w:marBottom w:val="0"/>
      <w:divBdr>
        <w:top w:val="none" w:sz="0" w:space="0" w:color="auto"/>
        <w:left w:val="none" w:sz="0" w:space="0" w:color="auto"/>
        <w:bottom w:val="none" w:sz="0" w:space="0" w:color="auto"/>
        <w:right w:val="none" w:sz="0" w:space="0" w:color="auto"/>
      </w:divBdr>
    </w:div>
    <w:div w:id="741607298">
      <w:bodyDiv w:val="1"/>
      <w:marLeft w:val="0"/>
      <w:marRight w:val="0"/>
      <w:marTop w:val="0"/>
      <w:marBottom w:val="0"/>
      <w:divBdr>
        <w:top w:val="none" w:sz="0" w:space="0" w:color="auto"/>
        <w:left w:val="none" w:sz="0" w:space="0" w:color="auto"/>
        <w:bottom w:val="none" w:sz="0" w:space="0" w:color="auto"/>
        <w:right w:val="none" w:sz="0" w:space="0" w:color="auto"/>
      </w:divBdr>
    </w:div>
    <w:div w:id="753404161">
      <w:bodyDiv w:val="1"/>
      <w:marLeft w:val="0"/>
      <w:marRight w:val="0"/>
      <w:marTop w:val="0"/>
      <w:marBottom w:val="0"/>
      <w:divBdr>
        <w:top w:val="none" w:sz="0" w:space="0" w:color="auto"/>
        <w:left w:val="none" w:sz="0" w:space="0" w:color="auto"/>
        <w:bottom w:val="none" w:sz="0" w:space="0" w:color="auto"/>
        <w:right w:val="none" w:sz="0" w:space="0" w:color="auto"/>
      </w:divBdr>
    </w:div>
    <w:div w:id="755857259">
      <w:bodyDiv w:val="1"/>
      <w:marLeft w:val="0"/>
      <w:marRight w:val="0"/>
      <w:marTop w:val="0"/>
      <w:marBottom w:val="0"/>
      <w:divBdr>
        <w:top w:val="none" w:sz="0" w:space="0" w:color="auto"/>
        <w:left w:val="none" w:sz="0" w:space="0" w:color="auto"/>
        <w:bottom w:val="none" w:sz="0" w:space="0" w:color="auto"/>
        <w:right w:val="none" w:sz="0" w:space="0" w:color="auto"/>
      </w:divBdr>
    </w:div>
    <w:div w:id="772289763">
      <w:bodyDiv w:val="1"/>
      <w:marLeft w:val="0"/>
      <w:marRight w:val="0"/>
      <w:marTop w:val="0"/>
      <w:marBottom w:val="0"/>
      <w:divBdr>
        <w:top w:val="none" w:sz="0" w:space="0" w:color="auto"/>
        <w:left w:val="none" w:sz="0" w:space="0" w:color="auto"/>
        <w:bottom w:val="none" w:sz="0" w:space="0" w:color="auto"/>
        <w:right w:val="none" w:sz="0" w:space="0" w:color="auto"/>
      </w:divBdr>
    </w:div>
    <w:div w:id="785974420">
      <w:bodyDiv w:val="1"/>
      <w:marLeft w:val="0"/>
      <w:marRight w:val="0"/>
      <w:marTop w:val="0"/>
      <w:marBottom w:val="0"/>
      <w:divBdr>
        <w:top w:val="none" w:sz="0" w:space="0" w:color="auto"/>
        <w:left w:val="none" w:sz="0" w:space="0" w:color="auto"/>
        <w:bottom w:val="none" w:sz="0" w:space="0" w:color="auto"/>
        <w:right w:val="none" w:sz="0" w:space="0" w:color="auto"/>
      </w:divBdr>
    </w:div>
    <w:div w:id="786042464">
      <w:bodyDiv w:val="1"/>
      <w:marLeft w:val="0"/>
      <w:marRight w:val="0"/>
      <w:marTop w:val="0"/>
      <w:marBottom w:val="0"/>
      <w:divBdr>
        <w:top w:val="none" w:sz="0" w:space="0" w:color="auto"/>
        <w:left w:val="none" w:sz="0" w:space="0" w:color="auto"/>
        <w:bottom w:val="none" w:sz="0" w:space="0" w:color="auto"/>
        <w:right w:val="none" w:sz="0" w:space="0" w:color="auto"/>
      </w:divBdr>
    </w:div>
    <w:div w:id="793792505">
      <w:bodyDiv w:val="1"/>
      <w:marLeft w:val="0"/>
      <w:marRight w:val="0"/>
      <w:marTop w:val="0"/>
      <w:marBottom w:val="0"/>
      <w:divBdr>
        <w:top w:val="none" w:sz="0" w:space="0" w:color="auto"/>
        <w:left w:val="none" w:sz="0" w:space="0" w:color="auto"/>
        <w:bottom w:val="none" w:sz="0" w:space="0" w:color="auto"/>
        <w:right w:val="none" w:sz="0" w:space="0" w:color="auto"/>
      </w:divBdr>
    </w:div>
    <w:div w:id="800616469">
      <w:bodyDiv w:val="1"/>
      <w:marLeft w:val="0"/>
      <w:marRight w:val="0"/>
      <w:marTop w:val="0"/>
      <w:marBottom w:val="0"/>
      <w:divBdr>
        <w:top w:val="none" w:sz="0" w:space="0" w:color="auto"/>
        <w:left w:val="none" w:sz="0" w:space="0" w:color="auto"/>
        <w:bottom w:val="none" w:sz="0" w:space="0" w:color="auto"/>
        <w:right w:val="none" w:sz="0" w:space="0" w:color="auto"/>
      </w:divBdr>
    </w:div>
    <w:div w:id="839658822">
      <w:bodyDiv w:val="1"/>
      <w:marLeft w:val="0"/>
      <w:marRight w:val="0"/>
      <w:marTop w:val="0"/>
      <w:marBottom w:val="0"/>
      <w:divBdr>
        <w:top w:val="none" w:sz="0" w:space="0" w:color="auto"/>
        <w:left w:val="none" w:sz="0" w:space="0" w:color="auto"/>
        <w:bottom w:val="none" w:sz="0" w:space="0" w:color="auto"/>
        <w:right w:val="none" w:sz="0" w:space="0" w:color="auto"/>
      </w:divBdr>
    </w:div>
    <w:div w:id="858659768">
      <w:bodyDiv w:val="1"/>
      <w:marLeft w:val="0"/>
      <w:marRight w:val="0"/>
      <w:marTop w:val="0"/>
      <w:marBottom w:val="0"/>
      <w:divBdr>
        <w:top w:val="none" w:sz="0" w:space="0" w:color="auto"/>
        <w:left w:val="none" w:sz="0" w:space="0" w:color="auto"/>
        <w:bottom w:val="none" w:sz="0" w:space="0" w:color="auto"/>
        <w:right w:val="none" w:sz="0" w:space="0" w:color="auto"/>
      </w:divBdr>
    </w:div>
    <w:div w:id="865288756">
      <w:bodyDiv w:val="1"/>
      <w:marLeft w:val="0"/>
      <w:marRight w:val="0"/>
      <w:marTop w:val="0"/>
      <w:marBottom w:val="0"/>
      <w:divBdr>
        <w:top w:val="none" w:sz="0" w:space="0" w:color="auto"/>
        <w:left w:val="none" w:sz="0" w:space="0" w:color="auto"/>
        <w:bottom w:val="none" w:sz="0" w:space="0" w:color="auto"/>
        <w:right w:val="none" w:sz="0" w:space="0" w:color="auto"/>
      </w:divBdr>
    </w:div>
    <w:div w:id="895045956">
      <w:bodyDiv w:val="1"/>
      <w:marLeft w:val="0"/>
      <w:marRight w:val="0"/>
      <w:marTop w:val="0"/>
      <w:marBottom w:val="0"/>
      <w:divBdr>
        <w:top w:val="none" w:sz="0" w:space="0" w:color="auto"/>
        <w:left w:val="none" w:sz="0" w:space="0" w:color="auto"/>
        <w:bottom w:val="none" w:sz="0" w:space="0" w:color="auto"/>
        <w:right w:val="none" w:sz="0" w:space="0" w:color="auto"/>
      </w:divBdr>
    </w:div>
    <w:div w:id="915018198">
      <w:bodyDiv w:val="1"/>
      <w:marLeft w:val="0"/>
      <w:marRight w:val="0"/>
      <w:marTop w:val="0"/>
      <w:marBottom w:val="0"/>
      <w:divBdr>
        <w:top w:val="none" w:sz="0" w:space="0" w:color="auto"/>
        <w:left w:val="none" w:sz="0" w:space="0" w:color="auto"/>
        <w:bottom w:val="none" w:sz="0" w:space="0" w:color="auto"/>
        <w:right w:val="none" w:sz="0" w:space="0" w:color="auto"/>
      </w:divBdr>
    </w:div>
    <w:div w:id="919370554">
      <w:bodyDiv w:val="1"/>
      <w:marLeft w:val="0"/>
      <w:marRight w:val="0"/>
      <w:marTop w:val="0"/>
      <w:marBottom w:val="0"/>
      <w:divBdr>
        <w:top w:val="none" w:sz="0" w:space="0" w:color="auto"/>
        <w:left w:val="none" w:sz="0" w:space="0" w:color="auto"/>
        <w:bottom w:val="none" w:sz="0" w:space="0" w:color="auto"/>
        <w:right w:val="none" w:sz="0" w:space="0" w:color="auto"/>
      </w:divBdr>
    </w:div>
    <w:div w:id="942997848">
      <w:bodyDiv w:val="1"/>
      <w:marLeft w:val="0"/>
      <w:marRight w:val="0"/>
      <w:marTop w:val="0"/>
      <w:marBottom w:val="0"/>
      <w:divBdr>
        <w:top w:val="none" w:sz="0" w:space="0" w:color="auto"/>
        <w:left w:val="none" w:sz="0" w:space="0" w:color="auto"/>
        <w:bottom w:val="none" w:sz="0" w:space="0" w:color="auto"/>
        <w:right w:val="none" w:sz="0" w:space="0" w:color="auto"/>
      </w:divBdr>
    </w:div>
    <w:div w:id="945574031">
      <w:bodyDiv w:val="1"/>
      <w:marLeft w:val="0"/>
      <w:marRight w:val="0"/>
      <w:marTop w:val="0"/>
      <w:marBottom w:val="0"/>
      <w:divBdr>
        <w:top w:val="none" w:sz="0" w:space="0" w:color="auto"/>
        <w:left w:val="none" w:sz="0" w:space="0" w:color="auto"/>
        <w:bottom w:val="none" w:sz="0" w:space="0" w:color="auto"/>
        <w:right w:val="none" w:sz="0" w:space="0" w:color="auto"/>
      </w:divBdr>
    </w:div>
    <w:div w:id="955721382">
      <w:bodyDiv w:val="1"/>
      <w:marLeft w:val="0"/>
      <w:marRight w:val="0"/>
      <w:marTop w:val="0"/>
      <w:marBottom w:val="0"/>
      <w:divBdr>
        <w:top w:val="none" w:sz="0" w:space="0" w:color="auto"/>
        <w:left w:val="none" w:sz="0" w:space="0" w:color="auto"/>
        <w:bottom w:val="none" w:sz="0" w:space="0" w:color="auto"/>
        <w:right w:val="none" w:sz="0" w:space="0" w:color="auto"/>
      </w:divBdr>
    </w:div>
    <w:div w:id="967511201">
      <w:bodyDiv w:val="1"/>
      <w:marLeft w:val="0"/>
      <w:marRight w:val="0"/>
      <w:marTop w:val="0"/>
      <w:marBottom w:val="0"/>
      <w:divBdr>
        <w:top w:val="none" w:sz="0" w:space="0" w:color="auto"/>
        <w:left w:val="none" w:sz="0" w:space="0" w:color="auto"/>
        <w:bottom w:val="none" w:sz="0" w:space="0" w:color="auto"/>
        <w:right w:val="none" w:sz="0" w:space="0" w:color="auto"/>
      </w:divBdr>
    </w:div>
    <w:div w:id="972909507">
      <w:bodyDiv w:val="1"/>
      <w:marLeft w:val="0"/>
      <w:marRight w:val="0"/>
      <w:marTop w:val="0"/>
      <w:marBottom w:val="0"/>
      <w:divBdr>
        <w:top w:val="none" w:sz="0" w:space="0" w:color="auto"/>
        <w:left w:val="none" w:sz="0" w:space="0" w:color="auto"/>
        <w:bottom w:val="none" w:sz="0" w:space="0" w:color="auto"/>
        <w:right w:val="none" w:sz="0" w:space="0" w:color="auto"/>
      </w:divBdr>
    </w:div>
    <w:div w:id="985937842">
      <w:bodyDiv w:val="1"/>
      <w:marLeft w:val="0"/>
      <w:marRight w:val="0"/>
      <w:marTop w:val="0"/>
      <w:marBottom w:val="0"/>
      <w:divBdr>
        <w:top w:val="none" w:sz="0" w:space="0" w:color="auto"/>
        <w:left w:val="none" w:sz="0" w:space="0" w:color="auto"/>
        <w:bottom w:val="none" w:sz="0" w:space="0" w:color="auto"/>
        <w:right w:val="none" w:sz="0" w:space="0" w:color="auto"/>
      </w:divBdr>
    </w:div>
    <w:div w:id="1013188597">
      <w:bodyDiv w:val="1"/>
      <w:marLeft w:val="0"/>
      <w:marRight w:val="0"/>
      <w:marTop w:val="0"/>
      <w:marBottom w:val="0"/>
      <w:divBdr>
        <w:top w:val="none" w:sz="0" w:space="0" w:color="auto"/>
        <w:left w:val="none" w:sz="0" w:space="0" w:color="auto"/>
        <w:bottom w:val="none" w:sz="0" w:space="0" w:color="auto"/>
        <w:right w:val="none" w:sz="0" w:space="0" w:color="auto"/>
      </w:divBdr>
    </w:div>
    <w:div w:id="1017777359">
      <w:bodyDiv w:val="1"/>
      <w:marLeft w:val="0"/>
      <w:marRight w:val="0"/>
      <w:marTop w:val="0"/>
      <w:marBottom w:val="0"/>
      <w:divBdr>
        <w:top w:val="none" w:sz="0" w:space="0" w:color="auto"/>
        <w:left w:val="none" w:sz="0" w:space="0" w:color="auto"/>
        <w:bottom w:val="none" w:sz="0" w:space="0" w:color="auto"/>
        <w:right w:val="none" w:sz="0" w:space="0" w:color="auto"/>
      </w:divBdr>
    </w:div>
    <w:div w:id="1027025013">
      <w:bodyDiv w:val="1"/>
      <w:marLeft w:val="0"/>
      <w:marRight w:val="0"/>
      <w:marTop w:val="0"/>
      <w:marBottom w:val="0"/>
      <w:divBdr>
        <w:top w:val="none" w:sz="0" w:space="0" w:color="auto"/>
        <w:left w:val="none" w:sz="0" w:space="0" w:color="auto"/>
        <w:bottom w:val="none" w:sz="0" w:space="0" w:color="auto"/>
        <w:right w:val="none" w:sz="0" w:space="0" w:color="auto"/>
      </w:divBdr>
    </w:div>
    <w:div w:id="1058476481">
      <w:bodyDiv w:val="1"/>
      <w:marLeft w:val="0"/>
      <w:marRight w:val="0"/>
      <w:marTop w:val="0"/>
      <w:marBottom w:val="0"/>
      <w:divBdr>
        <w:top w:val="none" w:sz="0" w:space="0" w:color="auto"/>
        <w:left w:val="none" w:sz="0" w:space="0" w:color="auto"/>
        <w:bottom w:val="none" w:sz="0" w:space="0" w:color="auto"/>
        <w:right w:val="none" w:sz="0" w:space="0" w:color="auto"/>
      </w:divBdr>
    </w:div>
    <w:div w:id="1061246840">
      <w:bodyDiv w:val="1"/>
      <w:marLeft w:val="0"/>
      <w:marRight w:val="0"/>
      <w:marTop w:val="0"/>
      <w:marBottom w:val="0"/>
      <w:divBdr>
        <w:top w:val="none" w:sz="0" w:space="0" w:color="auto"/>
        <w:left w:val="none" w:sz="0" w:space="0" w:color="auto"/>
        <w:bottom w:val="none" w:sz="0" w:space="0" w:color="auto"/>
        <w:right w:val="none" w:sz="0" w:space="0" w:color="auto"/>
      </w:divBdr>
    </w:div>
    <w:div w:id="1062174209">
      <w:bodyDiv w:val="1"/>
      <w:marLeft w:val="0"/>
      <w:marRight w:val="0"/>
      <w:marTop w:val="0"/>
      <w:marBottom w:val="0"/>
      <w:divBdr>
        <w:top w:val="none" w:sz="0" w:space="0" w:color="auto"/>
        <w:left w:val="none" w:sz="0" w:space="0" w:color="auto"/>
        <w:bottom w:val="none" w:sz="0" w:space="0" w:color="auto"/>
        <w:right w:val="none" w:sz="0" w:space="0" w:color="auto"/>
      </w:divBdr>
    </w:div>
    <w:div w:id="1083070791">
      <w:bodyDiv w:val="1"/>
      <w:marLeft w:val="0"/>
      <w:marRight w:val="0"/>
      <w:marTop w:val="0"/>
      <w:marBottom w:val="0"/>
      <w:divBdr>
        <w:top w:val="none" w:sz="0" w:space="0" w:color="auto"/>
        <w:left w:val="none" w:sz="0" w:space="0" w:color="auto"/>
        <w:bottom w:val="none" w:sz="0" w:space="0" w:color="auto"/>
        <w:right w:val="none" w:sz="0" w:space="0" w:color="auto"/>
      </w:divBdr>
    </w:div>
    <w:div w:id="1088305085">
      <w:bodyDiv w:val="1"/>
      <w:marLeft w:val="0"/>
      <w:marRight w:val="0"/>
      <w:marTop w:val="0"/>
      <w:marBottom w:val="0"/>
      <w:divBdr>
        <w:top w:val="none" w:sz="0" w:space="0" w:color="auto"/>
        <w:left w:val="none" w:sz="0" w:space="0" w:color="auto"/>
        <w:bottom w:val="none" w:sz="0" w:space="0" w:color="auto"/>
        <w:right w:val="none" w:sz="0" w:space="0" w:color="auto"/>
      </w:divBdr>
    </w:div>
    <w:div w:id="1093091312">
      <w:bodyDiv w:val="1"/>
      <w:marLeft w:val="0"/>
      <w:marRight w:val="0"/>
      <w:marTop w:val="0"/>
      <w:marBottom w:val="0"/>
      <w:divBdr>
        <w:top w:val="none" w:sz="0" w:space="0" w:color="auto"/>
        <w:left w:val="none" w:sz="0" w:space="0" w:color="auto"/>
        <w:bottom w:val="none" w:sz="0" w:space="0" w:color="auto"/>
        <w:right w:val="none" w:sz="0" w:space="0" w:color="auto"/>
      </w:divBdr>
    </w:div>
    <w:div w:id="1093626937">
      <w:bodyDiv w:val="1"/>
      <w:marLeft w:val="0"/>
      <w:marRight w:val="0"/>
      <w:marTop w:val="0"/>
      <w:marBottom w:val="0"/>
      <w:divBdr>
        <w:top w:val="none" w:sz="0" w:space="0" w:color="auto"/>
        <w:left w:val="none" w:sz="0" w:space="0" w:color="auto"/>
        <w:bottom w:val="none" w:sz="0" w:space="0" w:color="auto"/>
        <w:right w:val="none" w:sz="0" w:space="0" w:color="auto"/>
      </w:divBdr>
    </w:div>
    <w:div w:id="1136220560">
      <w:bodyDiv w:val="1"/>
      <w:marLeft w:val="0"/>
      <w:marRight w:val="0"/>
      <w:marTop w:val="0"/>
      <w:marBottom w:val="0"/>
      <w:divBdr>
        <w:top w:val="none" w:sz="0" w:space="0" w:color="auto"/>
        <w:left w:val="none" w:sz="0" w:space="0" w:color="auto"/>
        <w:bottom w:val="none" w:sz="0" w:space="0" w:color="auto"/>
        <w:right w:val="none" w:sz="0" w:space="0" w:color="auto"/>
      </w:divBdr>
    </w:div>
    <w:div w:id="1138760517">
      <w:bodyDiv w:val="1"/>
      <w:marLeft w:val="0"/>
      <w:marRight w:val="0"/>
      <w:marTop w:val="0"/>
      <w:marBottom w:val="0"/>
      <w:divBdr>
        <w:top w:val="none" w:sz="0" w:space="0" w:color="auto"/>
        <w:left w:val="none" w:sz="0" w:space="0" w:color="auto"/>
        <w:bottom w:val="none" w:sz="0" w:space="0" w:color="auto"/>
        <w:right w:val="none" w:sz="0" w:space="0" w:color="auto"/>
      </w:divBdr>
    </w:div>
    <w:div w:id="1140463258">
      <w:bodyDiv w:val="1"/>
      <w:marLeft w:val="0"/>
      <w:marRight w:val="0"/>
      <w:marTop w:val="0"/>
      <w:marBottom w:val="0"/>
      <w:divBdr>
        <w:top w:val="none" w:sz="0" w:space="0" w:color="auto"/>
        <w:left w:val="none" w:sz="0" w:space="0" w:color="auto"/>
        <w:bottom w:val="none" w:sz="0" w:space="0" w:color="auto"/>
        <w:right w:val="none" w:sz="0" w:space="0" w:color="auto"/>
      </w:divBdr>
    </w:div>
    <w:div w:id="1157845521">
      <w:bodyDiv w:val="1"/>
      <w:marLeft w:val="0"/>
      <w:marRight w:val="0"/>
      <w:marTop w:val="0"/>
      <w:marBottom w:val="0"/>
      <w:divBdr>
        <w:top w:val="none" w:sz="0" w:space="0" w:color="auto"/>
        <w:left w:val="none" w:sz="0" w:space="0" w:color="auto"/>
        <w:bottom w:val="none" w:sz="0" w:space="0" w:color="auto"/>
        <w:right w:val="none" w:sz="0" w:space="0" w:color="auto"/>
      </w:divBdr>
    </w:div>
    <w:div w:id="1213077296">
      <w:bodyDiv w:val="1"/>
      <w:marLeft w:val="0"/>
      <w:marRight w:val="0"/>
      <w:marTop w:val="0"/>
      <w:marBottom w:val="0"/>
      <w:divBdr>
        <w:top w:val="none" w:sz="0" w:space="0" w:color="auto"/>
        <w:left w:val="none" w:sz="0" w:space="0" w:color="auto"/>
        <w:bottom w:val="none" w:sz="0" w:space="0" w:color="auto"/>
        <w:right w:val="none" w:sz="0" w:space="0" w:color="auto"/>
      </w:divBdr>
    </w:div>
    <w:div w:id="1225751185">
      <w:bodyDiv w:val="1"/>
      <w:marLeft w:val="0"/>
      <w:marRight w:val="0"/>
      <w:marTop w:val="0"/>
      <w:marBottom w:val="0"/>
      <w:divBdr>
        <w:top w:val="none" w:sz="0" w:space="0" w:color="auto"/>
        <w:left w:val="none" w:sz="0" w:space="0" w:color="auto"/>
        <w:bottom w:val="none" w:sz="0" w:space="0" w:color="auto"/>
        <w:right w:val="none" w:sz="0" w:space="0" w:color="auto"/>
      </w:divBdr>
    </w:div>
    <w:div w:id="1246455621">
      <w:bodyDiv w:val="1"/>
      <w:marLeft w:val="0"/>
      <w:marRight w:val="0"/>
      <w:marTop w:val="0"/>
      <w:marBottom w:val="0"/>
      <w:divBdr>
        <w:top w:val="none" w:sz="0" w:space="0" w:color="auto"/>
        <w:left w:val="none" w:sz="0" w:space="0" w:color="auto"/>
        <w:bottom w:val="none" w:sz="0" w:space="0" w:color="auto"/>
        <w:right w:val="none" w:sz="0" w:space="0" w:color="auto"/>
      </w:divBdr>
    </w:div>
    <w:div w:id="1247495368">
      <w:bodyDiv w:val="1"/>
      <w:marLeft w:val="0"/>
      <w:marRight w:val="0"/>
      <w:marTop w:val="0"/>
      <w:marBottom w:val="0"/>
      <w:divBdr>
        <w:top w:val="none" w:sz="0" w:space="0" w:color="auto"/>
        <w:left w:val="none" w:sz="0" w:space="0" w:color="auto"/>
        <w:bottom w:val="none" w:sz="0" w:space="0" w:color="auto"/>
        <w:right w:val="none" w:sz="0" w:space="0" w:color="auto"/>
      </w:divBdr>
    </w:div>
    <w:div w:id="1248347834">
      <w:bodyDiv w:val="1"/>
      <w:marLeft w:val="0"/>
      <w:marRight w:val="0"/>
      <w:marTop w:val="0"/>
      <w:marBottom w:val="0"/>
      <w:divBdr>
        <w:top w:val="none" w:sz="0" w:space="0" w:color="auto"/>
        <w:left w:val="none" w:sz="0" w:space="0" w:color="auto"/>
        <w:bottom w:val="none" w:sz="0" w:space="0" w:color="auto"/>
        <w:right w:val="none" w:sz="0" w:space="0" w:color="auto"/>
      </w:divBdr>
    </w:div>
    <w:div w:id="1276792014">
      <w:bodyDiv w:val="1"/>
      <w:marLeft w:val="0"/>
      <w:marRight w:val="0"/>
      <w:marTop w:val="0"/>
      <w:marBottom w:val="0"/>
      <w:divBdr>
        <w:top w:val="none" w:sz="0" w:space="0" w:color="auto"/>
        <w:left w:val="none" w:sz="0" w:space="0" w:color="auto"/>
        <w:bottom w:val="none" w:sz="0" w:space="0" w:color="auto"/>
        <w:right w:val="none" w:sz="0" w:space="0" w:color="auto"/>
      </w:divBdr>
    </w:div>
    <w:div w:id="1355963643">
      <w:bodyDiv w:val="1"/>
      <w:marLeft w:val="0"/>
      <w:marRight w:val="0"/>
      <w:marTop w:val="0"/>
      <w:marBottom w:val="0"/>
      <w:divBdr>
        <w:top w:val="none" w:sz="0" w:space="0" w:color="auto"/>
        <w:left w:val="none" w:sz="0" w:space="0" w:color="auto"/>
        <w:bottom w:val="none" w:sz="0" w:space="0" w:color="auto"/>
        <w:right w:val="none" w:sz="0" w:space="0" w:color="auto"/>
      </w:divBdr>
    </w:div>
    <w:div w:id="1357197561">
      <w:bodyDiv w:val="1"/>
      <w:marLeft w:val="0"/>
      <w:marRight w:val="0"/>
      <w:marTop w:val="0"/>
      <w:marBottom w:val="0"/>
      <w:divBdr>
        <w:top w:val="none" w:sz="0" w:space="0" w:color="auto"/>
        <w:left w:val="none" w:sz="0" w:space="0" w:color="auto"/>
        <w:bottom w:val="none" w:sz="0" w:space="0" w:color="auto"/>
        <w:right w:val="none" w:sz="0" w:space="0" w:color="auto"/>
      </w:divBdr>
    </w:div>
    <w:div w:id="1358921195">
      <w:bodyDiv w:val="1"/>
      <w:marLeft w:val="0"/>
      <w:marRight w:val="0"/>
      <w:marTop w:val="0"/>
      <w:marBottom w:val="0"/>
      <w:divBdr>
        <w:top w:val="none" w:sz="0" w:space="0" w:color="auto"/>
        <w:left w:val="none" w:sz="0" w:space="0" w:color="auto"/>
        <w:bottom w:val="none" w:sz="0" w:space="0" w:color="auto"/>
        <w:right w:val="none" w:sz="0" w:space="0" w:color="auto"/>
      </w:divBdr>
    </w:div>
    <w:div w:id="1381978989">
      <w:bodyDiv w:val="1"/>
      <w:marLeft w:val="0"/>
      <w:marRight w:val="0"/>
      <w:marTop w:val="0"/>
      <w:marBottom w:val="0"/>
      <w:divBdr>
        <w:top w:val="none" w:sz="0" w:space="0" w:color="auto"/>
        <w:left w:val="none" w:sz="0" w:space="0" w:color="auto"/>
        <w:bottom w:val="none" w:sz="0" w:space="0" w:color="auto"/>
        <w:right w:val="none" w:sz="0" w:space="0" w:color="auto"/>
      </w:divBdr>
    </w:div>
    <w:div w:id="1382940684">
      <w:bodyDiv w:val="1"/>
      <w:marLeft w:val="0"/>
      <w:marRight w:val="0"/>
      <w:marTop w:val="0"/>
      <w:marBottom w:val="0"/>
      <w:divBdr>
        <w:top w:val="none" w:sz="0" w:space="0" w:color="auto"/>
        <w:left w:val="none" w:sz="0" w:space="0" w:color="auto"/>
        <w:bottom w:val="none" w:sz="0" w:space="0" w:color="auto"/>
        <w:right w:val="none" w:sz="0" w:space="0" w:color="auto"/>
      </w:divBdr>
    </w:div>
    <w:div w:id="1393500324">
      <w:bodyDiv w:val="1"/>
      <w:marLeft w:val="0"/>
      <w:marRight w:val="0"/>
      <w:marTop w:val="0"/>
      <w:marBottom w:val="0"/>
      <w:divBdr>
        <w:top w:val="none" w:sz="0" w:space="0" w:color="auto"/>
        <w:left w:val="none" w:sz="0" w:space="0" w:color="auto"/>
        <w:bottom w:val="none" w:sz="0" w:space="0" w:color="auto"/>
        <w:right w:val="none" w:sz="0" w:space="0" w:color="auto"/>
      </w:divBdr>
    </w:div>
    <w:div w:id="1450393071">
      <w:bodyDiv w:val="1"/>
      <w:marLeft w:val="0"/>
      <w:marRight w:val="0"/>
      <w:marTop w:val="0"/>
      <w:marBottom w:val="0"/>
      <w:divBdr>
        <w:top w:val="none" w:sz="0" w:space="0" w:color="auto"/>
        <w:left w:val="none" w:sz="0" w:space="0" w:color="auto"/>
        <w:bottom w:val="none" w:sz="0" w:space="0" w:color="auto"/>
        <w:right w:val="none" w:sz="0" w:space="0" w:color="auto"/>
      </w:divBdr>
    </w:div>
    <w:div w:id="1497113295">
      <w:bodyDiv w:val="1"/>
      <w:marLeft w:val="0"/>
      <w:marRight w:val="0"/>
      <w:marTop w:val="0"/>
      <w:marBottom w:val="0"/>
      <w:divBdr>
        <w:top w:val="none" w:sz="0" w:space="0" w:color="auto"/>
        <w:left w:val="none" w:sz="0" w:space="0" w:color="auto"/>
        <w:bottom w:val="none" w:sz="0" w:space="0" w:color="auto"/>
        <w:right w:val="none" w:sz="0" w:space="0" w:color="auto"/>
      </w:divBdr>
    </w:div>
    <w:div w:id="1571114358">
      <w:bodyDiv w:val="1"/>
      <w:marLeft w:val="0"/>
      <w:marRight w:val="0"/>
      <w:marTop w:val="0"/>
      <w:marBottom w:val="0"/>
      <w:divBdr>
        <w:top w:val="none" w:sz="0" w:space="0" w:color="auto"/>
        <w:left w:val="none" w:sz="0" w:space="0" w:color="auto"/>
        <w:bottom w:val="none" w:sz="0" w:space="0" w:color="auto"/>
        <w:right w:val="none" w:sz="0" w:space="0" w:color="auto"/>
      </w:divBdr>
    </w:div>
    <w:div w:id="1571185973">
      <w:bodyDiv w:val="1"/>
      <w:marLeft w:val="0"/>
      <w:marRight w:val="0"/>
      <w:marTop w:val="0"/>
      <w:marBottom w:val="0"/>
      <w:divBdr>
        <w:top w:val="none" w:sz="0" w:space="0" w:color="auto"/>
        <w:left w:val="none" w:sz="0" w:space="0" w:color="auto"/>
        <w:bottom w:val="none" w:sz="0" w:space="0" w:color="auto"/>
        <w:right w:val="none" w:sz="0" w:space="0" w:color="auto"/>
      </w:divBdr>
    </w:div>
    <w:div w:id="1572152768">
      <w:bodyDiv w:val="1"/>
      <w:marLeft w:val="0"/>
      <w:marRight w:val="0"/>
      <w:marTop w:val="0"/>
      <w:marBottom w:val="0"/>
      <w:divBdr>
        <w:top w:val="none" w:sz="0" w:space="0" w:color="auto"/>
        <w:left w:val="none" w:sz="0" w:space="0" w:color="auto"/>
        <w:bottom w:val="none" w:sz="0" w:space="0" w:color="auto"/>
        <w:right w:val="none" w:sz="0" w:space="0" w:color="auto"/>
      </w:divBdr>
    </w:div>
    <w:div w:id="1595702407">
      <w:bodyDiv w:val="1"/>
      <w:marLeft w:val="0"/>
      <w:marRight w:val="0"/>
      <w:marTop w:val="0"/>
      <w:marBottom w:val="0"/>
      <w:divBdr>
        <w:top w:val="none" w:sz="0" w:space="0" w:color="auto"/>
        <w:left w:val="none" w:sz="0" w:space="0" w:color="auto"/>
        <w:bottom w:val="none" w:sz="0" w:space="0" w:color="auto"/>
        <w:right w:val="none" w:sz="0" w:space="0" w:color="auto"/>
      </w:divBdr>
    </w:div>
    <w:div w:id="1602178130">
      <w:bodyDiv w:val="1"/>
      <w:marLeft w:val="0"/>
      <w:marRight w:val="0"/>
      <w:marTop w:val="0"/>
      <w:marBottom w:val="0"/>
      <w:divBdr>
        <w:top w:val="none" w:sz="0" w:space="0" w:color="auto"/>
        <w:left w:val="none" w:sz="0" w:space="0" w:color="auto"/>
        <w:bottom w:val="none" w:sz="0" w:space="0" w:color="auto"/>
        <w:right w:val="none" w:sz="0" w:space="0" w:color="auto"/>
      </w:divBdr>
    </w:div>
    <w:div w:id="1612779182">
      <w:bodyDiv w:val="1"/>
      <w:marLeft w:val="0"/>
      <w:marRight w:val="0"/>
      <w:marTop w:val="0"/>
      <w:marBottom w:val="0"/>
      <w:divBdr>
        <w:top w:val="none" w:sz="0" w:space="0" w:color="auto"/>
        <w:left w:val="none" w:sz="0" w:space="0" w:color="auto"/>
        <w:bottom w:val="none" w:sz="0" w:space="0" w:color="auto"/>
        <w:right w:val="none" w:sz="0" w:space="0" w:color="auto"/>
      </w:divBdr>
    </w:div>
    <w:div w:id="1622762727">
      <w:bodyDiv w:val="1"/>
      <w:marLeft w:val="0"/>
      <w:marRight w:val="0"/>
      <w:marTop w:val="0"/>
      <w:marBottom w:val="0"/>
      <w:divBdr>
        <w:top w:val="none" w:sz="0" w:space="0" w:color="auto"/>
        <w:left w:val="none" w:sz="0" w:space="0" w:color="auto"/>
        <w:bottom w:val="none" w:sz="0" w:space="0" w:color="auto"/>
        <w:right w:val="none" w:sz="0" w:space="0" w:color="auto"/>
      </w:divBdr>
    </w:div>
    <w:div w:id="1638681438">
      <w:bodyDiv w:val="1"/>
      <w:marLeft w:val="0"/>
      <w:marRight w:val="0"/>
      <w:marTop w:val="0"/>
      <w:marBottom w:val="0"/>
      <w:divBdr>
        <w:top w:val="none" w:sz="0" w:space="0" w:color="auto"/>
        <w:left w:val="none" w:sz="0" w:space="0" w:color="auto"/>
        <w:bottom w:val="none" w:sz="0" w:space="0" w:color="auto"/>
        <w:right w:val="none" w:sz="0" w:space="0" w:color="auto"/>
      </w:divBdr>
    </w:div>
    <w:div w:id="1647977180">
      <w:bodyDiv w:val="1"/>
      <w:marLeft w:val="0"/>
      <w:marRight w:val="0"/>
      <w:marTop w:val="0"/>
      <w:marBottom w:val="0"/>
      <w:divBdr>
        <w:top w:val="none" w:sz="0" w:space="0" w:color="auto"/>
        <w:left w:val="none" w:sz="0" w:space="0" w:color="auto"/>
        <w:bottom w:val="none" w:sz="0" w:space="0" w:color="auto"/>
        <w:right w:val="none" w:sz="0" w:space="0" w:color="auto"/>
      </w:divBdr>
    </w:div>
    <w:div w:id="1658412609">
      <w:bodyDiv w:val="1"/>
      <w:marLeft w:val="0"/>
      <w:marRight w:val="0"/>
      <w:marTop w:val="0"/>
      <w:marBottom w:val="0"/>
      <w:divBdr>
        <w:top w:val="none" w:sz="0" w:space="0" w:color="auto"/>
        <w:left w:val="none" w:sz="0" w:space="0" w:color="auto"/>
        <w:bottom w:val="none" w:sz="0" w:space="0" w:color="auto"/>
        <w:right w:val="none" w:sz="0" w:space="0" w:color="auto"/>
      </w:divBdr>
    </w:div>
    <w:div w:id="1673020383">
      <w:bodyDiv w:val="1"/>
      <w:marLeft w:val="0"/>
      <w:marRight w:val="0"/>
      <w:marTop w:val="0"/>
      <w:marBottom w:val="0"/>
      <w:divBdr>
        <w:top w:val="none" w:sz="0" w:space="0" w:color="auto"/>
        <w:left w:val="none" w:sz="0" w:space="0" w:color="auto"/>
        <w:bottom w:val="none" w:sz="0" w:space="0" w:color="auto"/>
        <w:right w:val="none" w:sz="0" w:space="0" w:color="auto"/>
      </w:divBdr>
    </w:div>
    <w:div w:id="1683627380">
      <w:bodyDiv w:val="1"/>
      <w:marLeft w:val="0"/>
      <w:marRight w:val="0"/>
      <w:marTop w:val="0"/>
      <w:marBottom w:val="0"/>
      <w:divBdr>
        <w:top w:val="none" w:sz="0" w:space="0" w:color="auto"/>
        <w:left w:val="none" w:sz="0" w:space="0" w:color="auto"/>
        <w:bottom w:val="none" w:sz="0" w:space="0" w:color="auto"/>
        <w:right w:val="none" w:sz="0" w:space="0" w:color="auto"/>
      </w:divBdr>
    </w:div>
    <w:div w:id="1689020077">
      <w:bodyDiv w:val="1"/>
      <w:marLeft w:val="0"/>
      <w:marRight w:val="0"/>
      <w:marTop w:val="0"/>
      <w:marBottom w:val="0"/>
      <w:divBdr>
        <w:top w:val="none" w:sz="0" w:space="0" w:color="auto"/>
        <w:left w:val="none" w:sz="0" w:space="0" w:color="auto"/>
        <w:bottom w:val="none" w:sz="0" w:space="0" w:color="auto"/>
        <w:right w:val="none" w:sz="0" w:space="0" w:color="auto"/>
      </w:divBdr>
    </w:div>
    <w:div w:id="1708289813">
      <w:bodyDiv w:val="1"/>
      <w:marLeft w:val="0"/>
      <w:marRight w:val="0"/>
      <w:marTop w:val="0"/>
      <w:marBottom w:val="0"/>
      <w:divBdr>
        <w:top w:val="none" w:sz="0" w:space="0" w:color="auto"/>
        <w:left w:val="none" w:sz="0" w:space="0" w:color="auto"/>
        <w:bottom w:val="none" w:sz="0" w:space="0" w:color="auto"/>
        <w:right w:val="none" w:sz="0" w:space="0" w:color="auto"/>
      </w:divBdr>
    </w:div>
    <w:div w:id="1728143438">
      <w:bodyDiv w:val="1"/>
      <w:marLeft w:val="0"/>
      <w:marRight w:val="0"/>
      <w:marTop w:val="0"/>
      <w:marBottom w:val="0"/>
      <w:divBdr>
        <w:top w:val="none" w:sz="0" w:space="0" w:color="auto"/>
        <w:left w:val="none" w:sz="0" w:space="0" w:color="auto"/>
        <w:bottom w:val="none" w:sz="0" w:space="0" w:color="auto"/>
        <w:right w:val="none" w:sz="0" w:space="0" w:color="auto"/>
      </w:divBdr>
    </w:div>
    <w:div w:id="1738891321">
      <w:bodyDiv w:val="1"/>
      <w:marLeft w:val="0"/>
      <w:marRight w:val="0"/>
      <w:marTop w:val="0"/>
      <w:marBottom w:val="0"/>
      <w:divBdr>
        <w:top w:val="none" w:sz="0" w:space="0" w:color="auto"/>
        <w:left w:val="none" w:sz="0" w:space="0" w:color="auto"/>
        <w:bottom w:val="none" w:sz="0" w:space="0" w:color="auto"/>
        <w:right w:val="none" w:sz="0" w:space="0" w:color="auto"/>
      </w:divBdr>
    </w:div>
    <w:div w:id="1750032073">
      <w:bodyDiv w:val="1"/>
      <w:marLeft w:val="0"/>
      <w:marRight w:val="0"/>
      <w:marTop w:val="0"/>
      <w:marBottom w:val="0"/>
      <w:divBdr>
        <w:top w:val="none" w:sz="0" w:space="0" w:color="auto"/>
        <w:left w:val="none" w:sz="0" w:space="0" w:color="auto"/>
        <w:bottom w:val="none" w:sz="0" w:space="0" w:color="auto"/>
        <w:right w:val="none" w:sz="0" w:space="0" w:color="auto"/>
      </w:divBdr>
    </w:div>
    <w:div w:id="1766149118">
      <w:bodyDiv w:val="1"/>
      <w:marLeft w:val="0"/>
      <w:marRight w:val="0"/>
      <w:marTop w:val="0"/>
      <w:marBottom w:val="0"/>
      <w:divBdr>
        <w:top w:val="none" w:sz="0" w:space="0" w:color="auto"/>
        <w:left w:val="none" w:sz="0" w:space="0" w:color="auto"/>
        <w:bottom w:val="none" w:sz="0" w:space="0" w:color="auto"/>
        <w:right w:val="none" w:sz="0" w:space="0" w:color="auto"/>
      </w:divBdr>
    </w:div>
    <w:div w:id="1787264124">
      <w:bodyDiv w:val="1"/>
      <w:marLeft w:val="0"/>
      <w:marRight w:val="0"/>
      <w:marTop w:val="0"/>
      <w:marBottom w:val="0"/>
      <w:divBdr>
        <w:top w:val="none" w:sz="0" w:space="0" w:color="auto"/>
        <w:left w:val="none" w:sz="0" w:space="0" w:color="auto"/>
        <w:bottom w:val="none" w:sz="0" w:space="0" w:color="auto"/>
        <w:right w:val="none" w:sz="0" w:space="0" w:color="auto"/>
      </w:divBdr>
    </w:div>
    <w:div w:id="1826703126">
      <w:bodyDiv w:val="1"/>
      <w:marLeft w:val="0"/>
      <w:marRight w:val="0"/>
      <w:marTop w:val="0"/>
      <w:marBottom w:val="0"/>
      <w:divBdr>
        <w:top w:val="none" w:sz="0" w:space="0" w:color="auto"/>
        <w:left w:val="none" w:sz="0" w:space="0" w:color="auto"/>
        <w:bottom w:val="none" w:sz="0" w:space="0" w:color="auto"/>
        <w:right w:val="none" w:sz="0" w:space="0" w:color="auto"/>
      </w:divBdr>
    </w:div>
    <w:div w:id="1841119345">
      <w:bodyDiv w:val="1"/>
      <w:marLeft w:val="0"/>
      <w:marRight w:val="0"/>
      <w:marTop w:val="0"/>
      <w:marBottom w:val="0"/>
      <w:divBdr>
        <w:top w:val="none" w:sz="0" w:space="0" w:color="auto"/>
        <w:left w:val="none" w:sz="0" w:space="0" w:color="auto"/>
        <w:bottom w:val="none" w:sz="0" w:space="0" w:color="auto"/>
        <w:right w:val="none" w:sz="0" w:space="0" w:color="auto"/>
      </w:divBdr>
    </w:div>
    <w:div w:id="1852723348">
      <w:bodyDiv w:val="1"/>
      <w:marLeft w:val="0"/>
      <w:marRight w:val="0"/>
      <w:marTop w:val="0"/>
      <w:marBottom w:val="0"/>
      <w:divBdr>
        <w:top w:val="none" w:sz="0" w:space="0" w:color="auto"/>
        <w:left w:val="none" w:sz="0" w:space="0" w:color="auto"/>
        <w:bottom w:val="none" w:sz="0" w:space="0" w:color="auto"/>
        <w:right w:val="none" w:sz="0" w:space="0" w:color="auto"/>
      </w:divBdr>
    </w:div>
    <w:div w:id="1871843051">
      <w:bodyDiv w:val="1"/>
      <w:marLeft w:val="0"/>
      <w:marRight w:val="0"/>
      <w:marTop w:val="0"/>
      <w:marBottom w:val="0"/>
      <w:divBdr>
        <w:top w:val="none" w:sz="0" w:space="0" w:color="auto"/>
        <w:left w:val="none" w:sz="0" w:space="0" w:color="auto"/>
        <w:bottom w:val="none" w:sz="0" w:space="0" w:color="auto"/>
        <w:right w:val="none" w:sz="0" w:space="0" w:color="auto"/>
      </w:divBdr>
    </w:div>
    <w:div w:id="1876305596">
      <w:bodyDiv w:val="1"/>
      <w:marLeft w:val="0"/>
      <w:marRight w:val="0"/>
      <w:marTop w:val="0"/>
      <w:marBottom w:val="0"/>
      <w:divBdr>
        <w:top w:val="none" w:sz="0" w:space="0" w:color="auto"/>
        <w:left w:val="none" w:sz="0" w:space="0" w:color="auto"/>
        <w:bottom w:val="none" w:sz="0" w:space="0" w:color="auto"/>
        <w:right w:val="none" w:sz="0" w:space="0" w:color="auto"/>
      </w:divBdr>
    </w:div>
    <w:div w:id="1877427468">
      <w:bodyDiv w:val="1"/>
      <w:marLeft w:val="0"/>
      <w:marRight w:val="0"/>
      <w:marTop w:val="0"/>
      <w:marBottom w:val="0"/>
      <w:divBdr>
        <w:top w:val="none" w:sz="0" w:space="0" w:color="auto"/>
        <w:left w:val="none" w:sz="0" w:space="0" w:color="auto"/>
        <w:bottom w:val="none" w:sz="0" w:space="0" w:color="auto"/>
        <w:right w:val="none" w:sz="0" w:space="0" w:color="auto"/>
      </w:divBdr>
    </w:div>
    <w:div w:id="1885750271">
      <w:bodyDiv w:val="1"/>
      <w:marLeft w:val="0"/>
      <w:marRight w:val="0"/>
      <w:marTop w:val="0"/>
      <w:marBottom w:val="0"/>
      <w:divBdr>
        <w:top w:val="none" w:sz="0" w:space="0" w:color="auto"/>
        <w:left w:val="none" w:sz="0" w:space="0" w:color="auto"/>
        <w:bottom w:val="none" w:sz="0" w:space="0" w:color="auto"/>
        <w:right w:val="none" w:sz="0" w:space="0" w:color="auto"/>
      </w:divBdr>
    </w:div>
    <w:div w:id="1892107598">
      <w:bodyDiv w:val="1"/>
      <w:marLeft w:val="0"/>
      <w:marRight w:val="0"/>
      <w:marTop w:val="0"/>
      <w:marBottom w:val="0"/>
      <w:divBdr>
        <w:top w:val="none" w:sz="0" w:space="0" w:color="auto"/>
        <w:left w:val="none" w:sz="0" w:space="0" w:color="auto"/>
        <w:bottom w:val="none" w:sz="0" w:space="0" w:color="auto"/>
        <w:right w:val="none" w:sz="0" w:space="0" w:color="auto"/>
      </w:divBdr>
    </w:div>
    <w:div w:id="1904411044">
      <w:bodyDiv w:val="1"/>
      <w:marLeft w:val="0"/>
      <w:marRight w:val="0"/>
      <w:marTop w:val="0"/>
      <w:marBottom w:val="0"/>
      <w:divBdr>
        <w:top w:val="none" w:sz="0" w:space="0" w:color="auto"/>
        <w:left w:val="none" w:sz="0" w:space="0" w:color="auto"/>
        <w:bottom w:val="none" w:sz="0" w:space="0" w:color="auto"/>
        <w:right w:val="none" w:sz="0" w:space="0" w:color="auto"/>
      </w:divBdr>
    </w:div>
    <w:div w:id="1905332368">
      <w:bodyDiv w:val="1"/>
      <w:marLeft w:val="0"/>
      <w:marRight w:val="0"/>
      <w:marTop w:val="0"/>
      <w:marBottom w:val="0"/>
      <w:divBdr>
        <w:top w:val="none" w:sz="0" w:space="0" w:color="auto"/>
        <w:left w:val="none" w:sz="0" w:space="0" w:color="auto"/>
        <w:bottom w:val="none" w:sz="0" w:space="0" w:color="auto"/>
        <w:right w:val="none" w:sz="0" w:space="0" w:color="auto"/>
      </w:divBdr>
    </w:div>
    <w:div w:id="1909266222">
      <w:bodyDiv w:val="1"/>
      <w:marLeft w:val="0"/>
      <w:marRight w:val="0"/>
      <w:marTop w:val="0"/>
      <w:marBottom w:val="0"/>
      <w:divBdr>
        <w:top w:val="none" w:sz="0" w:space="0" w:color="auto"/>
        <w:left w:val="none" w:sz="0" w:space="0" w:color="auto"/>
        <w:bottom w:val="none" w:sz="0" w:space="0" w:color="auto"/>
        <w:right w:val="none" w:sz="0" w:space="0" w:color="auto"/>
      </w:divBdr>
    </w:div>
    <w:div w:id="1940062957">
      <w:bodyDiv w:val="1"/>
      <w:marLeft w:val="0"/>
      <w:marRight w:val="0"/>
      <w:marTop w:val="0"/>
      <w:marBottom w:val="0"/>
      <w:divBdr>
        <w:top w:val="none" w:sz="0" w:space="0" w:color="auto"/>
        <w:left w:val="none" w:sz="0" w:space="0" w:color="auto"/>
        <w:bottom w:val="none" w:sz="0" w:space="0" w:color="auto"/>
        <w:right w:val="none" w:sz="0" w:space="0" w:color="auto"/>
      </w:divBdr>
    </w:div>
    <w:div w:id="1941714169">
      <w:bodyDiv w:val="1"/>
      <w:marLeft w:val="0"/>
      <w:marRight w:val="0"/>
      <w:marTop w:val="0"/>
      <w:marBottom w:val="0"/>
      <w:divBdr>
        <w:top w:val="none" w:sz="0" w:space="0" w:color="auto"/>
        <w:left w:val="none" w:sz="0" w:space="0" w:color="auto"/>
        <w:bottom w:val="none" w:sz="0" w:space="0" w:color="auto"/>
        <w:right w:val="none" w:sz="0" w:space="0" w:color="auto"/>
      </w:divBdr>
    </w:div>
    <w:div w:id="1948737467">
      <w:bodyDiv w:val="1"/>
      <w:marLeft w:val="0"/>
      <w:marRight w:val="0"/>
      <w:marTop w:val="0"/>
      <w:marBottom w:val="0"/>
      <w:divBdr>
        <w:top w:val="none" w:sz="0" w:space="0" w:color="auto"/>
        <w:left w:val="none" w:sz="0" w:space="0" w:color="auto"/>
        <w:bottom w:val="none" w:sz="0" w:space="0" w:color="auto"/>
        <w:right w:val="none" w:sz="0" w:space="0" w:color="auto"/>
      </w:divBdr>
    </w:div>
    <w:div w:id="1956255005">
      <w:bodyDiv w:val="1"/>
      <w:marLeft w:val="0"/>
      <w:marRight w:val="0"/>
      <w:marTop w:val="0"/>
      <w:marBottom w:val="0"/>
      <w:divBdr>
        <w:top w:val="none" w:sz="0" w:space="0" w:color="auto"/>
        <w:left w:val="none" w:sz="0" w:space="0" w:color="auto"/>
        <w:bottom w:val="none" w:sz="0" w:space="0" w:color="auto"/>
        <w:right w:val="none" w:sz="0" w:space="0" w:color="auto"/>
      </w:divBdr>
    </w:div>
    <w:div w:id="1972437730">
      <w:bodyDiv w:val="1"/>
      <w:marLeft w:val="0"/>
      <w:marRight w:val="0"/>
      <w:marTop w:val="0"/>
      <w:marBottom w:val="0"/>
      <w:divBdr>
        <w:top w:val="none" w:sz="0" w:space="0" w:color="auto"/>
        <w:left w:val="none" w:sz="0" w:space="0" w:color="auto"/>
        <w:bottom w:val="none" w:sz="0" w:space="0" w:color="auto"/>
        <w:right w:val="none" w:sz="0" w:space="0" w:color="auto"/>
      </w:divBdr>
    </w:div>
    <w:div w:id="1975019606">
      <w:bodyDiv w:val="1"/>
      <w:marLeft w:val="0"/>
      <w:marRight w:val="0"/>
      <w:marTop w:val="0"/>
      <w:marBottom w:val="0"/>
      <w:divBdr>
        <w:top w:val="none" w:sz="0" w:space="0" w:color="auto"/>
        <w:left w:val="none" w:sz="0" w:space="0" w:color="auto"/>
        <w:bottom w:val="none" w:sz="0" w:space="0" w:color="auto"/>
        <w:right w:val="none" w:sz="0" w:space="0" w:color="auto"/>
      </w:divBdr>
    </w:div>
    <w:div w:id="1976596264">
      <w:bodyDiv w:val="1"/>
      <w:marLeft w:val="0"/>
      <w:marRight w:val="0"/>
      <w:marTop w:val="0"/>
      <w:marBottom w:val="0"/>
      <w:divBdr>
        <w:top w:val="none" w:sz="0" w:space="0" w:color="auto"/>
        <w:left w:val="none" w:sz="0" w:space="0" w:color="auto"/>
        <w:bottom w:val="none" w:sz="0" w:space="0" w:color="auto"/>
        <w:right w:val="none" w:sz="0" w:space="0" w:color="auto"/>
      </w:divBdr>
    </w:div>
    <w:div w:id="1982927700">
      <w:bodyDiv w:val="1"/>
      <w:marLeft w:val="0"/>
      <w:marRight w:val="0"/>
      <w:marTop w:val="0"/>
      <w:marBottom w:val="0"/>
      <w:divBdr>
        <w:top w:val="none" w:sz="0" w:space="0" w:color="auto"/>
        <w:left w:val="none" w:sz="0" w:space="0" w:color="auto"/>
        <w:bottom w:val="none" w:sz="0" w:space="0" w:color="auto"/>
        <w:right w:val="none" w:sz="0" w:space="0" w:color="auto"/>
      </w:divBdr>
    </w:div>
    <w:div w:id="2008164549">
      <w:bodyDiv w:val="1"/>
      <w:marLeft w:val="0"/>
      <w:marRight w:val="0"/>
      <w:marTop w:val="0"/>
      <w:marBottom w:val="0"/>
      <w:divBdr>
        <w:top w:val="none" w:sz="0" w:space="0" w:color="auto"/>
        <w:left w:val="none" w:sz="0" w:space="0" w:color="auto"/>
        <w:bottom w:val="none" w:sz="0" w:space="0" w:color="auto"/>
        <w:right w:val="none" w:sz="0" w:space="0" w:color="auto"/>
      </w:divBdr>
    </w:div>
    <w:div w:id="2014985921">
      <w:bodyDiv w:val="1"/>
      <w:marLeft w:val="0"/>
      <w:marRight w:val="0"/>
      <w:marTop w:val="0"/>
      <w:marBottom w:val="0"/>
      <w:divBdr>
        <w:top w:val="none" w:sz="0" w:space="0" w:color="auto"/>
        <w:left w:val="none" w:sz="0" w:space="0" w:color="auto"/>
        <w:bottom w:val="none" w:sz="0" w:space="0" w:color="auto"/>
        <w:right w:val="none" w:sz="0" w:space="0" w:color="auto"/>
      </w:divBdr>
    </w:div>
    <w:div w:id="2036270250">
      <w:bodyDiv w:val="1"/>
      <w:marLeft w:val="0"/>
      <w:marRight w:val="0"/>
      <w:marTop w:val="0"/>
      <w:marBottom w:val="0"/>
      <w:divBdr>
        <w:top w:val="none" w:sz="0" w:space="0" w:color="auto"/>
        <w:left w:val="none" w:sz="0" w:space="0" w:color="auto"/>
        <w:bottom w:val="none" w:sz="0" w:space="0" w:color="auto"/>
        <w:right w:val="none" w:sz="0" w:space="0" w:color="auto"/>
      </w:divBdr>
    </w:div>
    <w:div w:id="2037540455">
      <w:bodyDiv w:val="1"/>
      <w:marLeft w:val="0"/>
      <w:marRight w:val="0"/>
      <w:marTop w:val="0"/>
      <w:marBottom w:val="0"/>
      <w:divBdr>
        <w:top w:val="none" w:sz="0" w:space="0" w:color="auto"/>
        <w:left w:val="none" w:sz="0" w:space="0" w:color="auto"/>
        <w:bottom w:val="none" w:sz="0" w:space="0" w:color="auto"/>
        <w:right w:val="none" w:sz="0" w:space="0" w:color="auto"/>
      </w:divBdr>
    </w:div>
    <w:div w:id="2041585591">
      <w:bodyDiv w:val="1"/>
      <w:marLeft w:val="0"/>
      <w:marRight w:val="0"/>
      <w:marTop w:val="0"/>
      <w:marBottom w:val="0"/>
      <w:divBdr>
        <w:top w:val="none" w:sz="0" w:space="0" w:color="auto"/>
        <w:left w:val="none" w:sz="0" w:space="0" w:color="auto"/>
        <w:bottom w:val="none" w:sz="0" w:space="0" w:color="auto"/>
        <w:right w:val="none" w:sz="0" w:space="0" w:color="auto"/>
      </w:divBdr>
    </w:div>
    <w:div w:id="2052995511">
      <w:bodyDiv w:val="1"/>
      <w:marLeft w:val="0"/>
      <w:marRight w:val="0"/>
      <w:marTop w:val="0"/>
      <w:marBottom w:val="0"/>
      <w:divBdr>
        <w:top w:val="none" w:sz="0" w:space="0" w:color="auto"/>
        <w:left w:val="none" w:sz="0" w:space="0" w:color="auto"/>
        <w:bottom w:val="none" w:sz="0" w:space="0" w:color="auto"/>
        <w:right w:val="none" w:sz="0" w:space="0" w:color="auto"/>
      </w:divBdr>
    </w:div>
    <w:div w:id="2086106785">
      <w:bodyDiv w:val="1"/>
      <w:marLeft w:val="0"/>
      <w:marRight w:val="0"/>
      <w:marTop w:val="0"/>
      <w:marBottom w:val="0"/>
      <w:divBdr>
        <w:top w:val="none" w:sz="0" w:space="0" w:color="auto"/>
        <w:left w:val="none" w:sz="0" w:space="0" w:color="auto"/>
        <w:bottom w:val="none" w:sz="0" w:space="0" w:color="auto"/>
        <w:right w:val="none" w:sz="0" w:space="0" w:color="auto"/>
      </w:divBdr>
    </w:div>
    <w:div w:id="2087873897">
      <w:bodyDiv w:val="1"/>
      <w:marLeft w:val="0"/>
      <w:marRight w:val="0"/>
      <w:marTop w:val="0"/>
      <w:marBottom w:val="0"/>
      <w:divBdr>
        <w:top w:val="none" w:sz="0" w:space="0" w:color="auto"/>
        <w:left w:val="none" w:sz="0" w:space="0" w:color="auto"/>
        <w:bottom w:val="none" w:sz="0" w:space="0" w:color="auto"/>
        <w:right w:val="none" w:sz="0" w:space="0" w:color="auto"/>
      </w:divBdr>
    </w:div>
    <w:div w:id="2103648856">
      <w:bodyDiv w:val="1"/>
      <w:marLeft w:val="0"/>
      <w:marRight w:val="0"/>
      <w:marTop w:val="0"/>
      <w:marBottom w:val="0"/>
      <w:divBdr>
        <w:top w:val="none" w:sz="0" w:space="0" w:color="auto"/>
        <w:left w:val="none" w:sz="0" w:space="0" w:color="auto"/>
        <w:bottom w:val="none" w:sz="0" w:space="0" w:color="auto"/>
        <w:right w:val="none" w:sz="0" w:space="0" w:color="auto"/>
      </w:divBdr>
    </w:div>
    <w:div w:id="2106224127">
      <w:bodyDiv w:val="1"/>
      <w:marLeft w:val="0"/>
      <w:marRight w:val="0"/>
      <w:marTop w:val="0"/>
      <w:marBottom w:val="0"/>
      <w:divBdr>
        <w:top w:val="none" w:sz="0" w:space="0" w:color="auto"/>
        <w:left w:val="none" w:sz="0" w:space="0" w:color="auto"/>
        <w:bottom w:val="none" w:sz="0" w:space="0" w:color="auto"/>
        <w:right w:val="none" w:sz="0" w:space="0" w:color="auto"/>
      </w:divBdr>
    </w:div>
    <w:div w:id="2109160041">
      <w:bodyDiv w:val="1"/>
      <w:marLeft w:val="0"/>
      <w:marRight w:val="0"/>
      <w:marTop w:val="0"/>
      <w:marBottom w:val="0"/>
      <w:divBdr>
        <w:top w:val="none" w:sz="0" w:space="0" w:color="auto"/>
        <w:left w:val="none" w:sz="0" w:space="0" w:color="auto"/>
        <w:bottom w:val="none" w:sz="0" w:space="0" w:color="auto"/>
        <w:right w:val="none" w:sz="0" w:space="0" w:color="auto"/>
      </w:divBdr>
    </w:div>
    <w:div w:id="2130659221">
      <w:bodyDiv w:val="1"/>
      <w:marLeft w:val="0"/>
      <w:marRight w:val="0"/>
      <w:marTop w:val="0"/>
      <w:marBottom w:val="0"/>
      <w:divBdr>
        <w:top w:val="none" w:sz="0" w:space="0" w:color="auto"/>
        <w:left w:val="none" w:sz="0" w:space="0" w:color="auto"/>
        <w:bottom w:val="none" w:sz="0" w:space="0" w:color="auto"/>
        <w:right w:val="none" w:sz="0" w:space="0" w:color="auto"/>
      </w:divBdr>
    </w:div>
    <w:div w:id="2132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9822-6EA6-4E5B-9150-683C250A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4</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清算审计报告</dc:title>
  <dc:creator>Celiya Zhang</dc:creator>
  <cp:lastModifiedBy>ZHONGM</cp:lastModifiedBy>
  <cp:revision>2</cp:revision>
  <cp:lastPrinted>2018-09-07T02:08:00Z</cp:lastPrinted>
  <dcterms:created xsi:type="dcterms:W3CDTF">2022-12-30T16:03:00Z</dcterms:created>
  <dcterms:modified xsi:type="dcterms:W3CDTF">2022-12-30T16:03:00Z</dcterms:modified>
</cp:coreProperties>
</file>