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2" w:rsidRDefault="0041342C">
      <w:pPr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32"/>
        </w:rPr>
        <w:t>关于西部利得基金管理有限公司旗下部分基金202</w:t>
      </w:r>
      <w:r>
        <w:rPr>
          <w:rFonts w:ascii="仿宋" w:eastAsia="仿宋" w:hAnsi="仿宋"/>
          <w:b/>
          <w:sz w:val="32"/>
        </w:rPr>
        <w:t>3</w:t>
      </w:r>
      <w:r>
        <w:rPr>
          <w:rFonts w:ascii="仿宋" w:eastAsia="仿宋" w:hAnsi="仿宋" w:hint="eastAsia"/>
          <w:b/>
          <w:sz w:val="32"/>
        </w:rPr>
        <w:t>年非港股通交易日暂停申购、赎回、转换及定期定额投资业务的公告</w:t>
      </w:r>
    </w:p>
    <w:p w:rsidR="000B2762" w:rsidRDefault="000B2762">
      <w:pPr>
        <w:rPr>
          <w:rFonts w:ascii="仿宋" w:eastAsia="仿宋" w:hAnsi="仿宋"/>
          <w:sz w:val="24"/>
        </w:rPr>
      </w:pP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西部利得基金管理有限公司（以下简称“本公司”）旗下基金的基金合同和招募说明书的有关规定，本公司旗下部分基金的开放日为上海证券交易所、深圳证券交易所及相关期货交易所的正常交易日的交易时间（若基金参与港股通交易且该工作日为非港股通交易日时，则基金有权不开放申购、赎回及转换业务，并按规定进行公告），但基金管理人根据法律法规、中国证监会的要求或本基金合同的规定公告暂停申购、赎回时除外。</w:t>
      </w:r>
    </w:p>
    <w:p w:rsidR="000B2762" w:rsidRDefault="0041342C">
      <w:pPr>
        <w:ind w:firstLineChars="200" w:firstLine="4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为保障基金平稳运作，保护持有人利益，依据《关于202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年岁末及202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年沪港通下港股通交易日安排的通知》、《关于202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年底及202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年深港通下的港股通交易日安排的通知》及相关法律文件的规定，本公司将于202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年末及202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年非港股通交易日暂停旗下部分基金办理申购、赎回、转换和定投等业务，并自该非港股通交易日的下一开放日恢复日常申购、赎回、转换和定投等业务。</w:t>
      </w:r>
      <w:r>
        <w:rPr>
          <w:rFonts w:ascii="仿宋" w:eastAsia="仿宋" w:hAnsi="仿宋" w:hint="eastAsia"/>
          <w:b/>
          <w:sz w:val="24"/>
        </w:rPr>
        <w:t>届时不再另行公告。</w:t>
      </w:r>
    </w:p>
    <w:p w:rsidR="000B2762" w:rsidRDefault="000B2762" w:rsidP="00127CF8">
      <w:pPr>
        <w:ind w:firstLineChars="200" w:firstLine="480"/>
        <w:rPr>
          <w:rFonts w:ascii="仿宋" w:eastAsia="仿宋" w:hAnsi="仿宋"/>
          <w:b/>
          <w:sz w:val="24"/>
        </w:rPr>
      </w:pPr>
    </w:p>
    <w:p w:rsidR="000B2762" w:rsidRDefault="0041342C" w:rsidP="00127CF8">
      <w:pPr>
        <w:ind w:firstLineChars="200" w:firstLine="480"/>
        <w:rPr>
          <w:rFonts w:ascii="仿宋" w:eastAsia="仿宋" w:hAnsi="仿宋"/>
          <w:b/>
          <w:sz w:val="24"/>
        </w:rPr>
        <w:pPrChange w:id="0" w:author="ZHONGM" w:date="2022-12-30T00:01:00Z">
          <w:pPr>
            <w:ind w:firstLineChars="200" w:firstLine="480"/>
          </w:pPr>
        </w:pPrChange>
      </w:pPr>
      <w:r>
        <w:rPr>
          <w:rFonts w:ascii="仿宋" w:eastAsia="仿宋" w:hAnsi="仿宋" w:hint="eastAsia"/>
          <w:b/>
          <w:sz w:val="24"/>
        </w:rPr>
        <w:t>一、适用基金范围</w:t>
      </w:r>
      <w:bookmarkStart w:id="1" w:name="_GoBack"/>
      <w:bookmarkEnd w:id="1"/>
    </w:p>
    <w:tbl>
      <w:tblPr>
        <w:tblStyle w:val="a8"/>
        <w:tblW w:w="8926" w:type="dxa"/>
        <w:tblLook w:val="04A0"/>
      </w:tblPr>
      <w:tblGrid>
        <w:gridCol w:w="704"/>
        <w:gridCol w:w="1418"/>
        <w:gridCol w:w="6804"/>
      </w:tblGrid>
      <w:tr w:rsidR="000B2762" w:rsidTr="002A27C0">
        <w:tc>
          <w:tcPr>
            <w:tcW w:w="7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基金代码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基金名称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008861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10093</w:t>
            </w:r>
          </w:p>
        </w:tc>
        <w:tc>
          <w:tcPr>
            <w:tcW w:w="68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西部利得港股通新机遇灵活配置混合型证券投资基金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012975</w:t>
            </w:r>
          </w:p>
        </w:tc>
        <w:tc>
          <w:tcPr>
            <w:tcW w:w="6804" w:type="dxa"/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12976</w:t>
            </w:r>
          </w:p>
        </w:tc>
        <w:tc>
          <w:tcPr>
            <w:tcW w:w="68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西部利得碳中和混合型发起式证券投资基金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18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671010</w:t>
            </w:r>
          </w:p>
        </w:tc>
        <w:tc>
          <w:tcPr>
            <w:tcW w:w="6804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西部利得策略优选混合型证券投资基金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11060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西部利得策略优选混合型证券投资基金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0B2762" w:rsidTr="002A27C0">
        <w:tc>
          <w:tcPr>
            <w:tcW w:w="704" w:type="dxa"/>
            <w:vAlign w:val="center"/>
          </w:tcPr>
          <w:p w:rsidR="000B2762" w:rsidRDefault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418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015412</w:t>
            </w:r>
          </w:p>
        </w:tc>
        <w:tc>
          <w:tcPr>
            <w:tcW w:w="6804" w:type="dxa"/>
          </w:tcPr>
          <w:p w:rsidR="000B2762" w:rsidRDefault="00413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西部利得数字产业混合型证券投资基金</w:t>
            </w:r>
            <w:r w:rsidR="003456AC">
              <w:rPr>
                <w:rFonts w:ascii="仿宋" w:eastAsia="仿宋" w:hAnsi="仿宋" w:hint="eastAsia"/>
                <w:sz w:val="24"/>
              </w:rPr>
              <w:t>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15413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西部利得数字产业混合型证券投资基金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456AC" w:rsidTr="002A27C0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015043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西部利得时代动力混合型发起式证券投资基金A类份额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15044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西部利得时代动力混合型发起式证券投资基金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456AC" w:rsidTr="002A27C0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15927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西部利得绿色能源混合型证券投资基金A类份额</w:t>
            </w:r>
          </w:p>
        </w:tc>
      </w:tr>
      <w:tr w:rsidR="003456AC" w:rsidTr="003456AC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15928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西部利得绿色能源混合型证券投资基金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类份额</w:t>
            </w:r>
          </w:p>
        </w:tc>
      </w:tr>
      <w:tr w:rsidR="003456AC" w:rsidTr="002A27C0">
        <w:tc>
          <w:tcPr>
            <w:tcW w:w="704" w:type="dxa"/>
            <w:vAlign w:val="center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418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14593</w:t>
            </w:r>
          </w:p>
        </w:tc>
        <w:tc>
          <w:tcPr>
            <w:tcW w:w="6804" w:type="dxa"/>
          </w:tcPr>
          <w:p w:rsidR="003456AC" w:rsidRDefault="003456AC" w:rsidP="003456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西部利得聚优一年持有期混合型证券投资基金</w:t>
            </w:r>
          </w:p>
        </w:tc>
      </w:tr>
    </w:tbl>
    <w:p w:rsidR="000B2762" w:rsidRDefault="000B2762" w:rsidP="00127CF8">
      <w:pPr>
        <w:ind w:firstLineChars="200" w:firstLine="480"/>
        <w:rPr>
          <w:rFonts w:ascii="仿宋" w:eastAsia="仿宋" w:hAnsi="仿宋"/>
          <w:b/>
          <w:sz w:val="24"/>
        </w:rPr>
      </w:pPr>
    </w:p>
    <w:p w:rsidR="000B2762" w:rsidRDefault="0041342C" w:rsidP="00127CF8">
      <w:pPr>
        <w:ind w:firstLineChars="200" w:firstLine="480"/>
        <w:rPr>
          <w:rFonts w:ascii="仿宋" w:eastAsia="仿宋" w:hAnsi="仿宋"/>
          <w:b/>
          <w:sz w:val="24"/>
        </w:rPr>
        <w:pPrChange w:id="2" w:author="ZHONGM" w:date="2022-12-30T00:01:00Z">
          <w:pPr>
            <w:ind w:firstLineChars="200" w:firstLine="480"/>
          </w:pPr>
        </w:pPrChange>
      </w:pPr>
      <w:r>
        <w:rPr>
          <w:rFonts w:ascii="仿宋" w:eastAsia="仿宋" w:hAnsi="仿宋" w:hint="eastAsia"/>
          <w:b/>
          <w:sz w:val="24"/>
        </w:rPr>
        <w:t>二、适用时间范围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年非港股通交易日提示如下：</w:t>
      </w:r>
    </w:p>
    <w:tbl>
      <w:tblPr>
        <w:tblW w:w="5018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4"/>
        <w:gridCol w:w="5282"/>
      </w:tblGrid>
      <w:tr w:rsidR="000B2762">
        <w:trPr>
          <w:jc w:val="center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D4D4D"/>
                <w:sz w:val="24"/>
              </w:rPr>
              <w:t>事项</w:t>
            </w:r>
          </w:p>
        </w:tc>
        <w:tc>
          <w:tcPr>
            <w:tcW w:w="3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D4D4D"/>
                <w:sz w:val="24"/>
              </w:rPr>
              <w:t>日期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元旦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1月1日（星期日）至2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1月2日（星期一）不提供港股通服务，2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1月3日（星期二）起照常开通港股通服务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春节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1月19日（星期四）至2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1月27日（星期五）不提供港股通服务，2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1月30日（星期一）起照常开通港股通服务。另外，2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1月28日（星期六）、2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1月29日（星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lastRenderedPageBreak/>
              <w:t>期日）为周末休市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lastRenderedPageBreak/>
              <w:t>清明节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4月5日（星期三）不提供港股通服务，2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4月6日（星期四）照常开通港股通服务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香港耶稣受难节、复活节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4月7日（星期五）至2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4月10日（星期一）不提供港股通服务，2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4月11日（星期二）起照常开通港股通服务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劳动节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4月27日（星期四）至2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5月3日（星期三）不提供港股通服务，2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5月4日（星期四）起照常开通港股通服务。另外，2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4月23日（星期日）、2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5月6日（星期六）为周末休市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香港佛诞日假期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5月26日（星期五）不提供港股通服务，2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5月29日（星期一）起照常开通港股通服务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端午节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6月20日（星期二）至2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6月24日（星期六）不提供港股通服务，2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6月26日（星期一）起照常开通港股通服务。另外，2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6月25日（星期日）为周末休市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中秋节、国庆节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9月27日（星期三）至2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10月6日（星期五）不提供港股通服务，2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10月9日（星期一）起照常开通港股通服务。另外，2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10月7日（星期六）、2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10月8日（星期日）为周末休市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香港重阳节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10月23日（星期一）不提供港股通服务，2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10月24日（星期二）起照常开通港股通服务</w:t>
            </w:r>
          </w:p>
        </w:tc>
      </w:tr>
      <w:tr w:rsidR="000B2762">
        <w:trPr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jc w:val="center"/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 w:hint="eastAsia"/>
                <w:color w:val="4D4D4D"/>
                <w:sz w:val="24"/>
              </w:rPr>
              <w:t>香港圣诞节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2762" w:rsidRDefault="0041342C">
            <w:pPr>
              <w:rPr>
                <w:rFonts w:ascii="仿宋" w:eastAsia="仿宋" w:hAnsi="仿宋" w:cs="宋体"/>
                <w:color w:val="4D4D4D"/>
                <w:sz w:val="24"/>
              </w:rPr>
            </w:pPr>
            <w:r>
              <w:rPr>
                <w:rFonts w:ascii="仿宋" w:eastAsia="仿宋" w:hAnsi="仿宋" w:cs="宋体"/>
                <w:color w:val="4D4D4D"/>
                <w:sz w:val="24"/>
              </w:rPr>
              <w:t>2023年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12月25日（星期一）至2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12月26日（星期二）不提供港股通服务，2</w:t>
            </w:r>
            <w:r>
              <w:rPr>
                <w:rFonts w:ascii="仿宋" w:eastAsia="仿宋" w:hAnsi="仿宋" w:cs="宋体"/>
                <w:color w:val="4D4D4D"/>
                <w:sz w:val="24"/>
              </w:rPr>
              <w:t>023年</w:t>
            </w:r>
            <w:r>
              <w:rPr>
                <w:rFonts w:ascii="仿宋" w:eastAsia="仿宋" w:hAnsi="仿宋" w:cs="宋体" w:hint="eastAsia"/>
                <w:color w:val="4D4D4D"/>
                <w:sz w:val="24"/>
              </w:rPr>
              <w:t>12月27日（星期三）照常开通港股通服务</w:t>
            </w:r>
          </w:p>
        </w:tc>
      </w:tr>
    </w:tbl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注：1、如遇上述基金因其他原因暂停申购、赎回、转换、定投等业务的，具体业务办理以相关公告为准。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、202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年12月28日（星期四）至12月2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日（星期五）是否提供港股通服务，将待中国证监会关于202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年节假日放假和休市安排确定后另行公告。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、敬请投资者仔细阅读基金合同、基金招募说明书（更新）、产品资料概要（更新）等法律文件，及早做好交易安排，避免因上述基金暂停申购、赎回、转换、定投等业务（如有）带来不便。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若港股通交易日安排发生变化，本基金管理人将进行相应调整并公告。若境外主要市场状况发生变化，或将来根据法律法规和基金合同的约定需要调整上述安排的，本基金管理人将另行调整并公告。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如有疑问，请拨打客户服务热线400-700-7818咨询，或登录网站www.</w:t>
      </w:r>
      <w:r>
        <w:rPr>
          <w:rFonts w:ascii="仿宋" w:eastAsia="仿宋" w:hAnsi="仿宋"/>
          <w:sz w:val="24"/>
        </w:rPr>
        <w:t>westleadfund.com</w:t>
      </w:r>
      <w:r>
        <w:rPr>
          <w:rFonts w:ascii="仿宋" w:eastAsia="仿宋" w:hAnsi="仿宋" w:hint="eastAsia"/>
          <w:sz w:val="24"/>
        </w:rPr>
        <w:t>获取相关信息。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风险提示：基金管理人承诺依照诚实信用、勤勉尽职的原则管理和运用基金资产，但不保证基金一定盈利，也不保证最低收益。基金的过往业绩及其净值高低并不预示其未来业绩表现。投资者投资基金前应认真阅读基金合同、招募说明书、产品资料概要等法律文件，了解拟投资基金的风险收益特征，并根据自身投资目的、投资期限、投资经验、资产状况等判断基金是否和投资者风险承受能力匹配。</w:t>
      </w:r>
    </w:p>
    <w:p w:rsidR="000B2762" w:rsidRDefault="0041342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特此公告。</w:t>
      </w:r>
    </w:p>
    <w:p w:rsidR="000B2762" w:rsidRDefault="000B2762">
      <w:pPr>
        <w:ind w:firstLineChars="200" w:firstLine="480"/>
        <w:rPr>
          <w:rFonts w:ascii="仿宋" w:eastAsia="仿宋" w:hAnsi="仿宋"/>
          <w:sz w:val="24"/>
        </w:rPr>
      </w:pPr>
    </w:p>
    <w:p w:rsidR="000B2762" w:rsidRDefault="000B2762">
      <w:pPr>
        <w:ind w:firstLineChars="200" w:firstLine="480"/>
        <w:rPr>
          <w:rFonts w:ascii="仿宋" w:eastAsia="仿宋" w:hAnsi="仿宋"/>
          <w:sz w:val="24"/>
        </w:rPr>
      </w:pPr>
    </w:p>
    <w:p w:rsidR="000B2762" w:rsidRDefault="0041342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西部利得基金管理有限公司</w:t>
      </w:r>
    </w:p>
    <w:p w:rsidR="000B2762" w:rsidRDefault="0041342C">
      <w:pPr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2022</w:t>
      </w:r>
      <w:r>
        <w:rPr>
          <w:rFonts w:ascii="仿宋" w:eastAsia="仿宋" w:hAnsi="仿宋" w:hint="eastAsia"/>
          <w:sz w:val="24"/>
        </w:rPr>
        <w:t>年12月</w:t>
      </w:r>
      <w:r>
        <w:rPr>
          <w:rFonts w:ascii="仿宋" w:eastAsia="仿宋" w:hAnsi="仿宋"/>
          <w:sz w:val="24"/>
        </w:rPr>
        <w:t>30</w:t>
      </w:r>
      <w:r>
        <w:rPr>
          <w:rFonts w:ascii="仿宋" w:eastAsia="仿宋" w:hAnsi="仿宋" w:hint="eastAsia"/>
          <w:sz w:val="24"/>
        </w:rPr>
        <w:t>日</w:t>
      </w:r>
    </w:p>
    <w:sectPr w:rsidR="000B2762" w:rsidSect="004C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2C" w:rsidRDefault="0041342C"/>
  </w:endnote>
  <w:endnote w:type="continuationSeparator" w:id="0">
    <w:p w:rsidR="0041342C" w:rsidRDefault="004134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2C" w:rsidRDefault="0041342C"/>
  </w:footnote>
  <w:footnote w:type="continuationSeparator" w:id="0">
    <w:p w:rsidR="0041342C" w:rsidRDefault="004134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A4D"/>
    <w:rsid w:val="0003475B"/>
    <w:rsid w:val="000B2762"/>
    <w:rsid w:val="000F1DC3"/>
    <w:rsid w:val="00127CF8"/>
    <w:rsid w:val="00160CF9"/>
    <w:rsid w:val="001935AD"/>
    <w:rsid w:val="001C0A0F"/>
    <w:rsid w:val="002A27C0"/>
    <w:rsid w:val="002E42B3"/>
    <w:rsid w:val="00302C72"/>
    <w:rsid w:val="003147A7"/>
    <w:rsid w:val="003365DF"/>
    <w:rsid w:val="003456AC"/>
    <w:rsid w:val="003D4B9B"/>
    <w:rsid w:val="003D569A"/>
    <w:rsid w:val="0041342C"/>
    <w:rsid w:val="004708D1"/>
    <w:rsid w:val="0047671B"/>
    <w:rsid w:val="004C71B9"/>
    <w:rsid w:val="00517287"/>
    <w:rsid w:val="005B2F8D"/>
    <w:rsid w:val="005E5B6F"/>
    <w:rsid w:val="00665206"/>
    <w:rsid w:val="006744CE"/>
    <w:rsid w:val="006D6FA0"/>
    <w:rsid w:val="006F4268"/>
    <w:rsid w:val="00774F3D"/>
    <w:rsid w:val="007A55A6"/>
    <w:rsid w:val="007F3BBC"/>
    <w:rsid w:val="00827135"/>
    <w:rsid w:val="00851090"/>
    <w:rsid w:val="00877F13"/>
    <w:rsid w:val="00970A4D"/>
    <w:rsid w:val="009C1032"/>
    <w:rsid w:val="00A254D3"/>
    <w:rsid w:val="00A56A7D"/>
    <w:rsid w:val="00AD7A5A"/>
    <w:rsid w:val="00B6676E"/>
    <w:rsid w:val="00BC1B64"/>
    <w:rsid w:val="00C75A73"/>
    <w:rsid w:val="00C87C40"/>
    <w:rsid w:val="00CD1789"/>
    <w:rsid w:val="00CE207B"/>
    <w:rsid w:val="00D10FCD"/>
    <w:rsid w:val="00D115AA"/>
    <w:rsid w:val="00D77EE0"/>
    <w:rsid w:val="47E8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C71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C71B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C71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7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C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4C71B9"/>
    <w:rPr>
      <w:b/>
      <w:bCs/>
    </w:rPr>
  </w:style>
  <w:style w:type="table" w:styleId="a8">
    <w:name w:val="Table Grid"/>
    <w:basedOn w:val="a1"/>
    <w:uiPriority w:val="39"/>
    <w:rsid w:val="004C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C71B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4C71B9"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C71B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C71B9"/>
  </w:style>
  <w:style w:type="character" w:customStyle="1" w:styleId="Char3">
    <w:name w:val="批注主题 Char"/>
    <w:basedOn w:val="Char"/>
    <w:link w:val="a7"/>
    <w:uiPriority w:val="99"/>
    <w:semiHidden/>
    <w:rsid w:val="004C71B9"/>
    <w:rPr>
      <w:b/>
      <w:bCs/>
    </w:rPr>
  </w:style>
  <w:style w:type="character" w:customStyle="1" w:styleId="Char2">
    <w:name w:val="页眉 Char"/>
    <w:basedOn w:val="a0"/>
    <w:link w:val="a6"/>
    <w:uiPriority w:val="99"/>
    <w:rsid w:val="004C71B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7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4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王可馨</dc:creator>
  <cp:lastModifiedBy>ZHONGM</cp:lastModifiedBy>
  <cp:revision>2</cp:revision>
  <dcterms:created xsi:type="dcterms:W3CDTF">2022-12-29T16:01:00Z</dcterms:created>
  <dcterms:modified xsi:type="dcterms:W3CDTF">2022-12-29T16:01:00Z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1A5B2539DF0C4D5BA1A879472DD10F84</vt:lpwstr>
  </property>
</Properties>
</file>