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5D" w:rsidRDefault="0068222D">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关于中银如意宝货币市场基金暂停</w:t>
      </w:r>
      <w:r w:rsidR="003B482F">
        <w:rPr>
          <w:rFonts w:asciiTheme="minorEastAsia" w:eastAsiaTheme="minorEastAsia" w:hAnsiTheme="minorEastAsia" w:cs="宋体" w:hint="eastAsia"/>
          <w:b/>
          <w:kern w:val="0"/>
          <w:sz w:val="30"/>
          <w:szCs w:val="30"/>
        </w:rPr>
        <w:t>机构投资者</w:t>
      </w:r>
      <w:r>
        <w:rPr>
          <w:rFonts w:asciiTheme="minorEastAsia" w:eastAsiaTheme="minorEastAsia" w:hAnsiTheme="minorEastAsia" w:cs="宋体" w:hint="eastAsia"/>
          <w:b/>
          <w:kern w:val="0"/>
          <w:sz w:val="30"/>
          <w:szCs w:val="30"/>
        </w:rPr>
        <w:t>大额申购、定期定额投资及转换转入业务的公告</w:t>
      </w:r>
    </w:p>
    <w:p w:rsidR="0015455D" w:rsidRDefault="0068222D">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olor w:val="000000"/>
          <w:sz w:val="24"/>
          <w:szCs w:val="24"/>
        </w:rPr>
        <w:t>公告送出日期：</w:t>
      </w:r>
      <w:r w:rsidR="00CA63C0">
        <w:rPr>
          <w:rFonts w:asciiTheme="minorEastAsia" w:eastAsiaTheme="minorEastAsia" w:hAnsiTheme="minorEastAsia" w:hint="eastAsia"/>
          <w:kern w:val="0"/>
          <w:sz w:val="24"/>
          <w:szCs w:val="24"/>
        </w:rPr>
        <w:t>20</w:t>
      </w:r>
      <w:r w:rsidR="00CA63C0">
        <w:rPr>
          <w:rFonts w:asciiTheme="minorEastAsia" w:eastAsiaTheme="minorEastAsia" w:hAnsiTheme="minorEastAsia"/>
          <w:kern w:val="0"/>
          <w:sz w:val="24"/>
          <w:szCs w:val="24"/>
        </w:rPr>
        <w:t>2</w:t>
      </w:r>
      <w:r w:rsidR="00CA63C0">
        <w:rPr>
          <w:rFonts w:asciiTheme="minorEastAsia" w:eastAsiaTheme="minorEastAsia" w:hAnsiTheme="minorEastAsia" w:hint="eastAsia"/>
          <w:kern w:val="0"/>
          <w:sz w:val="24"/>
          <w:szCs w:val="24"/>
        </w:rPr>
        <w:t>2年</w:t>
      </w:r>
      <w:r w:rsidR="00F75583">
        <w:rPr>
          <w:rFonts w:asciiTheme="minorEastAsia" w:eastAsiaTheme="minorEastAsia" w:hAnsiTheme="minorEastAsia"/>
          <w:kern w:val="0"/>
          <w:sz w:val="24"/>
          <w:szCs w:val="24"/>
        </w:rPr>
        <w:t>12</w:t>
      </w:r>
      <w:r>
        <w:rPr>
          <w:rFonts w:asciiTheme="minorEastAsia" w:eastAsiaTheme="minorEastAsia" w:hAnsiTheme="minorEastAsia" w:hint="eastAsia"/>
          <w:kern w:val="0"/>
          <w:sz w:val="24"/>
          <w:szCs w:val="24"/>
        </w:rPr>
        <w:t>月</w:t>
      </w:r>
      <w:r w:rsidR="00F75583">
        <w:rPr>
          <w:rFonts w:asciiTheme="minorEastAsia" w:eastAsiaTheme="minorEastAsia" w:hAnsiTheme="minorEastAsia"/>
          <w:kern w:val="0"/>
          <w:sz w:val="24"/>
          <w:szCs w:val="24"/>
        </w:rPr>
        <w:t>3</w:t>
      </w:r>
      <w:r w:rsidR="008563FE">
        <w:rPr>
          <w:rFonts w:asciiTheme="minorEastAsia" w:eastAsiaTheme="minorEastAsia" w:hAnsiTheme="minorEastAsia"/>
          <w:kern w:val="0"/>
          <w:sz w:val="24"/>
          <w:szCs w:val="24"/>
        </w:rPr>
        <w:t>0</w:t>
      </w:r>
      <w:r>
        <w:rPr>
          <w:rFonts w:asciiTheme="minorEastAsia" w:eastAsiaTheme="minorEastAsia" w:hAnsiTheme="minorEastAsia" w:hint="eastAsia"/>
          <w:kern w:val="0"/>
          <w:sz w:val="24"/>
          <w:szCs w:val="24"/>
        </w:rPr>
        <w:t>日</w:t>
      </w:r>
    </w:p>
    <w:p w:rsidR="0015455D" w:rsidRDefault="0068222D">
      <w:pPr>
        <w:pStyle w:val="2"/>
        <w:spacing w:line="560" w:lineRule="exact"/>
        <w:rPr>
          <w:rFonts w:asciiTheme="minorEastAsia" w:eastAsiaTheme="minorEastAsia" w:hAnsiTheme="minorEastAsia"/>
          <w:bCs w:val="0"/>
          <w:color w:val="000000"/>
          <w:sz w:val="24"/>
          <w:szCs w:val="24"/>
        </w:rPr>
      </w:pPr>
      <w:bookmarkStart w:id="0" w:name="_Toc275961405"/>
      <w:r>
        <w:rPr>
          <w:rFonts w:asciiTheme="minorEastAsia" w:eastAsiaTheme="minorEastAsia" w:hAnsiTheme="minorEastAsia"/>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7"/>
        <w:gridCol w:w="3559"/>
        <w:gridCol w:w="30"/>
        <w:gridCol w:w="3082"/>
      </w:tblGrid>
      <w:tr w:rsidR="0015455D">
        <w:trPr>
          <w:jc w:val="center"/>
        </w:trPr>
        <w:tc>
          <w:tcPr>
            <w:tcW w:w="2927" w:type="dxa"/>
          </w:tcPr>
          <w:p w:rsidR="0015455D" w:rsidRDefault="0068222D">
            <w:pPr>
              <w:spacing w:line="560" w:lineRule="exact"/>
              <w:rPr>
                <w:rFonts w:asciiTheme="minorEastAsia" w:eastAsiaTheme="minorEastAsia" w:hAnsiTheme="minorEastAsia"/>
                <w:color w:val="000000"/>
                <w:sz w:val="24"/>
                <w:szCs w:val="24"/>
                <w:highlight w:val="cyan"/>
              </w:rPr>
            </w:pPr>
            <w:r>
              <w:rPr>
                <w:rFonts w:asciiTheme="minorEastAsia" w:eastAsiaTheme="minorEastAsia" w:hAnsiTheme="minorEastAsia"/>
                <w:color w:val="000000"/>
                <w:sz w:val="24"/>
                <w:szCs w:val="24"/>
              </w:rPr>
              <w:t>基金名称</w:t>
            </w:r>
          </w:p>
        </w:tc>
        <w:tc>
          <w:tcPr>
            <w:tcW w:w="6671" w:type="dxa"/>
            <w:gridSpan w:val="3"/>
            <w:vAlign w:val="center"/>
          </w:tcPr>
          <w:p w:rsidR="0015455D" w:rsidRDefault="0068222D">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中银如意宝货币市场基金</w:t>
            </w:r>
          </w:p>
        </w:tc>
      </w:tr>
      <w:tr w:rsidR="0015455D">
        <w:trPr>
          <w:jc w:val="center"/>
        </w:trPr>
        <w:tc>
          <w:tcPr>
            <w:tcW w:w="2927" w:type="dxa"/>
          </w:tcPr>
          <w:p w:rsidR="0015455D" w:rsidRDefault="0068222D">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基金简称</w:t>
            </w:r>
          </w:p>
        </w:tc>
        <w:tc>
          <w:tcPr>
            <w:tcW w:w="6671" w:type="dxa"/>
            <w:gridSpan w:val="3"/>
            <w:vAlign w:val="center"/>
          </w:tcPr>
          <w:p w:rsidR="0015455D" w:rsidRDefault="0068222D">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中银如意宝货币</w:t>
            </w:r>
          </w:p>
        </w:tc>
      </w:tr>
      <w:tr w:rsidR="0015455D">
        <w:trPr>
          <w:jc w:val="center"/>
        </w:trPr>
        <w:tc>
          <w:tcPr>
            <w:tcW w:w="2927" w:type="dxa"/>
            <w:vAlign w:val="center"/>
          </w:tcPr>
          <w:p w:rsidR="0015455D" w:rsidRDefault="0068222D">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基金主代码</w:t>
            </w:r>
          </w:p>
        </w:tc>
        <w:tc>
          <w:tcPr>
            <w:tcW w:w="6671" w:type="dxa"/>
            <w:gridSpan w:val="3"/>
            <w:vAlign w:val="center"/>
          </w:tcPr>
          <w:p w:rsidR="0015455D" w:rsidRDefault="0068222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004502</w:t>
            </w:r>
          </w:p>
        </w:tc>
      </w:tr>
      <w:tr w:rsidR="0015455D">
        <w:trPr>
          <w:jc w:val="center"/>
        </w:trPr>
        <w:tc>
          <w:tcPr>
            <w:tcW w:w="2927" w:type="dxa"/>
          </w:tcPr>
          <w:p w:rsidR="0015455D" w:rsidRDefault="0068222D">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基金管理人名称</w:t>
            </w:r>
          </w:p>
        </w:tc>
        <w:tc>
          <w:tcPr>
            <w:tcW w:w="6671" w:type="dxa"/>
            <w:gridSpan w:val="3"/>
            <w:vAlign w:val="center"/>
          </w:tcPr>
          <w:p w:rsidR="0015455D" w:rsidRDefault="0068222D">
            <w:pPr>
              <w:rPr>
                <w:rFonts w:asciiTheme="minorEastAsia" w:eastAsiaTheme="minorEastAsia" w:hAnsiTheme="minorEastAsia"/>
                <w:sz w:val="24"/>
                <w:szCs w:val="24"/>
              </w:rPr>
            </w:pPr>
            <w:r>
              <w:rPr>
                <w:rFonts w:asciiTheme="minorEastAsia" w:eastAsiaTheme="minorEastAsia" w:hAnsiTheme="minorEastAsia"/>
                <w:sz w:val="24"/>
                <w:szCs w:val="24"/>
              </w:rPr>
              <w:t>中银基金管理有限公司</w:t>
            </w:r>
          </w:p>
        </w:tc>
      </w:tr>
      <w:tr w:rsidR="0015455D">
        <w:trPr>
          <w:jc w:val="center"/>
        </w:trPr>
        <w:tc>
          <w:tcPr>
            <w:tcW w:w="2927" w:type="dxa"/>
          </w:tcPr>
          <w:p w:rsidR="0015455D" w:rsidRDefault="0068222D">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公告依据</w:t>
            </w:r>
          </w:p>
        </w:tc>
        <w:tc>
          <w:tcPr>
            <w:tcW w:w="6671" w:type="dxa"/>
            <w:gridSpan w:val="3"/>
            <w:vAlign w:val="center"/>
          </w:tcPr>
          <w:p w:rsidR="0015455D" w:rsidRDefault="0068222D">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相关法律法规及《</w:t>
            </w:r>
            <w:r>
              <w:rPr>
                <w:rFonts w:asciiTheme="minorEastAsia" w:eastAsiaTheme="minorEastAsia" w:hAnsiTheme="minorEastAsia" w:hint="eastAsia"/>
                <w:sz w:val="24"/>
                <w:szCs w:val="24"/>
              </w:rPr>
              <w:t>中银如意宝货币市场基金</w:t>
            </w:r>
            <w:r>
              <w:rPr>
                <w:rFonts w:asciiTheme="minorEastAsia" w:eastAsiaTheme="minorEastAsia" w:hAnsiTheme="minorEastAsia"/>
                <w:color w:val="000000"/>
                <w:sz w:val="24"/>
                <w:szCs w:val="24"/>
              </w:rPr>
              <w:t>基金合同》和《</w:t>
            </w:r>
            <w:r>
              <w:rPr>
                <w:rFonts w:asciiTheme="minorEastAsia" w:eastAsiaTheme="minorEastAsia" w:hAnsiTheme="minorEastAsia" w:hint="eastAsia"/>
                <w:sz w:val="24"/>
                <w:szCs w:val="24"/>
              </w:rPr>
              <w:t>中银如意宝货币市场基金</w:t>
            </w:r>
            <w:r>
              <w:rPr>
                <w:rFonts w:asciiTheme="minorEastAsia" w:eastAsiaTheme="minorEastAsia" w:hAnsiTheme="minorEastAsia"/>
                <w:color w:val="000000"/>
                <w:sz w:val="24"/>
                <w:szCs w:val="24"/>
              </w:rPr>
              <w:t>招募说明书》的有关规定</w:t>
            </w:r>
          </w:p>
        </w:tc>
      </w:tr>
      <w:tr w:rsidR="0015455D">
        <w:trPr>
          <w:trHeight w:val="1106"/>
          <w:jc w:val="center"/>
        </w:trPr>
        <w:tc>
          <w:tcPr>
            <w:tcW w:w="2927" w:type="dxa"/>
            <w:vMerge w:val="restart"/>
            <w:vAlign w:val="center"/>
          </w:tcPr>
          <w:p w:rsidR="0015455D" w:rsidRDefault="0015455D">
            <w:pPr>
              <w:spacing w:line="560" w:lineRule="exact"/>
              <w:rPr>
                <w:rFonts w:asciiTheme="minorEastAsia" w:eastAsiaTheme="minorEastAsia" w:hAnsiTheme="minorEastAsia"/>
                <w:color w:val="000000"/>
                <w:sz w:val="24"/>
                <w:szCs w:val="24"/>
              </w:rPr>
            </w:pPr>
          </w:p>
          <w:p w:rsidR="0015455D" w:rsidRDefault="0068222D">
            <w:r>
              <w:rPr>
                <w:rFonts w:asciiTheme="minorEastAsia" w:eastAsiaTheme="minorEastAsia" w:hAnsiTheme="minorEastAsia"/>
                <w:color w:val="000000"/>
                <w:sz w:val="24"/>
                <w:szCs w:val="24"/>
              </w:rPr>
              <w:t>暂停</w:t>
            </w:r>
            <w:r w:rsidR="006A569E">
              <w:rPr>
                <w:rFonts w:asciiTheme="minorEastAsia" w:eastAsiaTheme="minorEastAsia" w:hAnsiTheme="minorEastAsia" w:hint="eastAsia"/>
                <w:color w:val="000000"/>
                <w:sz w:val="24"/>
                <w:szCs w:val="24"/>
              </w:rPr>
              <w:t>机构投资者</w:t>
            </w:r>
            <w:r>
              <w:rPr>
                <w:rFonts w:asciiTheme="minorEastAsia" w:eastAsiaTheme="minorEastAsia" w:hAnsiTheme="minorEastAsia"/>
                <w:color w:val="000000"/>
                <w:sz w:val="24"/>
                <w:szCs w:val="24"/>
              </w:rPr>
              <w:t>相关业务的起始日、金额及原因说明</w:t>
            </w:r>
          </w:p>
          <w:p w:rsidR="0015455D" w:rsidRDefault="0015455D">
            <w:pPr>
              <w:spacing w:line="560" w:lineRule="exact"/>
              <w:rPr>
                <w:rFonts w:asciiTheme="minorEastAsia" w:eastAsiaTheme="minorEastAsia" w:hAnsiTheme="minorEastAsia"/>
                <w:color w:val="000000"/>
                <w:sz w:val="24"/>
                <w:szCs w:val="24"/>
              </w:rPr>
            </w:pPr>
          </w:p>
          <w:p w:rsidR="0015455D" w:rsidRDefault="0015455D"/>
        </w:tc>
        <w:tc>
          <w:tcPr>
            <w:tcW w:w="3559" w:type="dxa"/>
          </w:tcPr>
          <w:p w:rsidR="0015455D" w:rsidRDefault="0068222D">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暂停</w:t>
            </w:r>
            <w:r w:rsidR="003B482F">
              <w:rPr>
                <w:rFonts w:asciiTheme="minorEastAsia" w:eastAsiaTheme="minorEastAsia" w:hAnsiTheme="minorEastAsia"/>
                <w:color w:val="000000"/>
                <w:sz w:val="24"/>
                <w:szCs w:val="24"/>
              </w:rPr>
              <w:t>机构投资者</w:t>
            </w:r>
            <w:r>
              <w:rPr>
                <w:rFonts w:asciiTheme="minorEastAsia" w:eastAsiaTheme="minorEastAsia" w:hAnsiTheme="minorEastAsia"/>
                <w:color w:val="000000"/>
                <w:sz w:val="24"/>
                <w:szCs w:val="24"/>
              </w:rPr>
              <w:t>大额申购</w:t>
            </w:r>
            <w:r>
              <w:rPr>
                <w:rFonts w:asciiTheme="minorEastAsia" w:eastAsiaTheme="minorEastAsia" w:hAnsiTheme="minorEastAsia" w:hint="eastAsia"/>
                <w:color w:val="000000"/>
                <w:sz w:val="24"/>
                <w:szCs w:val="24"/>
              </w:rPr>
              <w:t>、转换转入及定期定额投资</w:t>
            </w:r>
            <w:r>
              <w:rPr>
                <w:rFonts w:asciiTheme="minorEastAsia" w:eastAsiaTheme="minorEastAsia" w:hAnsiTheme="minorEastAsia"/>
                <w:color w:val="000000"/>
                <w:sz w:val="24"/>
                <w:szCs w:val="24"/>
              </w:rPr>
              <w:t>起始日</w:t>
            </w:r>
          </w:p>
        </w:tc>
        <w:tc>
          <w:tcPr>
            <w:tcW w:w="3112" w:type="dxa"/>
            <w:gridSpan w:val="2"/>
            <w:vAlign w:val="center"/>
          </w:tcPr>
          <w:p w:rsidR="0015455D" w:rsidRDefault="00CA63C0" w:rsidP="00552A2D">
            <w:pPr>
              <w:spacing w:line="560" w:lineRule="exact"/>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20</w:t>
            </w:r>
            <w:r>
              <w:rPr>
                <w:rFonts w:asciiTheme="minorEastAsia" w:eastAsiaTheme="minorEastAsia" w:hAnsiTheme="minorEastAsia"/>
                <w:kern w:val="0"/>
                <w:sz w:val="24"/>
                <w:szCs w:val="24"/>
              </w:rPr>
              <w:t>2</w:t>
            </w:r>
            <w:r>
              <w:rPr>
                <w:rFonts w:asciiTheme="minorEastAsia" w:eastAsiaTheme="minorEastAsia" w:hAnsiTheme="minorEastAsia" w:hint="eastAsia"/>
                <w:kern w:val="0"/>
                <w:sz w:val="24"/>
                <w:szCs w:val="24"/>
              </w:rPr>
              <w:t>2年</w:t>
            </w:r>
            <w:r w:rsidR="00F75583">
              <w:rPr>
                <w:rFonts w:asciiTheme="minorEastAsia" w:eastAsiaTheme="minorEastAsia" w:hAnsiTheme="minorEastAsia"/>
                <w:kern w:val="0"/>
                <w:sz w:val="24"/>
                <w:szCs w:val="24"/>
              </w:rPr>
              <w:t>12</w:t>
            </w:r>
            <w:r w:rsidR="0068222D">
              <w:rPr>
                <w:rFonts w:asciiTheme="minorEastAsia" w:eastAsiaTheme="minorEastAsia" w:hAnsiTheme="minorEastAsia" w:hint="eastAsia"/>
                <w:kern w:val="0"/>
                <w:sz w:val="24"/>
                <w:szCs w:val="24"/>
              </w:rPr>
              <w:t>月</w:t>
            </w:r>
            <w:r w:rsidR="00F75583">
              <w:rPr>
                <w:rFonts w:asciiTheme="minorEastAsia" w:eastAsiaTheme="minorEastAsia" w:hAnsiTheme="minorEastAsia"/>
                <w:kern w:val="0"/>
                <w:sz w:val="24"/>
                <w:szCs w:val="24"/>
              </w:rPr>
              <w:t>3</w:t>
            </w:r>
            <w:r w:rsidR="008563FE">
              <w:rPr>
                <w:rFonts w:asciiTheme="minorEastAsia" w:eastAsiaTheme="minorEastAsia" w:hAnsiTheme="minorEastAsia"/>
                <w:kern w:val="0"/>
                <w:sz w:val="24"/>
                <w:szCs w:val="24"/>
              </w:rPr>
              <w:t>0</w:t>
            </w:r>
            <w:r w:rsidR="0068222D">
              <w:rPr>
                <w:rFonts w:asciiTheme="minorEastAsia" w:eastAsiaTheme="minorEastAsia" w:hAnsiTheme="minorEastAsia" w:hint="eastAsia"/>
                <w:kern w:val="0"/>
                <w:sz w:val="24"/>
                <w:szCs w:val="24"/>
              </w:rPr>
              <w:t>日</w:t>
            </w:r>
          </w:p>
        </w:tc>
      </w:tr>
      <w:tr w:rsidR="0015455D">
        <w:trPr>
          <w:trHeight w:val="980"/>
          <w:jc w:val="center"/>
        </w:trPr>
        <w:tc>
          <w:tcPr>
            <w:tcW w:w="2927" w:type="dxa"/>
            <w:vMerge/>
          </w:tcPr>
          <w:p w:rsidR="0015455D" w:rsidRDefault="0015455D">
            <w:pPr>
              <w:rPr>
                <w:rFonts w:asciiTheme="minorEastAsia" w:eastAsiaTheme="minorEastAsia" w:hAnsiTheme="minorEastAsia"/>
                <w:color w:val="000000"/>
                <w:sz w:val="24"/>
                <w:szCs w:val="24"/>
              </w:rPr>
            </w:pPr>
          </w:p>
        </w:tc>
        <w:tc>
          <w:tcPr>
            <w:tcW w:w="3559" w:type="dxa"/>
            <w:vAlign w:val="center"/>
          </w:tcPr>
          <w:p w:rsidR="0015455D" w:rsidRDefault="0068222D">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限制</w:t>
            </w:r>
            <w:r w:rsidR="006A569E">
              <w:rPr>
                <w:rFonts w:asciiTheme="minorEastAsia" w:eastAsiaTheme="minorEastAsia" w:hAnsiTheme="minorEastAsia" w:hint="eastAsia"/>
                <w:color w:val="000000"/>
                <w:sz w:val="24"/>
                <w:szCs w:val="24"/>
              </w:rPr>
              <w:t>机构</w:t>
            </w:r>
            <w:r w:rsidR="006A569E">
              <w:rPr>
                <w:rFonts w:asciiTheme="minorEastAsia" w:eastAsiaTheme="minorEastAsia" w:hAnsiTheme="minorEastAsia"/>
                <w:color w:val="000000"/>
                <w:sz w:val="24"/>
                <w:szCs w:val="24"/>
              </w:rPr>
              <w:t>投资者</w:t>
            </w:r>
            <w:r>
              <w:rPr>
                <w:rFonts w:asciiTheme="minorEastAsia" w:eastAsiaTheme="minorEastAsia" w:hAnsiTheme="minorEastAsia" w:hint="eastAsia"/>
                <w:color w:val="000000"/>
                <w:sz w:val="24"/>
                <w:szCs w:val="24"/>
              </w:rPr>
              <w:t>大额</w:t>
            </w:r>
            <w:r>
              <w:rPr>
                <w:rFonts w:asciiTheme="minorEastAsia" w:eastAsiaTheme="minorEastAsia" w:hAnsiTheme="minorEastAsia"/>
                <w:color w:val="000000"/>
                <w:sz w:val="24"/>
                <w:szCs w:val="24"/>
              </w:rPr>
              <w:t>申购金额（单位：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 xml:space="preserve"> ）</w:t>
            </w:r>
          </w:p>
        </w:tc>
        <w:tc>
          <w:tcPr>
            <w:tcW w:w="3112" w:type="dxa"/>
            <w:gridSpan w:val="2"/>
            <w:vAlign w:val="center"/>
          </w:tcPr>
          <w:p w:rsidR="0015455D" w:rsidRDefault="0068222D">
            <w:pPr>
              <w:spacing w:line="5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10</w:t>
            </w:r>
            <w:r>
              <w:rPr>
                <w:rFonts w:asciiTheme="minorEastAsia" w:eastAsiaTheme="minorEastAsia" w:hAnsiTheme="minorEastAsia" w:hint="eastAsia"/>
                <w:sz w:val="24"/>
                <w:szCs w:val="24"/>
              </w:rPr>
              <w:t>,</w:t>
            </w:r>
            <w:r>
              <w:rPr>
                <w:rFonts w:asciiTheme="minorEastAsia" w:eastAsiaTheme="minorEastAsia" w:hAnsiTheme="minorEastAsia"/>
                <w:sz w:val="24"/>
                <w:szCs w:val="24"/>
              </w:rPr>
              <w:t>0</w:t>
            </w:r>
            <w:r>
              <w:rPr>
                <w:rFonts w:asciiTheme="minorEastAsia" w:eastAsiaTheme="minorEastAsia" w:hAnsiTheme="minorEastAsia" w:hint="eastAsia"/>
                <w:sz w:val="24"/>
                <w:szCs w:val="24"/>
              </w:rPr>
              <w:t>00,000</w:t>
            </w:r>
          </w:p>
        </w:tc>
      </w:tr>
      <w:tr w:rsidR="0015455D">
        <w:trPr>
          <w:trHeight w:val="980"/>
          <w:jc w:val="center"/>
        </w:trPr>
        <w:tc>
          <w:tcPr>
            <w:tcW w:w="2927" w:type="dxa"/>
            <w:vMerge/>
          </w:tcPr>
          <w:p w:rsidR="0015455D" w:rsidRDefault="0015455D">
            <w:pPr>
              <w:rPr>
                <w:rFonts w:asciiTheme="minorEastAsia" w:eastAsiaTheme="minorEastAsia" w:hAnsiTheme="minorEastAsia"/>
                <w:color w:val="000000"/>
                <w:sz w:val="24"/>
                <w:szCs w:val="24"/>
              </w:rPr>
            </w:pPr>
          </w:p>
        </w:tc>
        <w:tc>
          <w:tcPr>
            <w:tcW w:w="3559" w:type="dxa"/>
            <w:vAlign w:val="center"/>
          </w:tcPr>
          <w:p w:rsidR="0015455D" w:rsidRDefault="0068222D">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限制</w:t>
            </w:r>
            <w:r w:rsidR="006A569E">
              <w:rPr>
                <w:rFonts w:asciiTheme="minorEastAsia" w:eastAsiaTheme="minorEastAsia" w:hAnsiTheme="minorEastAsia" w:hint="eastAsia"/>
                <w:color w:val="000000"/>
                <w:sz w:val="24"/>
                <w:szCs w:val="24"/>
              </w:rPr>
              <w:t>机构</w:t>
            </w:r>
            <w:r w:rsidR="006A569E">
              <w:rPr>
                <w:rFonts w:asciiTheme="minorEastAsia" w:eastAsiaTheme="minorEastAsia" w:hAnsiTheme="minorEastAsia"/>
                <w:color w:val="000000"/>
                <w:sz w:val="24"/>
                <w:szCs w:val="24"/>
              </w:rPr>
              <w:t>投资者</w:t>
            </w:r>
            <w:r>
              <w:rPr>
                <w:rFonts w:asciiTheme="minorEastAsia" w:eastAsiaTheme="minorEastAsia" w:hAnsiTheme="minorEastAsia" w:hint="eastAsia"/>
                <w:color w:val="000000"/>
                <w:sz w:val="24"/>
                <w:szCs w:val="24"/>
              </w:rPr>
              <w:t>大额转换转入</w:t>
            </w:r>
            <w:r>
              <w:rPr>
                <w:rFonts w:asciiTheme="minorEastAsia" w:eastAsiaTheme="minorEastAsia" w:hAnsiTheme="minorEastAsia"/>
                <w:color w:val="000000"/>
                <w:sz w:val="24"/>
                <w:szCs w:val="24"/>
              </w:rPr>
              <w:t>金额（单位：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 xml:space="preserve"> ）</w:t>
            </w:r>
          </w:p>
        </w:tc>
        <w:tc>
          <w:tcPr>
            <w:tcW w:w="3112" w:type="dxa"/>
            <w:gridSpan w:val="2"/>
            <w:vAlign w:val="center"/>
          </w:tcPr>
          <w:p w:rsidR="0015455D" w:rsidRDefault="0068222D">
            <w:pPr>
              <w:spacing w:line="5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10</w:t>
            </w:r>
            <w:r>
              <w:rPr>
                <w:rFonts w:asciiTheme="minorEastAsia" w:eastAsiaTheme="minorEastAsia" w:hAnsiTheme="minorEastAsia" w:hint="eastAsia"/>
                <w:sz w:val="24"/>
                <w:szCs w:val="24"/>
              </w:rPr>
              <w:t>,</w:t>
            </w:r>
            <w:r>
              <w:rPr>
                <w:rFonts w:asciiTheme="minorEastAsia" w:eastAsiaTheme="minorEastAsia" w:hAnsiTheme="minorEastAsia"/>
                <w:sz w:val="24"/>
                <w:szCs w:val="24"/>
              </w:rPr>
              <w:t>0</w:t>
            </w:r>
            <w:r>
              <w:rPr>
                <w:rFonts w:asciiTheme="minorEastAsia" w:eastAsiaTheme="minorEastAsia" w:hAnsiTheme="minorEastAsia" w:hint="eastAsia"/>
                <w:sz w:val="24"/>
                <w:szCs w:val="24"/>
              </w:rPr>
              <w:t>00,000</w:t>
            </w:r>
          </w:p>
        </w:tc>
      </w:tr>
      <w:tr w:rsidR="0015455D">
        <w:trPr>
          <w:trHeight w:val="980"/>
          <w:jc w:val="center"/>
        </w:trPr>
        <w:tc>
          <w:tcPr>
            <w:tcW w:w="2927" w:type="dxa"/>
            <w:vMerge/>
          </w:tcPr>
          <w:p w:rsidR="0015455D" w:rsidRDefault="0015455D">
            <w:pPr>
              <w:rPr>
                <w:rFonts w:asciiTheme="minorEastAsia" w:eastAsiaTheme="minorEastAsia" w:hAnsiTheme="minorEastAsia"/>
                <w:color w:val="000000"/>
                <w:sz w:val="24"/>
                <w:szCs w:val="24"/>
              </w:rPr>
            </w:pPr>
          </w:p>
        </w:tc>
        <w:tc>
          <w:tcPr>
            <w:tcW w:w="3559" w:type="dxa"/>
            <w:vAlign w:val="center"/>
          </w:tcPr>
          <w:p w:rsidR="0015455D" w:rsidRDefault="0068222D">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限制</w:t>
            </w:r>
            <w:r w:rsidR="006A569E">
              <w:rPr>
                <w:rFonts w:asciiTheme="minorEastAsia" w:eastAsiaTheme="minorEastAsia" w:hAnsiTheme="minorEastAsia" w:hint="eastAsia"/>
                <w:color w:val="000000"/>
                <w:sz w:val="24"/>
                <w:szCs w:val="24"/>
              </w:rPr>
              <w:t>机构</w:t>
            </w:r>
            <w:r w:rsidR="006A569E">
              <w:rPr>
                <w:rFonts w:asciiTheme="minorEastAsia" w:eastAsiaTheme="minorEastAsia" w:hAnsiTheme="minorEastAsia"/>
                <w:color w:val="000000"/>
                <w:sz w:val="24"/>
                <w:szCs w:val="24"/>
              </w:rPr>
              <w:t>投资者</w:t>
            </w:r>
            <w:r>
              <w:rPr>
                <w:rFonts w:asciiTheme="minorEastAsia" w:eastAsiaTheme="minorEastAsia" w:hAnsiTheme="minorEastAsia" w:hint="eastAsia"/>
                <w:color w:val="000000"/>
                <w:sz w:val="24"/>
                <w:szCs w:val="24"/>
              </w:rPr>
              <w:t>大额定期定额投资</w:t>
            </w:r>
            <w:r>
              <w:rPr>
                <w:rFonts w:asciiTheme="minorEastAsia" w:eastAsiaTheme="minorEastAsia" w:hAnsiTheme="minorEastAsia"/>
                <w:color w:val="000000"/>
                <w:sz w:val="24"/>
                <w:szCs w:val="24"/>
              </w:rPr>
              <w:t>金额（单位：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 xml:space="preserve"> ）</w:t>
            </w:r>
          </w:p>
        </w:tc>
        <w:tc>
          <w:tcPr>
            <w:tcW w:w="3112" w:type="dxa"/>
            <w:gridSpan w:val="2"/>
            <w:vAlign w:val="center"/>
          </w:tcPr>
          <w:p w:rsidR="0015455D" w:rsidRDefault="0068222D">
            <w:pPr>
              <w:spacing w:line="5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10</w:t>
            </w:r>
            <w:r>
              <w:rPr>
                <w:rFonts w:asciiTheme="minorEastAsia" w:eastAsiaTheme="minorEastAsia" w:hAnsiTheme="minorEastAsia" w:hint="eastAsia"/>
                <w:sz w:val="24"/>
                <w:szCs w:val="24"/>
              </w:rPr>
              <w:t>,</w:t>
            </w:r>
            <w:r>
              <w:rPr>
                <w:rFonts w:asciiTheme="minorEastAsia" w:eastAsiaTheme="minorEastAsia" w:hAnsiTheme="minorEastAsia"/>
                <w:sz w:val="24"/>
                <w:szCs w:val="24"/>
              </w:rPr>
              <w:t>0</w:t>
            </w:r>
            <w:r>
              <w:rPr>
                <w:rFonts w:asciiTheme="minorEastAsia" w:eastAsiaTheme="minorEastAsia" w:hAnsiTheme="minorEastAsia" w:hint="eastAsia"/>
                <w:sz w:val="24"/>
                <w:szCs w:val="24"/>
              </w:rPr>
              <w:t>00,000</w:t>
            </w:r>
          </w:p>
        </w:tc>
      </w:tr>
      <w:tr w:rsidR="0015455D">
        <w:trPr>
          <w:jc w:val="center"/>
        </w:trPr>
        <w:tc>
          <w:tcPr>
            <w:tcW w:w="2927" w:type="dxa"/>
            <w:vMerge/>
          </w:tcPr>
          <w:p w:rsidR="0015455D" w:rsidRDefault="0015455D"/>
        </w:tc>
        <w:tc>
          <w:tcPr>
            <w:tcW w:w="3559" w:type="dxa"/>
          </w:tcPr>
          <w:p w:rsidR="0015455D" w:rsidRDefault="0068222D">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暂停</w:t>
            </w:r>
            <w:r w:rsidR="006A569E">
              <w:rPr>
                <w:rFonts w:asciiTheme="minorEastAsia" w:eastAsiaTheme="minorEastAsia" w:hAnsiTheme="minorEastAsia" w:hint="eastAsia"/>
                <w:color w:val="000000"/>
                <w:sz w:val="24"/>
                <w:szCs w:val="24"/>
              </w:rPr>
              <w:t>机构</w:t>
            </w:r>
            <w:r w:rsidR="006A569E">
              <w:rPr>
                <w:rFonts w:asciiTheme="minorEastAsia" w:eastAsiaTheme="minorEastAsia" w:hAnsiTheme="minorEastAsia"/>
                <w:color w:val="000000"/>
                <w:sz w:val="24"/>
                <w:szCs w:val="24"/>
              </w:rPr>
              <w:t>投资者</w:t>
            </w:r>
            <w:r>
              <w:rPr>
                <w:rFonts w:asciiTheme="minorEastAsia" w:eastAsiaTheme="minorEastAsia" w:hAnsiTheme="minorEastAsia"/>
                <w:color w:val="000000"/>
                <w:sz w:val="24"/>
                <w:szCs w:val="24"/>
              </w:rPr>
              <w:t>大额申购</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定期定额投资</w:t>
            </w:r>
            <w:r>
              <w:rPr>
                <w:rFonts w:asciiTheme="minorEastAsia" w:eastAsiaTheme="minorEastAsia" w:hAnsiTheme="minorEastAsia" w:hint="eastAsia"/>
                <w:color w:val="000000"/>
                <w:sz w:val="24"/>
                <w:szCs w:val="24"/>
              </w:rPr>
              <w:t>及</w:t>
            </w:r>
            <w:r>
              <w:rPr>
                <w:rFonts w:asciiTheme="minorEastAsia" w:eastAsiaTheme="minorEastAsia" w:hAnsiTheme="minorEastAsia"/>
                <w:color w:val="000000"/>
                <w:sz w:val="24"/>
                <w:szCs w:val="24"/>
              </w:rPr>
              <w:t>转换转入的原因说明</w:t>
            </w:r>
          </w:p>
        </w:tc>
        <w:tc>
          <w:tcPr>
            <w:tcW w:w="3112" w:type="dxa"/>
            <w:gridSpan w:val="2"/>
          </w:tcPr>
          <w:p w:rsidR="0015455D" w:rsidRDefault="0068222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保护基金份额持有人利益 </w:t>
            </w:r>
          </w:p>
        </w:tc>
      </w:tr>
      <w:tr w:rsidR="0015455D">
        <w:trPr>
          <w:jc w:val="center"/>
        </w:trPr>
        <w:tc>
          <w:tcPr>
            <w:tcW w:w="2927" w:type="dxa"/>
            <w:vAlign w:val="center"/>
          </w:tcPr>
          <w:p w:rsidR="0015455D" w:rsidRDefault="0068222D">
            <w:r>
              <w:rPr>
                <w:rFonts w:asciiTheme="minorEastAsia" w:eastAsiaTheme="minorEastAsia" w:hAnsiTheme="minorEastAsia"/>
                <w:color w:val="000000"/>
                <w:sz w:val="24"/>
                <w:szCs w:val="24"/>
              </w:rPr>
              <w:t>下属分级基金的基金简称</w:t>
            </w:r>
          </w:p>
        </w:tc>
        <w:tc>
          <w:tcPr>
            <w:tcW w:w="3589" w:type="dxa"/>
            <w:gridSpan w:val="2"/>
          </w:tcPr>
          <w:p w:rsidR="0015455D" w:rsidRDefault="0068222D">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中银如意宝货币</w:t>
            </w:r>
            <w:r>
              <w:rPr>
                <w:rFonts w:asciiTheme="minorEastAsia" w:eastAsiaTheme="minorEastAsia" w:hAnsiTheme="minorEastAsia" w:hint="eastAsia"/>
                <w:color w:val="000000"/>
                <w:sz w:val="24"/>
                <w:szCs w:val="24"/>
              </w:rPr>
              <w:t>A</w:t>
            </w:r>
          </w:p>
        </w:tc>
        <w:tc>
          <w:tcPr>
            <w:tcW w:w="3082" w:type="dxa"/>
          </w:tcPr>
          <w:p w:rsidR="0015455D" w:rsidRDefault="0068222D">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中银如意宝货币</w:t>
            </w:r>
            <w:r>
              <w:rPr>
                <w:rFonts w:asciiTheme="minorEastAsia" w:eastAsiaTheme="minorEastAsia" w:hAnsiTheme="minorEastAsia"/>
                <w:color w:val="000000"/>
                <w:sz w:val="24"/>
                <w:szCs w:val="24"/>
              </w:rPr>
              <w:t>B</w:t>
            </w:r>
          </w:p>
          <w:p w:rsidR="0015455D" w:rsidRDefault="0015455D">
            <w:pPr>
              <w:spacing w:line="560" w:lineRule="exact"/>
              <w:rPr>
                <w:rFonts w:asciiTheme="minorEastAsia" w:eastAsiaTheme="minorEastAsia" w:hAnsiTheme="minorEastAsia"/>
                <w:sz w:val="24"/>
                <w:szCs w:val="24"/>
              </w:rPr>
            </w:pPr>
          </w:p>
        </w:tc>
      </w:tr>
      <w:tr w:rsidR="0015455D">
        <w:trPr>
          <w:jc w:val="center"/>
        </w:trPr>
        <w:tc>
          <w:tcPr>
            <w:tcW w:w="2927" w:type="dxa"/>
            <w:vAlign w:val="center"/>
          </w:tcPr>
          <w:p w:rsidR="0015455D" w:rsidRDefault="0068222D">
            <w:r>
              <w:rPr>
                <w:rFonts w:asciiTheme="minorEastAsia" w:eastAsiaTheme="minorEastAsia" w:hAnsiTheme="minorEastAsia"/>
                <w:color w:val="000000"/>
                <w:sz w:val="24"/>
                <w:szCs w:val="24"/>
              </w:rPr>
              <w:lastRenderedPageBreak/>
              <w:t>下属分级基金的交易代码</w:t>
            </w:r>
          </w:p>
        </w:tc>
        <w:tc>
          <w:tcPr>
            <w:tcW w:w="3589" w:type="dxa"/>
            <w:gridSpan w:val="2"/>
            <w:vAlign w:val="center"/>
          </w:tcPr>
          <w:p w:rsidR="0015455D" w:rsidRDefault="0068222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004502</w:t>
            </w:r>
          </w:p>
        </w:tc>
        <w:tc>
          <w:tcPr>
            <w:tcW w:w="3082" w:type="dxa"/>
          </w:tcPr>
          <w:p w:rsidR="0015455D" w:rsidRDefault="0068222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005162</w:t>
            </w:r>
          </w:p>
        </w:tc>
      </w:tr>
      <w:tr w:rsidR="0015455D">
        <w:trPr>
          <w:jc w:val="center"/>
        </w:trPr>
        <w:tc>
          <w:tcPr>
            <w:tcW w:w="2927" w:type="dxa"/>
            <w:vAlign w:val="center"/>
          </w:tcPr>
          <w:p w:rsidR="0015455D" w:rsidRDefault="0068222D">
            <w:r>
              <w:rPr>
                <w:rFonts w:asciiTheme="minorEastAsia" w:eastAsiaTheme="minorEastAsia" w:hAnsiTheme="minorEastAsia"/>
                <w:color w:val="000000"/>
                <w:sz w:val="24"/>
                <w:szCs w:val="24"/>
              </w:rPr>
              <w:t>该分级基金是否暂停</w:t>
            </w:r>
            <w:r w:rsidR="006A569E">
              <w:rPr>
                <w:rFonts w:asciiTheme="minorEastAsia" w:eastAsiaTheme="minorEastAsia" w:hAnsiTheme="minorEastAsia" w:hint="eastAsia"/>
                <w:color w:val="000000"/>
                <w:sz w:val="24"/>
                <w:szCs w:val="24"/>
              </w:rPr>
              <w:t>机构</w:t>
            </w:r>
            <w:r w:rsidR="006A569E">
              <w:rPr>
                <w:rFonts w:asciiTheme="minorEastAsia" w:eastAsiaTheme="minorEastAsia" w:hAnsiTheme="minorEastAsia"/>
                <w:color w:val="000000"/>
                <w:sz w:val="24"/>
                <w:szCs w:val="24"/>
              </w:rPr>
              <w:t>投资者</w:t>
            </w:r>
            <w:r>
              <w:rPr>
                <w:rFonts w:asciiTheme="minorEastAsia" w:eastAsiaTheme="minorEastAsia" w:hAnsiTheme="minorEastAsia"/>
                <w:color w:val="000000"/>
                <w:sz w:val="24"/>
                <w:szCs w:val="24"/>
              </w:rPr>
              <w:t>大额申购</w:t>
            </w:r>
            <w:r>
              <w:rPr>
                <w:rFonts w:asciiTheme="minorEastAsia" w:eastAsiaTheme="minorEastAsia" w:hAnsiTheme="minorEastAsia" w:hint="eastAsia"/>
                <w:color w:val="000000"/>
                <w:sz w:val="24"/>
                <w:szCs w:val="24"/>
              </w:rPr>
              <w:t>、</w:t>
            </w:r>
            <w:r>
              <w:rPr>
                <w:rFonts w:asciiTheme="minorEastAsia" w:eastAsiaTheme="minorEastAsia" w:hAnsiTheme="minorEastAsia"/>
                <w:color w:val="000000"/>
                <w:sz w:val="24"/>
                <w:szCs w:val="24"/>
              </w:rPr>
              <w:t>转换转入</w:t>
            </w:r>
            <w:r>
              <w:rPr>
                <w:rFonts w:asciiTheme="minorEastAsia" w:eastAsiaTheme="minorEastAsia" w:hAnsiTheme="minorEastAsia" w:hint="eastAsia"/>
                <w:color w:val="000000"/>
                <w:sz w:val="24"/>
                <w:szCs w:val="24"/>
              </w:rPr>
              <w:t>及</w:t>
            </w:r>
            <w:r>
              <w:rPr>
                <w:rFonts w:asciiTheme="minorEastAsia" w:eastAsiaTheme="minorEastAsia" w:hAnsiTheme="minorEastAsia"/>
                <w:color w:val="000000"/>
                <w:sz w:val="24"/>
                <w:szCs w:val="24"/>
              </w:rPr>
              <w:t>定期定额投资</w:t>
            </w:r>
          </w:p>
        </w:tc>
        <w:tc>
          <w:tcPr>
            <w:tcW w:w="3589" w:type="dxa"/>
            <w:gridSpan w:val="2"/>
          </w:tcPr>
          <w:p w:rsidR="0015455D" w:rsidRDefault="0068222D">
            <w:pPr>
              <w:spacing w:line="560" w:lineRule="exact"/>
              <w:rPr>
                <w:rFonts w:asciiTheme="minorEastAsia" w:eastAsiaTheme="minorEastAsia" w:hAnsiTheme="minorEastAsia"/>
                <w:sz w:val="24"/>
                <w:szCs w:val="24"/>
              </w:rPr>
            </w:pPr>
            <w:r>
              <w:rPr>
                <w:rFonts w:asciiTheme="minorEastAsia" w:eastAsiaTheme="minorEastAsia" w:hAnsiTheme="minorEastAsia"/>
                <w:color w:val="000000"/>
                <w:sz w:val="24"/>
                <w:szCs w:val="24"/>
              </w:rPr>
              <w:t>是</w:t>
            </w:r>
          </w:p>
        </w:tc>
        <w:tc>
          <w:tcPr>
            <w:tcW w:w="3082" w:type="dxa"/>
          </w:tcPr>
          <w:p w:rsidR="0015455D" w:rsidRDefault="0068222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是</w:t>
            </w:r>
          </w:p>
          <w:p w:rsidR="0015455D" w:rsidRDefault="0015455D">
            <w:pPr>
              <w:spacing w:line="560" w:lineRule="exact"/>
              <w:rPr>
                <w:rFonts w:asciiTheme="minorEastAsia" w:eastAsiaTheme="minorEastAsia" w:hAnsiTheme="minorEastAsia"/>
                <w:sz w:val="24"/>
                <w:szCs w:val="24"/>
              </w:rPr>
            </w:pPr>
          </w:p>
        </w:tc>
      </w:tr>
    </w:tbl>
    <w:p w:rsidR="0015455D" w:rsidRDefault="0068222D">
      <w:pPr>
        <w:pStyle w:val="2"/>
        <w:spacing w:line="560" w:lineRule="exact"/>
        <w:rPr>
          <w:rFonts w:asciiTheme="minorEastAsia" w:eastAsiaTheme="minorEastAsia" w:hAnsiTheme="minorEastAsia"/>
          <w:bCs w:val="0"/>
          <w:color w:val="000000"/>
          <w:sz w:val="24"/>
          <w:szCs w:val="24"/>
        </w:rPr>
      </w:pPr>
      <w:bookmarkStart w:id="1" w:name="_Toc275961406"/>
      <w:r>
        <w:rPr>
          <w:rFonts w:asciiTheme="minorEastAsia" w:eastAsiaTheme="minorEastAsia" w:hAnsiTheme="minorEastAsia"/>
          <w:bCs w:val="0"/>
          <w:color w:val="000000"/>
          <w:sz w:val="24"/>
          <w:szCs w:val="24"/>
        </w:rPr>
        <w:t>2其他需要提示的事项</w:t>
      </w:r>
      <w:bookmarkEnd w:id="1"/>
    </w:p>
    <w:p w:rsidR="0015455D" w:rsidRPr="003B482F" w:rsidRDefault="0068222D">
      <w:pPr>
        <w:spacing w:line="56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自</w:t>
      </w:r>
      <w:r w:rsidR="00CA63C0">
        <w:rPr>
          <w:rFonts w:asciiTheme="minorEastAsia" w:eastAsiaTheme="minorEastAsia" w:hAnsiTheme="minorEastAsia" w:hint="eastAsia"/>
          <w:kern w:val="0"/>
          <w:sz w:val="24"/>
          <w:szCs w:val="24"/>
        </w:rPr>
        <w:t>20</w:t>
      </w:r>
      <w:r w:rsidR="00CA63C0">
        <w:rPr>
          <w:rFonts w:asciiTheme="minorEastAsia" w:eastAsiaTheme="minorEastAsia" w:hAnsiTheme="minorEastAsia"/>
          <w:kern w:val="0"/>
          <w:sz w:val="24"/>
          <w:szCs w:val="24"/>
        </w:rPr>
        <w:t>2</w:t>
      </w:r>
      <w:r w:rsidR="00CA63C0">
        <w:rPr>
          <w:rFonts w:asciiTheme="minorEastAsia" w:eastAsiaTheme="minorEastAsia" w:hAnsiTheme="minorEastAsia" w:hint="eastAsia"/>
          <w:kern w:val="0"/>
          <w:sz w:val="24"/>
          <w:szCs w:val="24"/>
        </w:rPr>
        <w:t>2年</w:t>
      </w:r>
      <w:r w:rsidR="00F75583">
        <w:rPr>
          <w:rFonts w:asciiTheme="minorEastAsia" w:eastAsiaTheme="minorEastAsia" w:hAnsiTheme="minorEastAsia"/>
          <w:kern w:val="0"/>
          <w:sz w:val="24"/>
          <w:szCs w:val="24"/>
        </w:rPr>
        <w:t>12</w:t>
      </w:r>
      <w:r>
        <w:rPr>
          <w:rFonts w:asciiTheme="minorEastAsia" w:eastAsiaTheme="minorEastAsia" w:hAnsiTheme="minorEastAsia" w:hint="eastAsia"/>
          <w:kern w:val="0"/>
          <w:sz w:val="24"/>
          <w:szCs w:val="24"/>
        </w:rPr>
        <w:t>月</w:t>
      </w:r>
      <w:r w:rsidR="00F75583">
        <w:rPr>
          <w:rFonts w:asciiTheme="minorEastAsia" w:eastAsiaTheme="minorEastAsia" w:hAnsiTheme="minorEastAsia"/>
          <w:kern w:val="0"/>
          <w:sz w:val="24"/>
          <w:szCs w:val="24"/>
        </w:rPr>
        <w:t>3</w:t>
      </w:r>
      <w:r w:rsidR="008563FE">
        <w:rPr>
          <w:rFonts w:asciiTheme="minorEastAsia" w:eastAsiaTheme="minorEastAsia" w:hAnsiTheme="minorEastAsia"/>
          <w:kern w:val="0"/>
          <w:sz w:val="24"/>
          <w:szCs w:val="24"/>
        </w:rPr>
        <w:t>0</w:t>
      </w:r>
      <w:r>
        <w:rPr>
          <w:rFonts w:asciiTheme="minorEastAsia" w:eastAsiaTheme="minorEastAsia" w:hAnsiTheme="minorEastAsia" w:hint="eastAsia"/>
          <w:kern w:val="0"/>
          <w:sz w:val="24"/>
          <w:szCs w:val="24"/>
        </w:rPr>
        <w:t>日</w:t>
      </w:r>
      <w:r>
        <w:rPr>
          <w:rFonts w:asciiTheme="minorEastAsia" w:eastAsiaTheme="minorEastAsia" w:hAnsiTheme="minorEastAsia" w:hint="eastAsia"/>
          <w:sz w:val="24"/>
          <w:szCs w:val="24"/>
        </w:rPr>
        <w:t>起</w:t>
      </w:r>
      <w:r>
        <w:rPr>
          <w:rFonts w:asciiTheme="minorEastAsia" w:eastAsiaTheme="minorEastAsia" w:hAnsiTheme="minorEastAsia"/>
          <w:sz w:val="24"/>
          <w:szCs w:val="24"/>
        </w:rPr>
        <w:t>，本基金</w:t>
      </w:r>
      <w:r w:rsidR="003A3E8C">
        <w:rPr>
          <w:rFonts w:asciiTheme="minorEastAsia" w:eastAsiaTheme="minorEastAsia" w:hAnsiTheme="minorEastAsia" w:hint="eastAsia"/>
          <w:sz w:val="24"/>
          <w:szCs w:val="24"/>
        </w:rPr>
        <w:t>A类和B类基金份额均</w:t>
      </w:r>
      <w:r>
        <w:rPr>
          <w:rFonts w:asciiTheme="minorEastAsia" w:eastAsiaTheme="minorEastAsia" w:hAnsiTheme="minorEastAsia"/>
          <w:sz w:val="24"/>
          <w:szCs w:val="24"/>
        </w:rPr>
        <w:t>暂停接受</w:t>
      </w:r>
      <w:r w:rsidR="003B482F">
        <w:rPr>
          <w:rFonts w:asciiTheme="minorEastAsia" w:eastAsiaTheme="minorEastAsia" w:hAnsiTheme="minorEastAsia"/>
          <w:sz w:val="24"/>
          <w:szCs w:val="24"/>
        </w:rPr>
        <w:t>机构投资者</w:t>
      </w:r>
      <w:r>
        <w:rPr>
          <w:rFonts w:asciiTheme="minorEastAsia" w:eastAsiaTheme="minorEastAsia" w:hAnsiTheme="minorEastAsia"/>
          <w:sz w:val="24"/>
          <w:szCs w:val="24"/>
        </w:rPr>
        <w:t>单日单个基金账户单笔或累计超过1000万元（</w:t>
      </w:r>
      <w:r>
        <w:rPr>
          <w:rFonts w:asciiTheme="minorEastAsia" w:eastAsiaTheme="minorEastAsia" w:hAnsiTheme="minorEastAsia" w:hint="eastAsia"/>
          <w:sz w:val="24"/>
          <w:szCs w:val="24"/>
        </w:rPr>
        <w:t>不</w:t>
      </w:r>
      <w:r>
        <w:rPr>
          <w:rFonts w:asciiTheme="minorEastAsia" w:eastAsiaTheme="minorEastAsia" w:hAnsiTheme="minorEastAsia"/>
          <w:sz w:val="24"/>
          <w:szCs w:val="24"/>
        </w:rPr>
        <w:t>含1000万元）的申购（含定期定额投资和转换转入</w:t>
      </w:r>
      <w:r>
        <w:rPr>
          <w:rFonts w:asciiTheme="minorEastAsia" w:eastAsiaTheme="minorEastAsia" w:hAnsiTheme="minorEastAsia" w:hint="eastAsia"/>
          <w:sz w:val="24"/>
          <w:szCs w:val="24"/>
        </w:rPr>
        <w:t>）</w:t>
      </w:r>
      <w:r>
        <w:rPr>
          <w:rFonts w:asciiTheme="minorEastAsia" w:eastAsiaTheme="minorEastAsia" w:hAnsiTheme="minorEastAsia"/>
          <w:sz w:val="24"/>
          <w:szCs w:val="24"/>
        </w:rPr>
        <w:t>申请。如</w:t>
      </w:r>
      <w:r w:rsidR="006A569E">
        <w:rPr>
          <w:rFonts w:asciiTheme="minorEastAsia" w:eastAsiaTheme="minorEastAsia" w:hAnsiTheme="minorEastAsia" w:hint="eastAsia"/>
          <w:color w:val="000000"/>
          <w:sz w:val="24"/>
          <w:szCs w:val="24"/>
        </w:rPr>
        <w:t>机构</w:t>
      </w:r>
      <w:r w:rsidR="006A569E">
        <w:rPr>
          <w:rFonts w:asciiTheme="minorEastAsia" w:eastAsiaTheme="minorEastAsia" w:hAnsiTheme="minorEastAsia"/>
          <w:color w:val="000000"/>
          <w:sz w:val="24"/>
          <w:szCs w:val="24"/>
        </w:rPr>
        <w:t>投资者</w:t>
      </w:r>
      <w:r>
        <w:rPr>
          <w:rFonts w:asciiTheme="minorEastAsia" w:eastAsiaTheme="minorEastAsia" w:hAnsiTheme="minorEastAsia"/>
          <w:sz w:val="24"/>
          <w:szCs w:val="24"/>
        </w:rPr>
        <w:t>单日单个基金账户单笔申购（含定期定额投资和转换转入</w:t>
      </w:r>
      <w:r>
        <w:rPr>
          <w:rFonts w:asciiTheme="minorEastAsia" w:eastAsiaTheme="minorEastAsia" w:hAnsiTheme="minorEastAsia" w:hint="eastAsia"/>
          <w:sz w:val="24"/>
          <w:szCs w:val="24"/>
        </w:rPr>
        <w:t>）</w:t>
      </w:r>
      <w:r>
        <w:rPr>
          <w:rFonts w:asciiTheme="minorEastAsia" w:eastAsiaTheme="minorEastAsia" w:hAnsiTheme="minorEastAsia"/>
          <w:sz w:val="24"/>
          <w:szCs w:val="24"/>
        </w:rPr>
        <w:t>本基金的金额超过1000万元（</w:t>
      </w:r>
      <w:r>
        <w:rPr>
          <w:rFonts w:asciiTheme="minorEastAsia" w:eastAsiaTheme="minorEastAsia" w:hAnsiTheme="minorEastAsia" w:hint="eastAsia"/>
          <w:sz w:val="24"/>
          <w:szCs w:val="24"/>
        </w:rPr>
        <w:t>不</w:t>
      </w:r>
      <w:r>
        <w:rPr>
          <w:rFonts w:asciiTheme="minorEastAsia" w:eastAsiaTheme="minorEastAsia" w:hAnsiTheme="minorEastAsia"/>
          <w:sz w:val="24"/>
          <w:szCs w:val="24"/>
        </w:rPr>
        <w:t>含1000万元），对该笔申购（含定期定额投资和转换转入）申请本公司有权拒绝；如</w:t>
      </w:r>
      <w:r w:rsidR="006A569E">
        <w:rPr>
          <w:rFonts w:asciiTheme="minorEastAsia" w:eastAsiaTheme="minorEastAsia" w:hAnsiTheme="minorEastAsia" w:hint="eastAsia"/>
          <w:color w:val="000000"/>
          <w:sz w:val="24"/>
          <w:szCs w:val="24"/>
        </w:rPr>
        <w:t>机构</w:t>
      </w:r>
      <w:r w:rsidR="006A569E">
        <w:rPr>
          <w:rFonts w:asciiTheme="minorEastAsia" w:eastAsiaTheme="minorEastAsia" w:hAnsiTheme="minorEastAsia"/>
          <w:color w:val="000000"/>
          <w:sz w:val="24"/>
          <w:szCs w:val="24"/>
        </w:rPr>
        <w:t>投资者</w:t>
      </w:r>
      <w:r>
        <w:rPr>
          <w:rFonts w:asciiTheme="minorEastAsia" w:eastAsiaTheme="minorEastAsia" w:hAnsiTheme="minorEastAsia"/>
          <w:sz w:val="24"/>
          <w:szCs w:val="24"/>
        </w:rPr>
        <w:t>单日单个基金账户多笔累计申购（含定期定额投资和转换转入）本基金</w:t>
      </w:r>
      <w:r w:rsidR="001D7AAD">
        <w:rPr>
          <w:rFonts w:asciiTheme="minorEastAsia" w:eastAsiaTheme="minorEastAsia" w:hAnsiTheme="minorEastAsia"/>
          <w:sz w:val="24"/>
          <w:szCs w:val="24"/>
        </w:rPr>
        <w:t>单一类别</w:t>
      </w:r>
      <w:r>
        <w:rPr>
          <w:rFonts w:asciiTheme="minorEastAsia" w:eastAsiaTheme="minorEastAsia" w:hAnsiTheme="minorEastAsia"/>
          <w:sz w:val="24"/>
          <w:szCs w:val="24"/>
        </w:rPr>
        <w:t>的金额超过1000万元（</w:t>
      </w:r>
      <w:r>
        <w:rPr>
          <w:rFonts w:asciiTheme="minorEastAsia" w:eastAsiaTheme="minorEastAsia" w:hAnsiTheme="minorEastAsia" w:hint="eastAsia"/>
          <w:sz w:val="24"/>
          <w:szCs w:val="24"/>
        </w:rPr>
        <w:t>不</w:t>
      </w:r>
      <w:r>
        <w:rPr>
          <w:rFonts w:asciiTheme="minorEastAsia" w:eastAsiaTheme="minorEastAsia" w:hAnsiTheme="minorEastAsia"/>
          <w:sz w:val="24"/>
          <w:szCs w:val="24"/>
        </w:rPr>
        <w:t>含1000万元），对超过限额的该笔或多笔申购（含定期定额投资和转换转入）申请本公司有权拒绝。</w:t>
      </w:r>
      <w:r w:rsidR="003B482F" w:rsidRPr="003B482F">
        <w:rPr>
          <w:rFonts w:asciiTheme="minorEastAsia" w:eastAsiaTheme="minorEastAsia" w:hAnsiTheme="minorEastAsia" w:hint="eastAsia"/>
          <w:sz w:val="24"/>
          <w:szCs w:val="24"/>
        </w:rPr>
        <w:t>本基金个人投资者大额申购（含定期定额投资）和转换转入的限制金额维持1000万元（不含）不变。</w:t>
      </w:r>
    </w:p>
    <w:p w:rsidR="0015455D" w:rsidRDefault="0068222D">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在本基金暂停大额申购（含定期定额投资和转换转入）业务期间，本基金的赎回、转换转出等业务正常办理。</w:t>
      </w:r>
      <w:r>
        <w:rPr>
          <w:rFonts w:asciiTheme="minorEastAsia" w:eastAsiaTheme="minorEastAsia" w:hAnsiTheme="minorEastAsia" w:hint="eastAsia"/>
          <w:sz w:val="24"/>
          <w:szCs w:val="24"/>
        </w:rPr>
        <w:t>本基金恢复办理正常申购（含定期定额投资和转换转入）业务的具体时间，将另行公告。</w:t>
      </w:r>
    </w:p>
    <w:p w:rsidR="0015455D" w:rsidRDefault="0068222D">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投资者如欲了解详情，可登陆本公司网站（www.bocim.com）或拨打客户服务电话：400-888-5566；021-38834788。</w:t>
      </w:r>
    </w:p>
    <w:p w:rsidR="0015455D" w:rsidRDefault="0068222D">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 xml:space="preserve">风险提示： </w:t>
      </w:r>
    </w:p>
    <w:p w:rsidR="0015455D" w:rsidRDefault="0068222D">
      <w:pPr>
        <w:spacing w:line="56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买者自负”原则，在做出投资决策后，基金</w:t>
      </w:r>
      <w:r>
        <w:rPr>
          <w:rFonts w:asciiTheme="minorEastAsia" w:eastAsiaTheme="minorEastAsia" w:hAnsiTheme="minorEastAsia" w:hint="eastAsia"/>
          <w:sz w:val="24"/>
          <w:szCs w:val="24"/>
        </w:rPr>
        <w:lastRenderedPageBreak/>
        <w:t>运营状况与基金净值变化引致的投资风险，由投资者自行负担。</w:t>
      </w:r>
    </w:p>
    <w:p w:rsidR="0015455D" w:rsidRDefault="0068222D">
      <w:pPr>
        <w:spacing w:line="56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投资者投资本基金前应认真阅读基金合同、招募说明书</w:t>
      </w:r>
      <w:r w:rsidR="00286FE1">
        <w:rPr>
          <w:rFonts w:asciiTheme="minorEastAsia" w:eastAsiaTheme="minorEastAsia" w:hAnsiTheme="minorEastAsia" w:hint="eastAsia"/>
          <w:sz w:val="24"/>
          <w:szCs w:val="24"/>
        </w:rPr>
        <w:t>、产品资料概要</w:t>
      </w:r>
      <w:r>
        <w:rPr>
          <w:rFonts w:asciiTheme="minorEastAsia" w:eastAsiaTheme="minorEastAsia" w:hAnsiTheme="minorEastAsia" w:hint="eastAsia"/>
          <w:sz w:val="24"/>
          <w:szCs w:val="24"/>
        </w:rPr>
        <w:t>等文件，了解拟投资基金的风险收益特征，并根据自身投资目的、投资期限、投资经验、资产状况等判断基金是否和投资者的风险承受能力相匹配，并按照销售机构的要求完成风险承受能力与产品风险之间的匹配检验。</w:t>
      </w:r>
    </w:p>
    <w:p w:rsidR="0015455D" w:rsidRDefault="0068222D">
      <w:pPr>
        <w:spacing w:line="560" w:lineRule="exact"/>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p w:rsidR="0015455D" w:rsidRDefault="0068222D">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15455D" w:rsidRDefault="0015455D">
      <w:pPr>
        <w:spacing w:line="560" w:lineRule="exact"/>
        <w:ind w:firstLine="420"/>
        <w:jc w:val="right"/>
        <w:rPr>
          <w:rFonts w:asciiTheme="minorEastAsia" w:eastAsiaTheme="minorEastAsia" w:hAnsiTheme="minorEastAsia"/>
          <w:sz w:val="24"/>
          <w:szCs w:val="24"/>
        </w:rPr>
      </w:pPr>
    </w:p>
    <w:p w:rsidR="0015455D" w:rsidRDefault="0068222D">
      <w:pPr>
        <w:spacing w:line="560" w:lineRule="exact"/>
        <w:ind w:firstLine="420"/>
        <w:jc w:val="right"/>
        <w:rPr>
          <w:rFonts w:asciiTheme="minorEastAsia" w:eastAsiaTheme="minorEastAsia" w:hAnsiTheme="minorEastAsia"/>
          <w:sz w:val="24"/>
          <w:szCs w:val="24"/>
        </w:rPr>
      </w:pPr>
      <w:bookmarkStart w:id="2" w:name="_GoBack"/>
      <w:bookmarkEnd w:id="2"/>
      <w:r>
        <w:rPr>
          <w:rFonts w:asciiTheme="minorEastAsia" w:eastAsiaTheme="minorEastAsia" w:hAnsiTheme="minorEastAsia"/>
          <w:sz w:val="24"/>
          <w:szCs w:val="24"/>
        </w:rPr>
        <w:t xml:space="preserve">中银基金管理有限公司 </w:t>
      </w:r>
    </w:p>
    <w:p w:rsidR="0015455D" w:rsidRDefault="00CA63C0">
      <w:pPr>
        <w:spacing w:line="560" w:lineRule="exact"/>
        <w:ind w:firstLine="420"/>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20</w:t>
      </w:r>
      <w:r>
        <w:rPr>
          <w:rFonts w:asciiTheme="minorEastAsia" w:eastAsiaTheme="minorEastAsia" w:hAnsiTheme="minorEastAsia"/>
          <w:kern w:val="0"/>
          <w:sz w:val="24"/>
          <w:szCs w:val="24"/>
        </w:rPr>
        <w:t>2</w:t>
      </w:r>
      <w:r>
        <w:rPr>
          <w:rFonts w:asciiTheme="minorEastAsia" w:eastAsiaTheme="minorEastAsia" w:hAnsiTheme="minorEastAsia" w:hint="eastAsia"/>
          <w:kern w:val="0"/>
          <w:sz w:val="24"/>
          <w:szCs w:val="24"/>
        </w:rPr>
        <w:t>2年</w:t>
      </w:r>
      <w:r w:rsidR="00F75583">
        <w:rPr>
          <w:rFonts w:asciiTheme="minorEastAsia" w:eastAsiaTheme="minorEastAsia" w:hAnsiTheme="minorEastAsia"/>
          <w:kern w:val="0"/>
          <w:sz w:val="24"/>
          <w:szCs w:val="24"/>
        </w:rPr>
        <w:t>12</w:t>
      </w:r>
      <w:r w:rsidR="0068222D">
        <w:rPr>
          <w:rFonts w:asciiTheme="minorEastAsia" w:eastAsiaTheme="minorEastAsia" w:hAnsiTheme="minorEastAsia"/>
          <w:kern w:val="0"/>
          <w:sz w:val="24"/>
          <w:szCs w:val="24"/>
        </w:rPr>
        <w:t>月</w:t>
      </w:r>
      <w:r w:rsidR="00F75583">
        <w:rPr>
          <w:rFonts w:asciiTheme="minorEastAsia" w:eastAsiaTheme="minorEastAsia" w:hAnsiTheme="minorEastAsia"/>
          <w:kern w:val="0"/>
          <w:sz w:val="24"/>
          <w:szCs w:val="24"/>
        </w:rPr>
        <w:t>3</w:t>
      </w:r>
      <w:r w:rsidR="008563FE">
        <w:rPr>
          <w:rFonts w:asciiTheme="minorEastAsia" w:eastAsiaTheme="minorEastAsia" w:hAnsiTheme="minorEastAsia"/>
          <w:kern w:val="0"/>
          <w:sz w:val="24"/>
          <w:szCs w:val="24"/>
        </w:rPr>
        <w:t>0</w:t>
      </w:r>
      <w:r w:rsidR="0068222D">
        <w:rPr>
          <w:rFonts w:asciiTheme="minorEastAsia" w:eastAsiaTheme="minorEastAsia" w:hAnsiTheme="minorEastAsia" w:hint="eastAsia"/>
          <w:kern w:val="0"/>
          <w:sz w:val="24"/>
          <w:szCs w:val="24"/>
        </w:rPr>
        <w:t>日</w:t>
      </w:r>
    </w:p>
    <w:sectPr w:rsidR="0015455D" w:rsidSect="00F81B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3AA" w:rsidRDefault="000643AA" w:rsidP="006C51C0">
      <w:r>
        <w:separator/>
      </w:r>
    </w:p>
  </w:endnote>
  <w:endnote w:type="continuationSeparator" w:id="0">
    <w:p w:rsidR="000643AA" w:rsidRDefault="000643AA" w:rsidP="006C51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3AA" w:rsidRDefault="000643AA" w:rsidP="006C51C0">
      <w:r>
        <w:separator/>
      </w:r>
    </w:p>
  </w:footnote>
  <w:footnote w:type="continuationSeparator" w:id="0">
    <w:p w:rsidR="000643AA" w:rsidRDefault="000643AA" w:rsidP="006C51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7FA"/>
    <w:rsid w:val="000018CD"/>
    <w:rsid w:val="000020D6"/>
    <w:rsid w:val="00013E86"/>
    <w:rsid w:val="00014582"/>
    <w:rsid w:val="00020378"/>
    <w:rsid w:val="00041353"/>
    <w:rsid w:val="00041D74"/>
    <w:rsid w:val="000643AA"/>
    <w:rsid w:val="000746EF"/>
    <w:rsid w:val="00082D47"/>
    <w:rsid w:val="00082F4A"/>
    <w:rsid w:val="000C48BD"/>
    <w:rsid w:val="000D6ACB"/>
    <w:rsid w:val="000E049E"/>
    <w:rsid w:val="000E2B3D"/>
    <w:rsid w:val="000E4CBF"/>
    <w:rsid w:val="00100A1D"/>
    <w:rsid w:val="001061D9"/>
    <w:rsid w:val="001161A4"/>
    <w:rsid w:val="001169BB"/>
    <w:rsid w:val="001237B8"/>
    <w:rsid w:val="00143EA2"/>
    <w:rsid w:val="0015455D"/>
    <w:rsid w:val="0017175E"/>
    <w:rsid w:val="00180DA3"/>
    <w:rsid w:val="001A3CA1"/>
    <w:rsid w:val="001B2A31"/>
    <w:rsid w:val="001B4F9F"/>
    <w:rsid w:val="001C0A65"/>
    <w:rsid w:val="001C58C3"/>
    <w:rsid w:val="001C7470"/>
    <w:rsid w:val="001D68C2"/>
    <w:rsid w:val="001D7AAD"/>
    <w:rsid w:val="001E4CD3"/>
    <w:rsid w:val="002017AE"/>
    <w:rsid w:val="00207586"/>
    <w:rsid w:val="00243449"/>
    <w:rsid w:val="00245724"/>
    <w:rsid w:val="00251B56"/>
    <w:rsid w:val="00265B63"/>
    <w:rsid w:val="00274F72"/>
    <w:rsid w:val="00283DA5"/>
    <w:rsid w:val="00286FE1"/>
    <w:rsid w:val="0028798D"/>
    <w:rsid w:val="002935EF"/>
    <w:rsid w:val="00297148"/>
    <w:rsid w:val="002A39FD"/>
    <w:rsid w:val="002B7649"/>
    <w:rsid w:val="002C360B"/>
    <w:rsid w:val="002C4F1B"/>
    <w:rsid w:val="002E26DF"/>
    <w:rsid w:val="002F7241"/>
    <w:rsid w:val="00327DA7"/>
    <w:rsid w:val="0033513C"/>
    <w:rsid w:val="0033656B"/>
    <w:rsid w:val="003612CB"/>
    <w:rsid w:val="0036784E"/>
    <w:rsid w:val="00386A1F"/>
    <w:rsid w:val="003A3E8C"/>
    <w:rsid w:val="003B482F"/>
    <w:rsid w:val="0040753A"/>
    <w:rsid w:val="00410E05"/>
    <w:rsid w:val="004165E4"/>
    <w:rsid w:val="00473869"/>
    <w:rsid w:val="00485F5B"/>
    <w:rsid w:val="0048692B"/>
    <w:rsid w:val="004966BA"/>
    <w:rsid w:val="004A0071"/>
    <w:rsid w:val="004C0FFE"/>
    <w:rsid w:val="004C1315"/>
    <w:rsid w:val="004D08B7"/>
    <w:rsid w:val="004D6346"/>
    <w:rsid w:val="004D6A46"/>
    <w:rsid w:val="004E1ABB"/>
    <w:rsid w:val="004E2421"/>
    <w:rsid w:val="004E37E5"/>
    <w:rsid w:val="004E3B06"/>
    <w:rsid w:val="004F0521"/>
    <w:rsid w:val="004F51E8"/>
    <w:rsid w:val="00503B85"/>
    <w:rsid w:val="00534882"/>
    <w:rsid w:val="005350AE"/>
    <w:rsid w:val="00540343"/>
    <w:rsid w:val="00552A2D"/>
    <w:rsid w:val="00556348"/>
    <w:rsid w:val="00564298"/>
    <w:rsid w:val="005647E1"/>
    <w:rsid w:val="00583719"/>
    <w:rsid w:val="005E7207"/>
    <w:rsid w:val="005F1AF0"/>
    <w:rsid w:val="006101E8"/>
    <w:rsid w:val="00614995"/>
    <w:rsid w:val="006239DC"/>
    <w:rsid w:val="00646522"/>
    <w:rsid w:val="006676C9"/>
    <w:rsid w:val="0068222D"/>
    <w:rsid w:val="00685B38"/>
    <w:rsid w:val="006A569E"/>
    <w:rsid w:val="006C51C0"/>
    <w:rsid w:val="006D03D3"/>
    <w:rsid w:val="006D10B5"/>
    <w:rsid w:val="006F012E"/>
    <w:rsid w:val="006F1667"/>
    <w:rsid w:val="00700CA8"/>
    <w:rsid w:val="00703A15"/>
    <w:rsid w:val="00710485"/>
    <w:rsid w:val="00727899"/>
    <w:rsid w:val="00734D3D"/>
    <w:rsid w:val="00753DDE"/>
    <w:rsid w:val="00770DB7"/>
    <w:rsid w:val="00790B53"/>
    <w:rsid w:val="007B1D31"/>
    <w:rsid w:val="007E7751"/>
    <w:rsid w:val="0081164B"/>
    <w:rsid w:val="0082571C"/>
    <w:rsid w:val="00827D4A"/>
    <w:rsid w:val="0083445C"/>
    <w:rsid w:val="00840154"/>
    <w:rsid w:val="0084137B"/>
    <w:rsid w:val="00841AFE"/>
    <w:rsid w:val="008472DB"/>
    <w:rsid w:val="00853A75"/>
    <w:rsid w:val="008563FE"/>
    <w:rsid w:val="00875F57"/>
    <w:rsid w:val="008B3DE1"/>
    <w:rsid w:val="008B4946"/>
    <w:rsid w:val="008C78D6"/>
    <w:rsid w:val="008D2576"/>
    <w:rsid w:val="008D3261"/>
    <w:rsid w:val="008F225D"/>
    <w:rsid w:val="00903019"/>
    <w:rsid w:val="00905C60"/>
    <w:rsid w:val="00932FF1"/>
    <w:rsid w:val="00956194"/>
    <w:rsid w:val="00956B0F"/>
    <w:rsid w:val="00980853"/>
    <w:rsid w:val="009A0B2E"/>
    <w:rsid w:val="009A0B67"/>
    <w:rsid w:val="009C5858"/>
    <w:rsid w:val="00A00830"/>
    <w:rsid w:val="00A43B77"/>
    <w:rsid w:val="00A516C4"/>
    <w:rsid w:val="00A60410"/>
    <w:rsid w:val="00A8318D"/>
    <w:rsid w:val="00AC4283"/>
    <w:rsid w:val="00B101F7"/>
    <w:rsid w:val="00B13229"/>
    <w:rsid w:val="00B210D0"/>
    <w:rsid w:val="00B243AE"/>
    <w:rsid w:val="00B375F0"/>
    <w:rsid w:val="00B40A5A"/>
    <w:rsid w:val="00B5053A"/>
    <w:rsid w:val="00B52AD6"/>
    <w:rsid w:val="00B56790"/>
    <w:rsid w:val="00B62C2E"/>
    <w:rsid w:val="00B91006"/>
    <w:rsid w:val="00B91EB4"/>
    <w:rsid w:val="00BA6967"/>
    <w:rsid w:val="00BB2AF1"/>
    <w:rsid w:val="00BB42C8"/>
    <w:rsid w:val="00BB5DFC"/>
    <w:rsid w:val="00BD601B"/>
    <w:rsid w:val="00BD6D93"/>
    <w:rsid w:val="00BF042E"/>
    <w:rsid w:val="00C011F8"/>
    <w:rsid w:val="00C15842"/>
    <w:rsid w:val="00C468FB"/>
    <w:rsid w:val="00C50193"/>
    <w:rsid w:val="00C6435B"/>
    <w:rsid w:val="00C667B4"/>
    <w:rsid w:val="00C823E5"/>
    <w:rsid w:val="00CA63C0"/>
    <w:rsid w:val="00CC0EB9"/>
    <w:rsid w:val="00CE1B04"/>
    <w:rsid w:val="00CE241E"/>
    <w:rsid w:val="00D0140F"/>
    <w:rsid w:val="00D01A13"/>
    <w:rsid w:val="00D100C9"/>
    <w:rsid w:val="00D114B7"/>
    <w:rsid w:val="00D27BD1"/>
    <w:rsid w:val="00D327FA"/>
    <w:rsid w:val="00D33E60"/>
    <w:rsid w:val="00D37CD5"/>
    <w:rsid w:val="00D61B98"/>
    <w:rsid w:val="00D767F9"/>
    <w:rsid w:val="00D82740"/>
    <w:rsid w:val="00D92D3A"/>
    <w:rsid w:val="00D9794D"/>
    <w:rsid w:val="00DB1B4D"/>
    <w:rsid w:val="00DC1D4F"/>
    <w:rsid w:val="00DC6AD3"/>
    <w:rsid w:val="00DD00F1"/>
    <w:rsid w:val="00DD66A8"/>
    <w:rsid w:val="00DE5E75"/>
    <w:rsid w:val="00E0178A"/>
    <w:rsid w:val="00E413B5"/>
    <w:rsid w:val="00E72255"/>
    <w:rsid w:val="00E74A27"/>
    <w:rsid w:val="00E77D74"/>
    <w:rsid w:val="00EA1448"/>
    <w:rsid w:val="00EA5603"/>
    <w:rsid w:val="00EB208F"/>
    <w:rsid w:val="00EE1823"/>
    <w:rsid w:val="00EF4313"/>
    <w:rsid w:val="00F10504"/>
    <w:rsid w:val="00F14414"/>
    <w:rsid w:val="00F161F0"/>
    <w:rsid w:val="00F22E70"/>
    <w:rsid w:val="00F5252D"/>
    <w:rsid w:val="00F5308C"/>
    <w:rsid w:val="00F603DC"/>
    <w:rsid w:val="00F6418D"/>
    <w:rsid w:val="00F64447"/>
    <w:rsid w:val="00F65D4E"/>
    <w:rsid w:val="00F75583"/>
    <w:rsid w:val="00F775D3"/>
    <w:rsid w:val="00F81B5E"/>
    <w:rsid w:val="00F82861"/>
    <w:rsid w:val="00F875F9"/>
    <w:rsid w:val="00F95610"/>
    <w:rsid w:val="00F96892"/>
    <w:rsid w:val="00FB4870"/>
    <w:rsid w:val="00FB4C26"/>
    <w:rsid w:val="00FB69AA"/>
    <w:rsid w:val="00FC2E1B"/>
    <w:rsid w:val="00FD4504"/>
    <w:rsid w:val="00FD4636"/>
    <w:rsid w:val="00FD542D"/>
    <w:rsid w:val="00FD7428"/>
    <w:rsid w:val="00FF78BA"/>
    <w:rsid w:val="37DA6715"/>
    <w:rsid w:val="57DD1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qFormat="1"/>
    <w:lsdException w:name="footer" w:semiHidden="0" w:qFormat="1"/>
    <w:lsdException w:name="caption" w:uiPriority="35" w:qFormat="1"/>
    <w:lsdException w:name="footnote reference" w:semiHidden="0" w:uiPriority="0" w:unhideWhenUsed="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5E"/>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F81B5E"/>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F81B5E"/>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81B5E"/>
    <w:pPr>
      <w:jc w:val="left"/>
    </w:pPr>
  </w:style>
  <w:style w:type="paragraph" w:styleId="a4">
    <w:name w:val="Balloon Text"/>
    <w:basedOn w:val="a"/>
    <w:link w:val="Char0"/>
    <w:uiPriority w:val="99"/>
    <w:semiHidden/>
    <w:unhideWhenUsed/>
    <w:rsid w:val="00F81B5E"/>
    <w:rPr>
      <w:sz w:val="18"/>
      <w:szCs w:val="18"/>
    </w:rPr>
  </w:style>
  <w:style w:type="paragraph" w:styleId="a5">
    <w:name w:val="footer"/>
    <w:basedOn w:val="a"/>
    <w:link w:val="Char1"/>
    <w:uiPriority w:val="99"/>
    <w:unhideWhenUsed/>
    <w:qFormat/>
    <w:rsid w:val="00F81B5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81B5E"/>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rsid w:val="00F81B5E"/>
    <w:pPr>
      <w:snapToGrid w:val="0"/>
      <w:jc w:val="left"/>
    </w:pPr>
    <w:rPr>
      <w:rFonts w:eastAsia="宋体"/>
      <w:sz w:val="18"/>
    </w:rPr>
  </w:style>
  <w:style w:type="paragraph" w:styleId="a8">
    <w:name w:val="annotation subject"/>
    <w:basedOn w:val="a3"/>
    <w:next w:val="a3"/>
    <w:link w:val="Char4"/>
    <w:uiPriority w:val="99"/>
    <w:semiHidden/>
    <w:unhideWhenUsed/>
    <w:rsid w:val="00F81B5E"/>
    <w:rPr>
      <w:b/>
      <w:bCs/>
    </w:rPr>
  </w:style>
  <w:style w:type="character" w:styleId="a9">
    <w:name w:val="annotation reference"/>
    <w:basedOn w:val="a0"/>
    <w:uiPriority w:val="99"/>
    <w:semiHidden/>
    <w:unhideWhenUsed/>
    <w:qFormat/>
    <w:rsid w:val="00F81B5E"/>
    <w:rPr>
      <w:sz w:val="21"/>
      <w:szCs w:val="21"/>
    </w:rPr>
  </w:style>
  <w:style w:type="character" w:styleId="aa">
    <w:name w:val="footnote reference"/>
    <w:basedOn w:val="a0"/>
    <w:rsid w:val="00F81B5E"/>
    <w:rPr>
      <w:vertAlign w:val="superscript"/>
    </w:rPr>
  </w:style>
  <w:style w:type="character" w:customStyle="1" w:styleId="1Char">
    <w:name w:val="标题 1 Char"/>
    <w:basedOn w:val="a0"/>
    <w:link w:val="1"/>
    <w:rsid w:val="00F81B5E"/>
    <w:rPr>
      <w:rFonts w:ascii="Times New Roman" w:eastAsia="宋体" w:hAnsi="Times New Roman" w:cs="Times New Roman"/>
      <w:b/>
      <w:bCs/>
      <w:kern w:val="44"/>
      <w:sz w:val="44"/>
      <w:szCs w:val="44"/>
    </w:rPr>
  </w:style>
  <w:style w:type="character" w:customStyle="1" w:styleId="2Char">
    <w:name w:val="标题 2 Char"/>
    <w:basedOn w:val="a0"/>
    <w:link w:val="2"/>
    <w:rsid w:val="00F81B5E"/>
    <w:rPr>
      <w:rFonts w:ascii="Arial" w:eastAsia="黑体" w:hAnsi="Arial" w:cs="Times New Roman"/>
      <w:b/>
      <w:bCs/>
      <w:sz w:val="32"/>
      <w:szCs w:val="32"/>
    </w:rPr>
  </w:style>
  <w:style w:type="character" w:customStyle="1" w:styleId="Char3">
    <w:name w:val="脚注文本 Char"/>
    <w:basedOn w:val="a0"/>
    <w:link w:val="a7"/>
    <w:rsid w:val="00F81B5E"/>
    <w:rPr>
      <w:rFonts w:ascii="Times New Roman" w:eastAsia="宋体" w:hAnsi="Times New Roman" w:cs="Times New Roman"/>
      <w:sz w:val="18"/>
      <w:szCs w:val="20"/>
    </w:rPr>
  </w:style>
  <w:style w:type="character" w:customStyle="1" w:styleId="Char0">
    <w:name w:val="批注框文本 Char"/>
    <w:basedOn w:val="a0"/>
    <w:link w:val="a4"/>
    <w:uiPriority w:val="99"/>
    <w:semiHidden/>
    <w:rsid w:val="00F81B5E"/>
    <w:rPr>
      <w:rFonts w:ascii="Times New Roman" w:eastAsia="方正仿宋简体" w:hAnsi="Times New Roman" w:cs="Times New Roman"/>
      <w:sz w:val="18"/>
      <w:szCs w:val="18"/>
    </w:rPr>
  </w:style>
  <w:style w:type="character" w:customStyle="1" w:styleId="Char2">
    <w:name w:val="页眉 Char"/>
    <w:basedOn w:val="a0"/>
    <w:link w:val="a6"/>
    <w:uiPriority w:val="99"/>
    <w:qFormat/>
    <w:rsid w:val="00F81B5E"/>
    <w:rPr>
      <w:rFonts w:ascii="Times New Roman" w:eastAsia="方正仿宋简体" w:hAnsi="Times New Roman" w:cs="Times New Roman"/>
      <w:sz w:val="18"/>
      <w:szCs w:val="18"/>
    </w:rPr>
  </w:style>
  <w:style w:type="character" w:customStyle="1" w:styleId="Char1">
    <w:name w:val="页脚 Char"/>
    <w:basedOn w:val="a0"/>
    <w:link w:val="a5"/>
    <w:uiPriority w:val="99"/>
    <w:rsid w:val="00F81B5E"/>
    <w:rPr>
      <w:rFonts w:ascii="Times New Roman" w:eastAsia="方正仿宋简体" w:hAnsi="Times New Roman" w:cs="Times New Roman"/>
      <w:sz w:val="18"/>
      <w:szCs w:val="18"/>
    </w:rPr>
  </w:style>
  <w:style w:type="character" w:customStyle="1" w:styleId="Char">
    <w:name w:val="批注文字 Char"/>
    <w:basedOn w:val="a0"/>
    <w:link w:val="a3"/>
    <w:uiPriority w:val="99"/>
    <w:semiHidden/>
    <w:qFormat/>
    <w:rsid w:val="00F81B5E"/>
    <w:rPr>
      <w:rFonts w:ascii="Times New Roman" w:eastAsia="方正仿宋简体" w:hAnsi="Times New Roman" w:cs="Times New Roman"/>
      <w:sz w:val="32"/>
      <w:szCs w:val="20"/>
    </w:rPr>
  </w:style>
  <w:style w:type="character" w:customStyle="1" w:styleId="Char4">
    <w:name w:val="批注主题 Char"/>
    <w:basedOn w:val="Char"/>
    <w:link w:val="a8"/>
    <w:uiPriority w:val="99"/>
    <w:semiHidden/>
    <w:rsid w:val="00F81B5E"/>
    <w:rPr>
      <w:rFonts w:ascii="Times New Roman" w:eastAsia="方正仿宋简体" w:hAnsi="Times New Roman" w:cs="Times New Roman"/>
      <w:b/>
      <w:bCs/>
      <w:sz w:val="32"/>
      <w:szCs w:val="20"/>
    </w:rPr>
  </w:style>
  <w:style w:type="paragraph" w:customStyle="1" w:styleId="10">
    <w:name w:val="修订1"/>
    <w:hidden/>
    <w:uiPriority w:val="99"/>
    <w:semiHidden/>
    <w:qFormat/>
    <w:rsid w:val="00F81B5E"/>
    <w:rPr>
      <w:rFonts w:ascii="Times New Roman" w:eastAsia="方正仿宋简体" w:hAnsi="Times New Roman" w:cs="Times New Roman"/>
      <w:kern w:val="2"/>
      <w:sz w:val="32"/>
    </w:rPr>
  </w:style>
  <w:style w:type="paragraph" w:styleId="ab">
    <w:name w:val="Revision"/>
    <w:hidden/>
    <w:uiPriority w:val="99"/>
    <w:semiHidden/>
    <w:rsid w:val="00F75583"/>
    <w:rPr>
      <w:rFonts w:ascii="Times New Roman" w:eastAsia="方正仿宋简体" w:hAnsi="Times New Roman" w:cs="Times New Roman"/>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1244</Characters>
  <Application>Microsoft Office Word</Application>
  <DocSecurity>4</DocSecurity>
  <Lines>10</Lines>
  <Paragraphs>2</Paragraphs>
  <ScaleCrop>false</ScaleCrop>
  <Company>微软中国</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2022-12-29T16:04:00Z</dcterms:created>
  <dcterms:modified xsi:type="dcterms:W3CDTF">2022-12-29T16:04:00Z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E23A47FA435345C8B99C32C31A9D6CDA</vt:lpwstr>
  </property>
</Properties>
</file>