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210D" w:rsidRDefault="0041210D">
      <w:pPr>
        <w:rPr>
          <w:sz w:val="48"/>
        </w:rPr>
      </w:pPr>
      <w:bookmarkStart w:id="0" w:name="_Toc247416619"/>
    </w:p>
    <w:p w:rsidR="0041210D" w:rsidRDefault="0041210D">
      <w:pPr>
        <w:rPr>
          <w:sz w:val="48"/>
        </w:rPr>
      </w:pPr>
    </w:p>
    <w:p w:rsidR="0041210D" w:rsidRDefault="00FE54B6">
      <w:pPr>
        <w:jc w:val="center"/>
        <w:rPr>
          <w:b/>
          <w:bCs/>
          <w:sz w:val="48"/>
          <w:szCs w:val="30"/>
        </w:rPr>
      </w:pPr>
      <w:r>
        <w:rPr>
          <w:b/>
          <w:bCs/>
          <w:sz w:val="48"/>
          <w:szCs w:val="30"/>
        </w:rPr>
        <w:t>中</w:t>
      </w:r>
      <w:r>
        <w:rPr>
          <w:rFonts w:hint="eastAsia"/>
          <w:b/>
          <w:bCs/>
          <w:sz w:val="48"/>
          <w:szCs w:val="30"/>
        </w:rPr>
        <w:t>融量化智选混合型证券投资基金</w:t>
      </w:r>
    </w:p>
    <w:p w:rsidR="0041210D" w:rsidRDefault="00FE54B6">
      <w:pPr>
        <w:jc w:val="center"/>
        <w:rPr>
          <w:b/>
          <w:bCs/>
          <w:sz w:val="48"/>
          <w:szCs w:val="30"/>
        </w:rPr>
      </w:pPr>
      <w:r>
        <w:rPr>
          <w:b/>
          <w:bCs/>
          <w:sz w:val="48"/>
          <w:szCs w:val="30"/>
        </w:rPr>
        <w:t>清算报告</w:t>
      </w:r>
    </w:p>
    <w:p w:rsidR="0041210D" w:rsidRDefault="0041210D">
      <w:pPr>
        <w:jc w:val="center"/>
        <w:rPr>
          <w:b/>
          <w:bCs/>
          <w:sz w:val="28"/>
          <w:szCs w:val="30"/>
        </w:rPr>
      </w:pPr>
    </w:p>
    <w:p w:rsidR="0041210D" w:rsidRDefault="0041210D">
      <w:pPr>
        <w:jc w:val="center"/>
        <w:rPr>
          <w:sz w:val="28"/>
          <w:szCs w:val="30"/>
        </w:rPr>
      </w:pPr>
    </w:p>
    <w:p w:rsidR="0041210D" w:rsidRDefault="0041210D">
      <w:pPr>
        <w:jc w:val="center"/>
        <w:rPr>
          <w:sz w:val="28"/>
          <w:szCs w:val="30"/>
        </w:rPr>
      </w:pPr>
    </w:p>
    <w:p w:rsidR="0041210D" w:rsidRDefault="0041210D">
      <w:pPr>
        <w:jc w:val="center"/>
        <w:rPr>
          <w:sz w:val="28"/>
          <w:szCs w:val="30"/>
        </w:rPr>
      </w:pPr>
    </w:p>
    <w:p w:rsidR="0041210D" w:rsidRDefault="0041210D">
      <w:pPr>
        <w:ind w:rightChars="-230" w:right="-483"/>
        <w:jc w:val="center"/>
        <w:rPr>
          <w:sz w:val="28"/>
          <w:szCs w:val="30"/>
        </w:rPr>
      </w:pPr>
    </w:p>
    <w:p w:rsidR="0041210D" w:rsidRDefault="0041210D">
      <w:pPr>
        <w:ind w:rightChars="-230" w:right="-483"/>
        <w:jc w:val="center"/>
        <w:rPr>
          <w:sz w:val="28"/>
          <w:szCs w:val="30"/>
        </w:rPr>
      </w:pPr>
    </w:p>
    <w:p w:rsidR="0041210D" w:rsidRDefault="0041210D">
      <w:pPr>
        <w:ind w:rightChars="-230" w:right="-483"/>
        <w:jc w:val="center"/>
        <w:rPr>
          <w:sz w:val="28"/>
          <w:szCs w:val="30"/>
        </w:rPr>
      </w:pPr>
    </w:p>
    <w:p w:rsidR="0041210D" w:rsidRDefault="0041210D">
      <w:pPr>
        <w:ind w:rightChars="-230" w:right="-483"/>
        <w:jc w:val="center"/>
        <w:rPr>
          <w:sz w:val="28"/>
          <w:szCs w:val="30"/>
        </w:rPr>
      </w:pPr>
    </w:p>
    <w:p w:rsidR="0041210D" w:rsidRDefault="0041210D">
      <w:pPr>
        <w:ind w:rightChars="-230" w:right="-483"/>
        <w:jc w:val="center"/>
        <w:rPr>
          <w:sz w:val="28"/>
          <w:szCs w:val="30"/>
        </w:rPr>
      </w:pPr>
    </w:p>
    <w:p w:rsidR="0041210D" w:rsidRDefault="0041210D">
      <w:pPr>
        <w:ind w:rightChars="-230" w:right="-483"/>
        <w:jc w:val="center"/>
        <w:rPr>
          <w:sz w:val="28"/>
          <w:szCs w:val="30"/>
        </w:rPr>
      </w:pPr>
    </w:p>
    <w:p w:rsidR="0041210D" w:rsidRDefault="0041210D">
      <w:pPr>
        <w:jc w:val="left"/>
        <w:rPr>
          <w:sz w:val="28"/>
          <w:szCs w:val="30"/>
        </w:rPr>
      </w:pPr>
    </w:p>
    <w:p w:rsidR="0041210D" w:rsidRDefault="00FE54B6">
      <w:pPr>
        <w:ind w:firstLineChars="600" w:firstLine="1687"/>
        <w:jc w:val="left"/>
        <w:rPr>
          <w:b/>
          <w:bCs/>
          <w:sz w:val="28"/>
          <w:szCs w:val="30"/>
        </w:rPr>
      </w:pPr>
      <w:r>
        <w:rPr>
          <w:b/>
          <w:bCs/>
          <w:sz w:val="28"/>
          <w:szCs w:val="30"/>
        </w:rPr>
        <w:t>基金管理人：</w:t>
      </w:r>
      <w:r>
        <w:rPr>
          <w:rFonts w:hint="eastAsia"/>
          <w:b/>
          <w:bCs/>
          <w:sz w:val="28"/>
          <w:szCs w:val="30"/>
        </w:rPr>
        <w:t>中融</w:t>
      </w:r>
      <w:r>
        <w:rPr>
          <w:b/>
          <w:bCs/>
          <w:sz w:val="28"/>
          <w:szCs w:val="30"/>
        </w:rPr>
        <w:t>基金管理有限公司</w:t>
      </w:r>
    </w:p>
    <w:p w:rsidR="0041210D" w:rsidRDefault="00FE54B6">
      <w:pPr>
        <w:ind w:firstLineChars="600" w:firstLine="1687"/>
        <w:jc w:val="left"/>
        <w:rPr>
          <w:b/>
          <w:bCs/>
          <w:sz w:val="28"/>
          <w:szCs w:val="30"/>
        </w:rPr>
      </w:pPr>
      <w:r>
        <w:rPr>
          <w:b/>
          <w:bCs/>
          <w:sz w:val="28"/>
          <w:szCs w:val="30"/>
        </w:rPr>
        <w:t>基金托管人：</w:t>
      </w:r>
      <w:r>
        <w:rPr>
          <w:rFonts w:hint="eastAsia"/>
          <w:b/>
          <w:bCs/>
          <w:sz w:val="28"/>
          <w:szCs w:val="30"/>
        </w:rPr>
        <w:t>中国</w:t>
      </w:r>
      <w:r>
        <w:rPr>
          <w:b/>
          <w:bCs/>
          <w:sz w:val="28"/>
          <w:szCs w:val="30"/>
        </w:rPr>
        <w:t>工商</w:t>
      </w:r>
      <w:r>
        <w:rPr>
          <w:rFonts w:hint="eastAsia"/>
          <w:b/>
          <w:bCs/>
          <w:sz w:val="28"/>
          <w:szCs w:val="30"/>
        </w:rPr>
        <w:t>银行股份有限公司</w:t>
      </w:r>
    </w:p>
    <w:p w:rsidR="0041210D" w:rsidRDefault="00FE54B6">
      <w:pPr>
        <w:ind w:firstLineChars="600" w:firstLine="1687"/>
        <w:jc w:val="left"/>
        <w:rPr>
          <w:b/>
          <w:bCs/>
          <w:sz w:val="28"/>
          <w:szCs w:val="30"/>
        </w:rPr>
      </w:pPr>
      <w:r>
        <w:rPr>
          <w:b/>
          <w:bCs/>
          <w:sz w:val="28"/>
          <w:szCs w:val="30"/>
        </w:rPr>
        <w:t>公告日期：</w:t>
      </w:r>
      <w:r>
        <w:rPr>
          <w:b/>
          <w:bCs/>
          <w:sz w:val="28"/>
          <w:szCs w:val="30"/>
        </w:rPr>
        <w:t>2022</w:t>
      </w:r>
      <w:r>
        <w:rPr>
          <w:b/>
          <w:bCs/>
          <w:sz w:val="28"/>
          <w:szCs w:val="30"/>
        </w:rPr>
        <w:t>年</w:t>
      </w:r>
      <w:r w:rsidR="00815B0C">
        <w:rPr>
          <w:b/>
          <w:bCs/>
          <w:sz w:val="28"/>
          <w:szCs w:val="30"/>
        </w:rPr>
        <w:t>12</w:t>
      </w:r>
      <w:r>
        <w:rPr>
          <w:b/>
          <w:bCs/>
          <w:sz w:val="28"/>
          <w:szCs w:val="30"/>
        </w:rPr>
        <w:t>月</w:t>
      </w:r>
      <w:r w:rsidR="00815B0C">
        <w:rPr>
          <w:b/>
          <w:bCs/>
          <w:sz w:val="28"/>
          <w:szCs w:val="30"/>
        </w:rPr>
        <w:t>24</w:t>
      </w:r>
      <w:bookmarkStart w:id="1" w:name="_GoBack"/>
      <w:bookmarkEnd w:id="1"/>
      <w:r>
        <w:rPr>
          <w:b/>
          <w:bCs/>
          <w:sz w:val="28"/>
          <w:szCs w:val="30"/>
        </w:rPr>
        <w:t>日</w:t>
      </w:r>
    </w:p>
    <w:p w:rsidR="0041210D" w:rsidRDefault="0041210D">
      <w:pPr>
        <w:ind w:firstLineChars="600" w:firstLine="1680"/>
        <w:jc w:val="left"/>
        <w:rPr>
          <w:sz w:val="28"/>
          <w:szCs w:val="30"/>
        </w:rPr>
      </w:pPr>
    </w:p>
    <w:p w:rsidR="0041210D" w:rsidRDefault="0041210D">
      <w:pPr>
        <w:ind w:firstLineChars="600" w:firstLine="1680"/>
        <w:jc w:val="left"/>
        <w:rPr>
          <w:sz w:val="28"/>
          <w:szCs w:val="30"/>
        </w:rPr>
      </w:pPr>
    </w:p>
    <w:p w:rsidR="0041210D" w:rsidRDefault="0041210D">
      <w:pPr>
        <w:ind w:firstLineChars="600" w:firstLine="1680"/>
        <w:jc w:val="left"/>
        <w:rPr>
          <w:sz w:val="28"/>
          <w:szCs w:val="30"/>
        </w:rPr>
      </w:pPr>
    </w:p>
    <w:p w:rsidR="0041210D" w:rsidRDefault="00FE54B6">
      <w:pPr>
        <w:pStyle w:val="XBRLTitle1"/>
        <w:numPr>
          <w:ilvl w:val="0"/>
          <w:numId w:val="0"/>
        </w:numPr>
        <w:spacing w:before="156" w:after="156"/>
        <w:ind w:left="425"/>
        <w:jc w:val="left"/>
        <w:rPr>
          <w:rFonts w:asciiTheme="minorEastAsia" w:eastAsiaTheme="minorEastAsia" w:hAnsiTheme="minorEastAsia"/>
        </w:rPr>
      </w:pPr>
      <w:bookmarkStart w:id="2" w:name="_Toc498069519"/>
      <w:r>
        <w:rPr>
          <w:rFonts w:asciiTheme="minorEastAsia" w:eastAsiaTheme="minorEastAsia" w:hAnsiTheme="minorEastAsia"/>
        </w:rPr>
        <w:lastRenderedPageBreak/>
        <w:t>一、重要提示及目录</w:t>
      </w:r>
      <w:bookmarkEnd w:id="0"/>
      <w:bookmarkEnd w:id="2"/>
    </w:p>
    <w:p w:rsidR="0041210D" w:rsidRDefault="00FE54B6">
      <w:pPr>
        <w:pStyle w:val="XBRLTitle2"/>
        <w:numPr>
          <w:ilvl w:val="0"/>
          <w:numId w:val="0"/>
        </w:numPr>
        <w:spacing w:before="156" w:after="156"/>
        <w:ind w:left="454" w:hanging="454"/>
        <w:rPr>
          <w:rFonts w:asciiTheme="minorEastAsia" w:eastAsiaTheme="minorEastAsia" w:hAnsiTheme="minorEastAsia"/>
        </w:rPr>
      </w:pPr>
      <w:bookmarkStart w:id="3" w:name="_Toc498069520"/>
      <w:bookmarkStart w:id="4" w:name="_Toc247416620"/>
      <w:bookmarkStart w:id="5" w:name="m01_01"/>
      <w:r>
        <w:rPr>
          <w:rFonts w:asciiTheme="minorEastAsia" w:eastAsiaTheme="minorEastAsia" w:hAnsiTheme="minorEastAsia"/>
        </w:rPr>
        <w:t>1、重要提示</w:t>
      </w:r>
      <w:bookmarkEnd w:id="3"/>
      <w:bookmarkEnd w:id="4"/>
    </w:p>
    <w:p w:rsidR="0041210D" w:rsidRDefault="00FE54B6">
      <w:pPr>
        <w:pStyle w:val="Default"/>
        <w:spacing w:line="360" w:lineRule="auto"/>
        <w:ind w:firstLineChars="236" w:firstLine="566"/>
        <w:jc w:val="both"/>
        <w:rPr>
          <w:rFonts w:hAnsi="宋体"/>
          <w:bCs/>
        </w:rPr>
      </w:pPr>
      <w:r>
        <w:rPr>
          <w:rFonts w:hAnsi="宋体" w:hint="eastAsia"/>
          <w:bCs/>
        </w:rPr>
        <w:t>中融量化智选混合型证券投资基金(以下简称“本基金”或</w:t>
      </w:r>
      <w:r>
        <w:rPr>
          <w:rFonts w:hAnsi="宋体"/>
          <w:bCs/>
        </w:rPr>
        <w:t>“</w:t>
      </w:r>
      <w:r>
        <w:rPr>
          <w:rFonts w:hAnsi="宋体" w:hint="eastAsia"/>
          <w:bCs/>
        </w:rPr>
        <w:t>中融量化智选</w:t>
      </w:r>
      <w:r>
        <w:rPr>
          <w:rFonts w:hAnsi="宋体"/>
          <w:bCs/>
        </w:rPr>
        <w:t>”</w:t>
      </w:r>
      <w:r>
        <w:rPr>
          <w:rFonts w:hAnsi="宋体" w:hint="eastAsia"/>
          <w:bCs/>
        </w:rPr>
        <w:t>)经中国证券监督管理委员会(以下简称“中国证监会”)证监许可[201</w:t>
      </w:r>
      <w:r>
        <w:rPr>
          <w:rFonts w:hAnsi="宋体"/>
          <w:bCs/>
        </w:rPr>
        <w:t>7</w:t>
      </w:r>
      <w:r>
        <w:rPr>
          <w:rFonts w:hAnsi="宋体" w:hint="eastAsia"/>
          <w:bCs/>
        </w:rPr>
        <w:t xml:space="preserve">] </w:t>
      </w:r>
      <w:r>
        <w:rPr>
          <w:rFonts w:hAnsi="宋体"/>
          <w:bCs/>
        </w:rPr>
        <w:t>71</w:t>
      </w:r>
      <w:r>
        <w:rPr>
          <w:rFonts w:hAnsi="宋体" w:hint="eastAsia"/>
          <w:bCs/>
        </w:rPr>
        <w:t>号文《关于准予中融量化智选混合型证券投资基金注册的批复》注册，于201</w:t>
      </w:r>
      <w:r>
        <w:rPr>
          <w:rFonts w:hAnsi="宋体"/>
          <w:bCs/>
        </w:rPr>
        <w:t>7</w:t>
      </w:r>
      <w:r>
        <w:rPr>
          <w:rFonts w:hAnsi="宋体" w:hint="eastAsia"/>
          <w:bCs/>
        </w:rPr>
        <w:t>年</w:t>
      </w:r>
      <w:r>
        <w:rPr>
          <w:rFonts w:hAnsi="宋体"/>
          <w:bCs/>
        </w:rPr>
        <w:t>3</w:t>
      </w:r>
      <w:r>
        <w:rPr>
          <w:rFonts w:hAnsi="宋体" w:hint="eastAsia"/>
          <w:bCs/>
        </w:rPr>
        <w:t>月</w:t>
      </w:r>
      <w:r>
        <w:rPr>
          <w:rFonts w:hAnsi="宋体"/>
          <w:bCs/>
        </w:rPr>
        <w:t>22</w:t>
      </w:r>
      <w:r>
        <w:rPr>
          <w:rFonts w:hAnsi="宋体" w:hint="eastAsia"/>
          <w:bCs/>
        </w:rPr>
        <w:t>日成立并</w:t>
      </w:r>
      <w:r>
        <w:rPr>
          <w:rFonts w:hAnsi="宋体"/>
          <w:bCs/>
        </w:rPr>
        <w:t>正式运作</w:t>
      </w:r>
      <w:r>
        <w:rPr>
          <w:rFonts w:hAnsi="宋体" w:hint="eastAsia"/>
          <w:bCs/>
        </w:rPr>
        <w:t>，基金托管人为中国工商银行股份有限公司。</w:t>
      </w:r>
    </w:p>
    <w:p w:rsidR="0041210D" w:rsidRDefault="00FE54B6">
      <w:pPr>
        <w:pStyle w:val="Default"/>
        <w:spacing w:line="360" w:lineRule="auto"/>
        <w:ind w:firstLineChars="200" w:firstLine="480"/>
        <w:jc w:val="both"/>
        <w:rPr>
          <w:rFonts w:hAnsi="宋体"/>
          <w:bCs/>
        </w:rPr>
      </w:pPr>
      <w:r>
        <w:rPr>
          <w:rFonts w:hAnsi="宋体" w:hint="eastAsia"/>
          <w:bCs/>
        </w:rPr>
        <w:t>根据《中华人民共和国证券投资基金法》（以下简称“《基金法》”）、《公开募集证券投资基金运作管理办法》（以下简称“运作办法”）、《中融量化智选混合型证券投资基金基金合同》（以下简称“《基金合同》” 或“基金合同”）的有关规定，中融基金管理有限公司（以下简称“本基金管理人”）经与本基金的基金托管人中国工商银行股份有限公司协商一致，由基金管理人召集，以通讯方式召开了本基金的基金份额持有人大会，审议终止本基金基金合同相关事项的议案。本基金份额持有人大会已于20</w:t>
      </w:r>
      <w:r>
        <w:rPr>
          <w:rFonts w:hAnsi="宋体"/>
          <w:bCs/>
        </w:rPr>
        <w:t>22</w:t>
      </w:r>
      <w:r>
        <w:rPr>
          <w:rFonts w:hAnsi="宋体" w:hint="eastAsia"/>
          <w:bCs/>
        </w:rPr>
        <w:t>年</w:t>
      </w:r>
      <w:r>
        <w:rPr>
          <w:rFonts w:hAnsi="宋体"/>
          <w:bCs/>
        </w:rPr>
        <w:t>11</w:t>
      </w:r>
      <w:r>
        <w:rPr>
          <w:rFonts w:hAnsi="宋体" w:hint="eastAsia"/>
          <w:bCs/>
        </w:rPr>
        <w:t>月</w:t>
      </w:r>
      <w:r>
        <w:rPr>
          <w:rFonts w:hAnsi="宋体"/>
          <w:bCs/>
        </w:rPr>
        <w:t>8</w:t>
      </w:r>
      <w:r>
        <w:rPr>
          <w:rFonts w:hAnsi="宋体" w:hint="eastAsia"/>
          <w:bCs/>
        </w:rPr>
        <w:t>日表决通过了《</w:t>
      </w:r>
      <w:r>
        <w:rPr>
          <w:rFonts w:hAnsi="宋体"/>
          <w:bCs/>
        </w:rPr>
        <w:t>关于终止</w:t>
      </w:r>
      <w:r>
        <w:rPr>
          <w:rFonts w:hAnsi="宋体" w:hint="eastAsia"/>
          <w:bCs/>
        </w:rPr>
        <w:t>中融量化智选混合型证券投资基金</w:t>
      </w:r>
      <w:r>
        <w:rPr>
          <w:rFonts w:hAnsi="宋体"/>
          <w:bCs/>
        </w:rPr>
        <w:t>基金合同有关事项的议案</w:t>
      </w:r>
      <w:r>
        <w:rPr>
          <w:rFonts w:hAnsi="宋体" w:hint="eastAsia"/>
          <w:bCs/>
        </w:rPr>
        <w:t>》，决定终止本基金基金合同。基金份额</w:t>
      </w:r>
      <w:r>
        <w:rPr>
          <w:rFonts w:hAnsi="宋体"/>
          <w:bCs/>
        </w:rPr>
        <w:t>持有人大会的表决结果及决议生效的公告</w:t>
      </w:r>
      <w:r>
        <w:rPr>
          <w:rFonts w:hAnsi="宋体" w:hint="eastAsia"/>
          <w:bCs/>
        </w:rPr>
        <w:t>详见20</w:t>
      </w:r>
      <w:r>
        <w:rPr>
          <w:rFonts w:hAnsi="宋体"/>
          <w:bCs/>
        </w:rPr>
        <w:t>22</w:t>
      </w:r>
      <w:r>
        <w:rPr>
          <w:rFonts w:hAnsi="宋体" w:hint="eastAsia"/>
          <w:bCs/>
        </w:rPr>
        <w:t>年</w:t>
      </w:r>
      <w:r>
        <w:rPr>
          <w:rFonts w:hAnsi="宋体"/>
          <w:bCs/>
        </w:rPr>
        <w:t>11</w:t>
      </w:r>
      <w:r>
        <w:rPr>
          <w:rFonts w:hAnsi="宋体" w:hint="eastAsia"/>
          <w:bCs/>
        </w:rPr>
        <w:t>月</w:t>
      </w:r>
      <w:r>
        <w:rPr>
          <w:rFonts w:hAnsi="宋体"/>
          <w:bCs/>
        </w:rPr>
        <w:t>9</w:t>
      </w:r>
      <w:r>
        <w:rPr>
          <w:rFonts w:hAnsi="宋体" w:hint="eastAsia"/>
          <w:bCs/>
        </w:rPr>
        <w:t>日刊登在《上海证券报》和基金管理人网站 （www.</w:t>
      </w:r>
      <w:r>
        <w:rPr>
          <w:rFonts w:hAnsi="宋体"/>
          <w:bCs/>
        </w:rPr>
        <w:t>zrfunds</w:t>
      </w:r>
      <w:r>
        <w:rPr>
          <w:rFonts w:hAnsi="宋体" w:hint="eastAsia"/>
          <w:bCs/>
        </w:rPr>
        <w:t>.com</w:t>
      </w:r>
      <w:r>
        <w:rPr>
          <w:rFonts w:hAnsi="宋体"/>
          <w:bCs/>
        </w:rPr>
        <w:t>.cn</w:t>
      </w:r>
      <w:r>
        <w:rPr>
          <w:rFonts w:hAnsi="宋体" w:hint="eastAsia"/>
          <w:bCs/>
        </w:rPr>
        <w:t>）上的《中</w:t>
      </w:r>
      <w:r>
        <w:rPr>
          <w:rFonts w:hAnsi="宋体"/>
          <w:bCs/>
        </w:rPr>
        <w:t>融基金管理</w:t>
      </w:r>
      <w:r>
        <w:rPr>
          <w:rFonts w:hAnsi="宋体" w:hint="eastAsia"/>
          <w:bCs/>
        </w:rPr>
        <w:t>有</w:t>
      </w:r>
      <w:r>
        <w:rPr>
          <w:rFonts w:hAnsi="宋体"/>
          <w:bCs/>
        </w:rPr>
        <w:t>限公司</w:t>
      </w:r>
      <w:r>
        <w:rPr>
          <w:rFonts w:hAnsi="宋体" w:hint="eastAsia"/>
          <w:bCs/>
        </w:rPr>
        <w:t>关于中融量化智选混合型证券投资基金基金份额持有人大会表决结果暨决议生效公告》。</w:t>
      </w:r>
    </w:p>
    <w:p w:rsidR="0041210D" w:rsidRDefault="00FE54B6">
      <w:pPr>
        <w:widowControl/>
        <w:spacing w:line="360" w:lineRule="auto"/>
        <w:ind w:firstLineChars="200" w:firstLine="480"/>
        <w:rPr>
          <w:rFonts w:ascii="宋体" w:hAnsi="宋体" w:cs="宋体"/>
          <w:bCs/>
          <w:color w:val="000000"/>
          <w:kern w:val="0"/>
          <w:sz w:val="24"/>
          <w:szCs w:val="24"/>
        </w:rPr>
      </w:pPr>
      <w:r>
        <w:rPr>
          <w:rFonts w:ascii="宋体" w:hAnsi="宋体" w:cs="宋体"/>
          <w:bCs/>
          <w:color w:val="000000"/>
          <w:kern w:val="0"/>
          <w:sz w:val="24"/>
          <w:szCs w:val="24"/>
        </w:rPr>
        <w:t>本基金自</w:t>
      </w:r>
      <w:r>
        <w:rPr>
          <w:rFonts w:ascii="宋体" w:hAnsi="宋体" w:cs="宋体" w:hint="eastAsia"/>
          <w:bCs/>
          <w:color w:val="000000"/>
          <w:kern w:val="0"/>
          <w:sz w:val="24"/>
          <w:szCs w:val="24"/>
        </w:rPr>
        <w:t>20</w:t>
      </w:r>
      <w:r>
        <w:rPr>
          <w:rFonts w:ascii="宋体" w:hAnsi="宋体" w:cs="宋体"/>
          <w:bCs/>
          <w:color w:val="000000"/>
          <w:kern w:val="0"/>
          <w:sz w:val="24"/>
          <w:szCs w:val="24"/>
        </w:rPr>
        <w:t>22</w:t>
      </w:r>
      <w:r>
        <w:rPr>
          <w:rFonts w:ascii="宋体" w:hAnsi="宋体" w:cs="宋体" w:hint="eastAsia"/>
          <w:bCs/>
          <w:color w:val="000000"/>
          <w:kern w:val="0"/>
          <w:sz w:val="24"/>
          <w:szCs w:val="24"/>
        </w:rPr>
        <w:t>年</w:t>
      </w:r>
      <w:r>
        <w:rPr>
          <w:rFonts w:ascii="宋体" w:hAnsi="宋体" w:cs="宋体"/>
          <w:bCs/>
          <w:color w:val="000000"/>
          <w:kern w:val="0"/>
          <w:sz w:val="24"/>
          <w:szCs w:val="24"/>
        </w:rPr>
        <w:t>11</w:t>
      </w:r>
      <w:r>
        <w:rPr>
          <w:rFonts w:ascii="宋体" w:hAnsi="宋体" w:cs="宋体" w:hint="eastAsia"/>
          <w:bCs/>
          <w:color w:val="000000"/>
          <w:kern w:val="0"/>
          <w:sz w:val="24"/>
          <w:szCs w:val="24"/>
        </w:rPr>
        <w:t>月</w:t>
      </w:r>
      <w:r>
        <w:rPr>
          <w:rFonts w:ascii="宋体" w:hAnsi="宋体" w:cs="宋体"/>
          <w:bCs/>
          <w:color w:val="000000"/>
          <w:kern w:val="0"/>
          <w:sz w:val="24"/>
          <w:szCs w:val="24"/>
        </w:rPr>
        <w:t>9</w:t>
      </w:r>
      <w:r>
        <w:rPr>
          <w:rFonts w:ascii="宋体" w:hAnsi="宋体" w:cs="宋体" w:hint="eastAsia"/>
          <w:bCs/>
          <w:color w:val="000000"/>
          <w:kern w:val="0"/>
          <w:sz w:val="24"/>
          <w:szCs w:val="24"/>
        </w:rPr>
        <w:t>日起进入清算程序</w:t>
      </w:r>
      <w:r>
        <w:rPr>
          <w:rFonts w:ascii="宋体" w:hAnsi="宋体" w:cs="宋体"/>
          <w:bCs/>
          <w:color w:val="000000"/>
          <w:kern w:val="0"/>
          <w:sz w:val="24"/>
          <w:szCs w:val="24"/>
        </w:rPr>
        <w:t>。由</w:t>
      </w:r>
      <w:r>
        <w:rPr>
          <w:rFonts w:ascii="宋体" w:hAnsi="宋体" w:cs="宋体" w:hint="eastAsia"/>
          <w:bCs/>
          <w:color w:val="000000"/>
          <w:kern w:val="0"/>
          <w:sz w:val="24"/>
          <w:szCs w:val="24"/>
        </w:rPr>
        <w:t>基金管理人中融基金管理有限公司、基金托管人中国工商银行股份有限公司、上会会计师事务所（特殊普通合伙）、上海市海华</w:t>
      </w:r>
      <w:r>
        <w:rPr>
          <w:rFonts w:ascii="宋体" w:hAnsi="宋体" w:cs="宋体"/>
          <w:bCs/>
          <w:color w:val="000000"/>
          <w:kern w:val="0"/>
          <w:sz w:val="24"/>
          <w:szCs w:val="24"/>
        </w:rPr>
        <w:t>永泰</w:t>
      </w:r>
      <w:r>
        <w:rPr>
          <w:rFonts w:ascii="宋体" w:hAnsi="宋体" w:cs="宋体" w:hint="eastAsia"/>
          <w:bCs/>
          <w:color w:val="000000"/>
          <w:kern w:val="0"/>
          <w:sz w:val="24"/>
          <w:szCs w:val="24"/>
        </w:rPr>
        <w:t>律师事务所</w:t>
      </w:r>
      <w:r>
        <w:rPr>
          <w:rFonts w:ascii="宋体" w:hAnsi="宋体" w:cs="宋体"/>
          <w:bCs/>
          <w:color w:val="000000"/>
          <w:kern w:val="0"/>
          <w:sz w:val="24"/>
          <w:szCs w:val="24"/>
        </w:rPr>
        <w:t>于2022年11月9日组成基金财产清算小组履行基金财产清算程序，并由</w:t>
      </w:r>
      <w:r>
        <w:rPr>
          <w:rFonts w:ascii="宋体" w:hAnsi="宋体" w:cs="宋体" w:hint="eastAsia"/>
          <w:bCs/>
          <w:color w:val="000000"/>
          <w:kern w:val="0"/>
          <w:sz w:val="24"/>
          <w:szCs w:val="24"/>
        </w:rPr>
        <w:t>上会会计师事务所（特殊普通合伙）</w:t>
      </w:r>
      <w:r>
        <w:rPr>
          <w:rFonts w:ascii="宋体" w:hAnsi="宋体" w:cs="宋体"/>
          <w:bCs/>
          <w:color w:val="000000"/>
          <w:kern w:val="0"/>
          <w:sz w:val="24"/>
          <w:szCs w:val="24"/>
        </w:rPr>
        <w:t>对清算报告进行审计，</w:t>
      </w:r>
      <w:r>
        <w:rPr>
          <w:rFonts w:ascii="宋体" w:hAnsi="宋体" w:cs="宋体" w:hint="eastAsia"/>
          <w:bCs/>
          <w:color w:val="000000"/>
          <w:kern w:val="0"/>
          <w:sz w:val="24"/>
          <w:szCs w:val="24"/>
        </w:rPr>
        <w:t>上海市海华</w:t>
      </w:r>
      <w:r>
        <w:rPr>
          <w:rFonts w:ascii="宋体" w:hAnsi="宋体" w:cs="宋体"/>
          <w:bCs/>
          <w:color w:val="000000"/>
          <w:kern w:val="0"/>
          <w:sz w:val="24"/>
          <w:szCs w:val="24"/>
        </w:rPr>
        <w:t>永泰</w:t>
      </w:r>
      <w:r>
        <w:rPr>
          <w:rFonts w:ascii="宋体" w:hAnsi="宋体" w:cs="宋体" w:hint="eastAsia"/>
          <w:bCs/>
          <w:color w:val="000000"/>
          <w:kern w:val="0"/>
          <w:sz w:val="24"/>
          <w:szCs w:val="24"/>
        </w:rPr>
        <w:t>律师事务所</w:t>
      </w:r>
      <w:r>
        <w:rPr>
          <w:rFonts w:ascii="宋体" w:hAnsi="宋体" w:cs="宋体"/>
          <w:bCs/>
          <w:color w:val="000000"/>
          <w:kern w:val="0"/>
          <w:sz w:val="24"/>
          <w:szCs w:val="24"/>
        </w:rPr>
        <w:t>对清算报告出具法律意见。</w:t>
      </w:r>
    </w:p>
    <w:p w:rsidR="0041210D" w:rsidRDefault="00FE54B6">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1210D" w:rsidRDefault="00FE54B6">
      <w:pPr>
        <w:pStyle w:val="XBRLTitle2"/>
        <w:numPr>
          <w:ilvl w:val="0"/>
          <w:numId w:val="0"/>
        </w:numPr>
        <w:spacing w:before="156" w:after="156"/>
        <w:rPr>
          <w:rFonts w:asciiTheme="minorEastAsia" w:eastAsiaTheme="minorEastAsia" w:hAnsiTheme="minorEastAsia"/>
          <w:szCs w:val="24"/>
        </w:rPr>
      </w:pPr>
      <w:bookmarkStart w:id="6" w:name="_Toc498069521"/>
      <w:bookmarkStart w:id="7" w:name="_Toc247416621"/>
      <w:bookmarkEnd w:id="5"/>
      <w:r>
        <w:rPr>
          <w:rFonts w:asciiTheme="minorEastAsia" w:eastAsiaTheme="minorEastAsia" w:hAnsiTheme="minorEastAsia"/>
          <w:szCs w:val="24"/>
        </w:rPr>
        <w:lastRenderedPageBreak/>
        <w:t>2、目录</w:t>
      </w:r>
      <w:bookmarkEnd w:id="6"/>
      <w:bookmarkEnd w:id="7"/>
    </w:p>
    <w:p w:rsidR="0041210D" w:rsidRDefault="00063003">
      <w:pPr>
        <w:pStyle w:val="10"/>
        <w:tabs>
          <w:tab w:val="right" w:leader="dot" w:pos="8834"/>
        </w:tabs>
        <w:rPr>
          <w:rFonts w:asciiTheme="minorHAnsi" w:eastAsiaTheme="minorEastAsia" w:hAnsiTheme="minorHAnsi" w:cstheme="minorBidi"/>
          <w:b w:val="0"/>
          <w:szCs w:val="22"/>
        </w:rPr>
      </w:pPr>
      <w:r w:rsidRPr="00063003">
        <w:rPr>
          <w:rFonts w:asciiTheme="minorEastAsia" w:eastAsiaTheme="minorEastAsia" w:hAnsiTheme="minorEastAsia"/>
          <w:sz w:val="24"/>
          <w:szCs w:val="24"/>
        </w:rPr>
        <w:fldChar w:fldCharType="begin"/>
      </w:r>
      <w:r w:rsidR="00FE54B6">
        <w:rPr>
          <w:rFonts w:asciiTheme="minorEastAsia" w:eastAsiaTheme="minorEastAsia" w:hAnsiTheme="minorEastAsia"/>
          <w:sz w:val="24"/>
          <w:szCs w:val="24"/>
        </w:rPr>
        <w:instrText xml:space="preserve"> TOC \o "1-2" \h \z \u </w:instrText>
      </w:r>
      <w:r w:rsidRPr="00063003">
        <w:rPr>
          <w:rFonts w:asciiTheme="minorEastAsia" w:eastAsiaTheme="minorEastAsia" w:hAnsiTheme="minorEastAsia"/>
          <w:sz w:val="24"/>
          <w:szCs w:val="24"/>
        </w:rPr>
        <w:fldChar w:fldCharType="separate"/>
      </w:r>
      <w:hyperlink w:anchor="_Toc498069519" w:history="1">
        <w:r w:rsidR="00FE54B6">
          <w:rPr>
            <w:rStyle w:val="ae"/>
            <w:rFonts w:asciiTheme="minorEastAsia" w:hAnsiTheme="minorEastAsia" w:hint="eastAsia"/>
          </w:rPr>
          <w:t>一、重要提示及目录</w:t>
        </w:r>
        <w:r w:rsidR="00FE54B6">
          <w:tab/>
        </w:r>
        <w:r>
          <w:fldChar w:fldCharType="begin"/>
        </w:r>
        <w:r w:rsidR="00FE54B6">
          <w:instrText xml:space="preserve"> PAGEREF _Toc498069519 \h </w:instrText>
        </w:r>
        <w:r>
          <w:fldChar w:fldCharType="separate"/>
        </w:r>
        <w:r w:rsidR="00FE54B6">
          <w:t>2</w:t>
        </w:r>
        <w:r>
          <w:fldChar w:fldCharType="end"/>
        </w:r>
      </w:hyperlink>
    </w:p>
    <w:p w:rsidR="0041210D" w:rsidRDefault="00063003">
      <w:pPr>
        <w:pStyle w:val="20"/>
        <w:tabs>
          <w:tab w:val="right" w:leader="dot" w:pos="8834"/>
        </w:tabs>
        <w:rPr>
          <w:rFonts w:asciiTheme="minorHAnsi" w:eastAsiaTheme="minorEastAsia" w:hAnsiTheme="minorHAnsi" w:cstheme="minorBidi"/>
          <w:szCs w:val="22"/>
        </w:rPr>
      </w:pPr>
      <w:hyperlink w:anchor="_Toc498069520" w:history="1">
        <w:r w:rsidR="00FE54B6">
          <w:rPr>
            <w:rStyle w:val="ae"/>
            <w:rFonts w:asciiTheme="minorEastAsia" w:hAnsiTheme="minorEastAsia"/>
          </w:rPr>
          <w:t>1</w:t>
        </w:r>
        <w:r w:rsidR="00FE54B6">
          <w:rPr>
            <w:rStyle w:val="ae"/>
            <w:rFonts w:asciiTheme="minorEastAsia" w:hAnsiTheme="minorEastAsia" w:hint="eastAsia"/>
          </w:rPr>
          <w:t>、重要提示</w:t>
        </w:r>
        <w:r w:rsidR="00FE54B6">
          <w:tab/>
        </w:r>
        <w:r>
          <w:fldChar w:fldCharType="begin"/>
        </w:r>
        <w:r w:rsidR="00FE54B6">
          <w:instrText xml:space="preserve"> PAGEREF _Toc498069520 \h </w:instrText>
        </w:r>
        <w:r>
          <w:fldChar w:fldCharType="separate"/>
        </w:r>
        <w:r w:rsidR="00FE54B6">
          <w:t>2</w:t>
        </w:r>
        <w:r>
          <w:fldChar w:fldCharType="end"/>
        </w:r>
      </w:hyperlink>
    </w:p>
    <w:p w:rsidR="0041210D" w:rsidRDefault="00063003">
      <w:pPr>
        <w:pStyle w:val="20"/>
        <w:tabs>
          <w:tab w:val="right" w:leader="dot" w:pos="8834"/>
        </w:tabs>
        <w:rPr>
          <w:rFonts w:asciiTheme="minorHAnsi" w:eastAsiaTheme="minorEastAsia" w:hAnsiTheme="minorHAnsi" w:cstheme="minorBidi"/>
          <w:szCs w:val="22"/>
        </w:rPr>
      </w:pPr>
      <w:hyperlink w:anchor="_Toc498069521" w:history="1">
        <w:r w:rsidR="00FE54B6">
          <w:rPr>
            <w:rStyle w:val="ae"/>
            <w:rFonts w:asciiTheme="minorEastAsia" w:hAnsiTheme="minorEastAsia"/>
          </w:rPr>
          <w:t>2</w:t>
        </w:r>
        <w:r w:rsidR="00FE54B6">
          <w:rPr>
            <w:rStyle w:val="ae"/>
            <w:rFonts w:asciiTheme="minorEastAsia" w:hAnsiTheme="minorEastAsia" w:hint="eastAsia"/>
          </w:rPr>
          <w:t>、目录</w:t>
        </w:r>
        <w:r w:rsidR="00FE54B6">
          <w:tab/>
        </w:r>
        <w:r>
          <w:fldChar w:fldCharType="begin"/>
        </w:r>
        <w:r w:rsidR="00FE54B6">
          <w:instrText xml:space="preserve"> PAGEREF _Toc498069521 \h </w:instrText>
        </w:r>
        <w:r>
          <w:fldChar w:fldCharType="separate"/>
        </w:r>
        <w:r w:rsidR="00FE54B6">
          <w:t>3</w:t>
        </w:r>
        <w:r>
          <w:fldChar w:fldCharType="end"/>
        </w:r>
      </w:hyperlink>
    </w:p>
    <w:p w:rsidR="0041210D" w:rsidRDefault="00063003">
      <w:pPr>
        <w:pStyle w:val="10"/>
        <w:tabs>
          <w:tab w:val="right" w:leader="dot" w:pos="8834"/>
        </w:tabs>
        <w:rPr>
          <w:rFonts w:asciiTheme="minorHAnsi" w:eastAsiaTheme="minorEastAsia" w:hAnsiTheme="minorHAnsi" w:cstheme="minorBidi"/>
          <w:b w:val="0"/>
          <w:szCs w:val="22"/>
        </w:rPr>
      </w:pPr>
      <w:hyperlink w:anchor="_Toc498069522" w:history="1">
        <w:r w:rsidR="00FE54B6">
          <w:rPr>
            <w:rStyle w:val="ae"/>
            <w:rFonts w:asciiTheme="minorEastAsia" w:hAnsiTheme="minorEastAsia" w:hint="eastAsia"/>
          </w:rPr>
          <w:t>二、基金概况</w:t>
        </w:r>
        <w:r w:rsidR="00FE54B6">
          <w:tab/>
        </w:r>
        <w:r>
          <w:fldChar w:fldCharType="begin"/>
        </w:r>
        <w:r w:rsidR="00FE54B6">
          <w:instrText xml:space="preserve"> PAGEREF _Toc498069522 \h </w:instrText>
        </w:r>
        <w:r>
          <w:fldChar w:fldCharType="separate"/>
        </w:r>
        <w:r w:rsidR="00FE54B6">
          <w:t>4</w:t>
        </w:r>
        <w:r>
          <w:fldChar w:fldCharType="end"/>
        </w:r>
      </w:hyperlink>
    </w:p>
    <w:p w:rsidR="0041210D" w:rsidRDefault="00063003">
      <w:pPr>
        <w:pStyle w:val="10"/>
        <w:tabs>
          <w:tab w:val="right" w:leader="dot" w:pos="8834"/>
        </w:tabs>
        <w:rPr>
          <w:rFonts w:asciiTheme="minorHAnsi" w:eastAsiaTheme="minorEastAsia" w:hAnsiTheme="minorHAnsi" w:cstheme="minorBidi"/>
          <w:b w:val="0"/>
          <w:szCs w:val="22"/>
        </w:rPr>
      </w:pPr>
      <w:hyperlink w:anchor="_Toc498069523" w:history="1">
        <w:r w:rsidR="00FE54B6">
          <w:rPr>
            <w:rStyle w:val="ae"/>
            <w:rFonts w:asciiTheme="minorEastAsia" w:hAnsiTheme="minorEastAsia" w:hint="eastAsia"/>
          </w:rPr>
          <w:t>三、财务会计报告</w:t>
        </w:r>
        <w:r w:rsidR="00FE54B6">
          <w:tab/>
        </w:r>
        <w:r>
          <w:fldChar w:fldCharType="begin"/>
        </w:r>
        <w:r w:rsidR="00FE54B6">
          <w:instrText xml:space="preserve"> PAGEREF _Toc498069523 \h </w:instrText>
        </w:r>
        <w:r>
          <w:fldChar w:fldCharType="separate"/>
        </w:r>
        <w:r w:rsidR="00FE54B6">
          <w:t>4</w:t>
        </w:r>
        <w:r>
          <w:fldChar w:fldCharType="end"/>
        </w:r>
      </w:hyperlink>
    </w:p>
    <w:p w:rsidR="0041210D" w:rsidRDefault="00063003">
      <w:pPr>
        <w:pStyle w:val="10"/>
        <w:tabs>
          <w:tab w:val="right" w:leader="dot" w:pos="8834"/>
        </w:tabs>
        <w:rPr>
          <w:rFonts w:asciiTheme="minorHAnsi" w:eastAsiaTheme="minorEastAsia" w:hAnsiTheme="minorHAnsi" w:cstheme="minorBidi"/>
          <w:b w:val="0"/>
          <w:szCs w:val="22"/>
        </w:rPr>
      </w:pPr>
      <w:hyperlink w:anchor="_Toc498069524" w:history="1">
        <w:r w:rsidR="00FE54B6">
          <w:rPr>
            <w:rStyle w:val="ae"/>
            <w:rFonts w:asciiTheme="minorEastAsia" w:hAnsiTheme="minorEastAsia" w:hint="eastAsia"/>
          </w:rPr>
          <w:t>四、清算事项说明</w:t>
        </w:r>
        <w:r w:rsidR="00FE54B6">
          <w:tab/>
        </w:r>
        <w:r>
          <w:fldChar w:fldCharType="begin"/>
        </w:r>
        <w:r w:rsidR="00FE54B6">
          <w:instrText xml:space="preserve"> PAGEREF _Toc498069524 \h </w:instrText>
        </w:r>
        <w:r>
          <w:fldChar w:fldCharType="separate"/>
        </w:r>
        <w:r w:rsidR="00FE54B6">
          <w:t>5</w:t>
        </w:r>
        <w:r>
          <w:fldChar w:fldCharType="end"/>
        </w:r>
      </w:hyperlink>
    </w:p>
    <w:p w:rsidR="0041210D" w:rsidRDefault="00063003">
      <w:pPr>
        <w:pStyle w:val="20"/>
        <w:tabs>
          <w:tab w:val="right" w:leader="dot" w:pos="8834"/>
        </w:tabs>
        <w:rPr>
          <w:rFonts w:asciiTheme="minorHAnsi" w:eastAsiaTheme="minorEastAsia" w:hAnsiTheme="minorHAnsi" w:cstheme="minorBidi"/>
          <w:szCs w:val="22"/>
        </w:rPr>
      </w:pPr>
      <w:hyperlink w:anchor="_Toc498069525" w:history="1">
        <w:r w:rsidR="00FE54B6">
          <w:rPr>
            <w:rStyle w:val="ae"/>
            <w:rFonts w:asciiTheme="minorEastAsia" w:hAnsiTheme="minorEastAsia"/>
          </w:rPr>
          <w:t>1</w:t>
        </w:r>
        <w:r w:rsidR="00FE54B6">
          <w:rPr>
            <w:rStyle w:val="ae"/>
            <w:rFonts w:asciiTheme="minorEastAsia" w:hAnsiTheme="minorEastAsia" w:hint="eastAsia"/>
          </w:rPr>
          <w:t>、基本情况</w:t>
        </w:r>
        <w:r w:rsidR="00FE54B6">
          <w:tab/>
        </w:r>
        <w:r>
          <w:fldChar w:fldCharType="begin"/>
        </w:r>
        <w:r w:rsidR="00FE54B6">
          <w:instrText xml:space="preserve"> PAGEREF _Toc498069525 \h </w:instrText>
        </w:r>
        <w:r>
          <w:fldChar w:fldCharType="separate"/>
        </w:r>
        <w:r w:rsidR="00FE54B6">
          <w:t>5</w:t>
        </w:r>
        <w:r>
          <w:fldChar w:fldCharType="end"/>
        </w:r>
      </w:hyperlink>
    </w:p>
    <w:p w:rsidR="0041210D" w:rsidRDefault="00063003">
      <w:pPr>
        <w:pStyle w:val="20"/>
        <w:tabs>
          <w:tab w:val="right" w:leader="dot" w:pos="8834"/>
        </w:tabs>
        <w:rPr>
          <w:rFonts w:asciiTheme="minorHAnsi" w:eastAsiaTheme="minorEastAsia" w:hAnsiTheme="minorHAnsi" w:cstheme="minorBidi"/>
          <w:szCs w:val="22"/>
        </w:rPr>
      </w:pPr>
      <w:hyperlink w:anchor="_Toc498069526" w:history="1">
        <w:r w:rsidR="00FE54B6">
          <w:rPr>
            <w:rStyle w:val="ae"/>
            <w:rFonts w:asciiTheme="minorEastAsia" w:hAnsiTheme="minorEastAsia"/>
          </w:rPr>
          <w:t>2</w:t>
        </w:r>
        <w:r w:rsidR="00FE54B6">
          <w:rPr>
            <w:rStyle w:val="ae"/>
            <w:rFonts w:asciiTheme="minorEastAsia" w:hAnsiTheme="minorEastAsia" w:hint="eastAsia"/>
          </w:rPr>
          <w:t>、清算原因</w:t>
        </w:r>
        <w:r w:rsidR="00FE54B6">
          <w:tab/>
        </w:r>
        <w:r w:rsidR="00FE54B6">
          <w:rPr>
            <w:rFonts w:hint="eastAsia"/>
          </w:rPr>
          <w:t>6</w:t>
        </w:r>
      </w:hyperlink>
    </w:p>
    <w:p w:rsidR="0041210D" w:rsidRDefault="00063003">
      <w:pPr>
        <w:pStyle w:val="20"/>
        <w:tabs>
          <w:tab w:val="right" w:leader="dot" w:pos="8834"/>
        </w:tabs>
        <w:rPr>
          <w:rFonts w:asciiTheme="minorHAnsi" w:eastAsiaTheme="minorEastAsia" w:hAnsiTheme="minorHAnsi" w:cstheme="minorBidi"/>
          <w:szCs w:val="22"/>
        </w:rPr>
      </w:pPr>
      <w:hyperlink w:anchor="_Toc498069527" w:history="1">
        <w:r w:rsidR="00FE54B6">
          <w:rPr>
            <w:rStyle w:val="ae"/>
            <w:rFonts w:asciiTheme="minorEastAsia" w:hAnsiTheme="minorEastAsia"/>
          </w:rPr>
          <w:t>3</w:t>
        </w:r>
        <w:r w:rsidR="00FE54B6">
          <w:rPr>
            <w:rStyle w:val="ae"/>
            <w:rFonts w:asciiTheme="minorEastAsia" w:hAnsiTheme="minorEastAsia" w:hint="eastAsia"/>
          </w:rPr>
          <w:t>、清算起始日</w:t>
        </w:r>
        <w:r w:rsidR="00FE54B6">
          <w:tab/>
        </w:r>
        <w:r>
          <w:fldChar w:fldCharType="begin"/>
        </w:r>
        <w:r w:rsidR="00FE54B6">
          <w:instrText xml:space="preserve"> PAGEREF _Toc498069527 \h </w:instrText>
        </w:r>
        <w:r>
          <w:fldChar w:fldCharType="separate"/>
        </w:r>
        <w:r w:rsidR="00FE54B6">
          <w:t>6</w:t>
        </w:r>
        <w:r>
          <w:fldChar w:fldCharType="end"/>
        </w:r>
      </w:hyperlink>
    </w:p>
    <w:p w:rsidR="0041210D" w:rsidRDefault="00063003">
      <w:pPr>
        <w:pStyle w:val="20"/>
        <w:tabs>
          <w:tab w:val="right" w:leader="dot" w:pos="8834"/>
        </w:tabs>
        <w:rPr>
          <w:rFonts w:asciiTheme="minorHAnsi" w:eastAsiaTheme="minorEastAsia" w:hAnsiTheme="minorHAnsi" w:cstheme="minorBidi"/>
          <w:szCs w:val="22"/>
        </w:rPr>
      </w:pPr>
      <w:hyperlink w:anchor="_Toc498069528" w:history="1">
        <w:r w:rsidR="00FE54B6">
          <w:rPr>
            <w:rStyle w:val="ae"/>
            <w:rFonts w:asciiTheme="minorEastAsia" w:hAnsiTheme="minorEastAsia"/>
          </w:rPr>
          <w:t>4</w:t>
        </w:r>
        <w:r w:rsidR="00FE54B6">
          <w:rPr>
            <w:rStyle w:val="ae"/>
            <w:rFonts w:asciiTheme="minorEastAsia" w:hAnsiTheme="minorEastAsia" w:hint="eastAsia"/>
          </w:rPr>
          <w:t>、清算报表编制基础</w:t>
        </w:r>
        <w:r w:rsidR="00FE54B6">
          <w:tab/>
        </w:r>
        <w:r>
          <w:fldChar w:fldCharType="begin"/>
        </w:r>
        <w:r w:rsidR="00FE54B6">
          <w:instrText xml:space="preserve"> PAGEREF _Toc498069528 \h </w:instrText>
        </w:r>
        <w:r>
          <w:fldChar w:fldCharType="separate"/>
        </w:r>
        <w:r w:rsidR="00FE54B6">
          <w:t>6</w:t>
        </w:r>
        <w:r>
          <w:fldChar w:fldCharType="end"/>
        </w:r>
      </w:hyperlink>
    </w:p>
    <w:p w:rsidR="0041210D" w:rsidRDefault="00063003">
      <w:pPr>
        <w:pStyle w:val="10"/>
        <w:tabs>
          <w:tab w:val="right" w:leader="dot" w:pos="8834"/>
        </w:tabs>
        <w:rPr>
          <w:rFonts w:asciiTheme="minorHAnsi" w:eastAsiaTheme="minorEastAsia" w:hAnsiTheme="minorHAnsi" w:cstheme="minorBidi"/>
          <w:b w:val="0"/>
          <w:szCs w:val="22"/>
        </w:rPr>
      </w:pPr>
      <w:hyperlink w:anchor="_Toc498069529" w:history="1">
        <w:r w:rsidR="00FE54B6">
          <w:rPr>
            <w:rStyle w:val="ae"/>
            <w:rFonts w:asciiTheme="minorEastAsia" w:hAnsiTheme="minorEastAsia" w:hint="eastAsia"/>
            <w:kern w:val="28"/>
          </w:rPr>
          <w:t>五、清算情况</w:t>
        </w:r>
        <w:r w:rsidR="00FE54B6">
          <w:tab/>
        </w:r>
      </w:hyperlink>
      <w:r w:rsidR="00FE54B6">
        <w:t>7</w:t>
      </w:r>
    </w:p>
    <w:p w:rsidR="0041210D" w:rsidRDefault="00063003">
      <w:pPr>
        <w:pStyle w:val="20"/>
        <w:tabs>
          <w:tab w:val="right" w:leader="dot" w:pos="8834"/>
        </w:tabs>
        <w:rPr>
          <w:rFonts w:asciiTheme="minorHAnsi" w:eastAsiaTheme="minorEastAsia" w:hAnsiTheme="minorHAnsi" w:cstheme="minorBidi"/>
          <w:szCs w:val="22"/>
        </w:rPr>
      </w:pPr>
      <w:hyperlink w:anchor="_Toc498069530" w:history="1">
        <w:r w:rsidR="00FE54B6">
          <w:rPr>
            <w:rStyle w:val="ae"/>
            <w:rFonts w:asciiTheme="minorEastAsia" w:hAnsiTheme="minorEastAsia"/>
          </w:rPr>
          <w:t>1</w:t>
        </w:r>
        <w:r w:rsidR="00FE54B6">
          <w:rPr>
            <w:rStyle w:val="ae"/>
            <w:rFonts w:asciiTheme="minorEastAsia" w:hAnsiTheme="minorEastAsia" w:hint="eastAsia"/>
          </w:rPr>
          <w:t>、资产处置情况</w:t>
        </w:r>
        <w:r w:rsidR="00FE54B6">
          <w:tab/>
        </w:r>
        <w:r w:rsidR="00FE54B6">
          <w:rPr>
            <w:rFonts w:hint="eastAsia"/>
          </w:rPr>
          <w:t>7</w:t>
        </w:r>
      </w:hyperlink>
    </w:p>
    <w:p w:rsidR="0041210D" w:rsidRDefault="00063003">
      <w:pPr>
        <w:pStyle w:val="20"/>
        <w:tabs>
          <w:tab w:val="right" w:leader="dot" w:pos="8834"/>
        </w:tabs>
        <w:rPr>
          <w:rFonts w:asciiTheme="minorHAnsi" w:eastAsiaTheme="minorEastAsia" w:hAnsiTheme="minorHAnsi" w:cstheme="minorBidi"/>
          <w:szCs w:val="22"/>
        </w:rPr>
      </w:pPr>
      <w:hyperlink w:anchor="_Toc498069531" w:history="1">
        <w:r w:rsidR="00FE54B6">
          <w:rPr>
            <w:rStyle w:val="ae"/>
            <w:rFonts w:asciiTheme="minorEastAsia" w:hAnsiTheme="minorEastAsia"/>
          </w:rPr>
          <w:t>2</w:t>
        </w:r>
        <w:r w:rsidR="00FE54B6">
          <w:rPr>
            <w:rStyle w:val="ae"/>
            <w:rFonts w:asciiTheme="minorEastAsia" w:hAnsiTheme="minorEastAsia" w:hint="eastAsia"/>
          </w:rPr>
          <w:t>、负债清偿情况</w:t>
        </w:r>
        <w:r w:rsidR="00FE54B6">
          <w:tab/>
        </w:r>
      </w:hyperlink>
      <w:r w:rsidR="00FE54B6">
        <w:t>8</w:t>
      </w:r>
    </w:p>
    <w:p w:rsidR="0041210D" w:rsidRDefault="00063003">
      <w:pPr>
        <w:pStyle w:val="20"/>
        <w:tabs>
          <w:tab w:val="right" w:leader="dot" w:pos="8834"/>
        </w:tabs>
        <w:rPr>
          <w:rFonts w:asciiTheme="minorHAnsi" w:eastAsiaTheme="minorEastAsia" w:hAnsiTheme="minorHAnsi" w:cstheme="minorBidi"/>
          <w:szCs w:val="22"/>
        </w:rPr>
      </w:pPr>
      <w:hyperlink w:anchor="_Toc498069532" w:history="1">
        <w:r w:rsidR="00FE54B6">
          <w:rPr>
            <w:rStyle w:val="ae"/>
            <w:rFonts w:asciiTheme="minorEastAsia" w:hAnsiTheme="minorEastAsia"/>
          </w:rPr>
          <w:t>3</w:t>
        </w:r>
        <w:r w:rsidR="00FE54B6">
          <w:rPr>
            <w:rStyle w:val="ae"/>
            <w:rFonts w:asciiTheme="minorEastAsia" w:hAnsiTheme="minorEastAsia" w:hint="eastAsia"/>
          </w:rPr>
          <w:t>、所有者权益情况</w:t>
        </w:r>
        <w:r w:rsidR="00FE54B6">
          <w:tab/>
        </w:r>
        <w:r w:rsidR="00FE54B6">
          <w:rPr>
            <w:rFonts w:hint="eastAsia"/>
          </w:rPr>
          <w:t>8</w:t>
        </w:r>
      </w:hyperlink>
    </w:p>
    <w:p w:rsidR="0041210D" w:rsidRDefault="00063003">
      <w:pPr>
        <w:pStyle w:val="20"/>
        <w:tabs>
          <w:tab w:val="right" w:leader="dot" w:pos="8834"/>
        </w:tabs>
        <w:rPr>
          <w:rFonts w:asciiTheme="minorHAnsi" w:eastAsiaTheme="minorEastAsia" w:hAnsiTheme="minorHAnsi" w:cstheme="minorBidi"/>
          <w:szCs w:val="22"/>
        </w:rPr>
      </w:pPr>
      <w:hyperlink w:anchor="_Toc498069533" w:history="1">
        <w:r w:rsidR="00FE54B6">
          <w:rPr>
            <w:rStyle w:val="ae"/>
            <w:rFonts w:asciiTheme="minorEastAsia" w:hAnsiTheme="minorEastAsia"/>
          </w:rPr>
          <w:t>4</w:t>
        </w:r>
        <w:r w:rsidR="00FE54B6">
          <w:rPr>
            <w:rStyle w:val="ae"/>
            <w:rFonts w:asciiTheme="minorEastAsia" w:hAnsiTheme="minorEastAsia" w:hint="eastAsia"/>
          </w:rPr>
          <w:t>、清算期间的清算损益情况、</w:t>
        </w:r>
        <w:r w:rsidR="00FE54B6">
          <w:tab/>
        </w:r>
        <w:r w:rsidR="00FE54B6">
          <w:rPr>
            <w:rFonts w:hint="eastAsia"/>
          </w:rPr>
          <w:t>8</w:t>
        </w:r>
      </w:hyperlink>
    </w:p>
    <w:p w:rsidR="0041210D" w:rsidRDefault="00063003">
      <w:pPr>
        <w:pStyle w:val="20"/>
        <w:tabs>
          <w:tab w:val="right" w:leader="dot" w:pos="8834"/>
        </w:tabs>
        <w:rPr>
          <w:rFonts w:asciiTheme="minorHAnsi" w:eastAsiaTheme="minorEastAsia" w:hAnsiTheme="minorHAnsi" w:cstheme="minorBidi"/>
          <w:szCs w:val="22"/>
        </w:rPr>
      </w:pPr>
      <w:hyperlink w:anchor="_Toc498069534" w:history="1">
        <w:r w:rsidR="00FE54B6">
          <w:rPr>
            <w:rStyle w:val="ae"/>
            <w:rFonts w:asciiTheme="minorEastAsia" w:hAnsiTheme="minorEastAsia"/>
          </w:rPr>
          <w:t>5</w:t>
        </w:r>
        <w:r w:rsidR="00FE54B6">
          <w:rPr>
            <w:rStyle w:val="ae"/>
            <w:rFonts w:asciiTheme="minorEastAsia" w:hAnsiTheme="minorEastAsia" w:hint="eastAsia"/>
          </w:rPr>
          <w:t>、</w:t>
        </w:r>
        <w:r w:rsidR="00FE54B6">
          <w:rPr>
            <w:rStyle w:val="ae"/>
            <w:rFonts w:asciiTheme="minorEastAsia" w:hAnsiTheme="minorEastAsia" w:hint="eastAsia"/>
            <w:snapToGrid w:val="0"/>
          </w:rPr>
          <w:t>清算结束日的资产负债及剩余财产的分配情况</w:t>
        </w:r>
        <w:r w:rsidR="00FE54B6">
          <w:tab/>
        </w:r>
        <w:r w:rsidR="00FE54B6">
          <w:rPr>
            <w:rFonts w:hint="eastAsia"/>
          </w:rPr>
          <w:t>9</w:t>
        </w:r>
      </w:hyperlink>
    </w:p>
    <w:p w:rsidR="0041210D" w:rsidRDefault="00063003">
      <w:pPr>
        <w:pStyle w:val="20"/>
        <w:tabs>
          <w:tab w:val="right" w:leader="dot" w:pos="8834"/>
        </w:tabs>
        <w:rPr>
          <w:rFonts w:asciiTheme="minorHAnsi" w:eastAsiaTheme="minorEastAsia" w:hAnsiTheme="minorHAnsi" w:cstheme="minorBidi"/>
          <w:szCs w:val="22"/>
        </w:rPr>
      </w:pPr>
      <w:hyperlink w:anchor="_Toc498069535" w:history="1">
        <w:r w:rsidR="00FE54B6">
          <w:rPr>
            <w:rStyle w:val="ae"/>
            <w:rFonts w:asciiTheme="minorEastAsia" w:hAnsiTheme="minorEastAsia"/>
          </w:rPr>
          <w:t>6</w:t>
        </w:r>
        <w:r w:rsidR="00FE54B6">
          <w:rPr>
            <w:rStyle w:val="ae"/>
            <w:rFonts w:asciiTheme="minorEastAsia" w:hAnsiTheme="minorEastAsia" w:hint="eastAsia"/>
          </w:rPr>
          <w:t>、基金财产清算报告的告知安排</w:t>
        </w:r>
        <w:r w:rsidR="00FE54B6">
          <w:tab/>
        </w:r>
        <w:r w:rsidR="00FE54B6">
          <w:rPr>
            <w:rFonts w:hint="eastAsia"/>
          </w:rPr>
          <w:t>10</w:t>
        </w:r>
      </w:hyperlink>
    </w:p>
    <w:p w:rsidR="0041210D" w:rsidRDefault="00063003">
      <w:pPr>
        <w:pStyle w:val="10"/>
        <w:tabs>
          <w:tab w:val="right" w:leader="dot" w:pos="8834"/>
        </w:tabs>
        <w:rPr>
          <w:rFonts w:asciiTheme="minorHAnsi" w:eastAsiaTheme="minorEastAsia" w:hAnsiTheme="minorHAnsi" w:cstheme="minorBidi"/>
          <w:b w:val="0"/>
          <w:szCs w:val="22"/>
        </w:rPr>
      </w:pPr>
      <w:hyperlink w:anchor="_Toc498069536" w:history="1">
        <w:r w:rsidR="00FE54B6">
          <w:rPr>
            <w:rStyle w:val="ae"/>
            <w:rFonts w:asciiTheme="minorEastAsia" w:hAnsiTheme="minorEastAsia" w:hint="eastAsia"/>
          </w:rPr>
          <w:t>六、备查文件目录</w:t>
        </w:r>
        <w:r w:rsidR="00FE54B6">
          <w:tab/>
        </w:r>
      </w:hyperlink>
      <w:r w:rsidR="00FE54B6">
        <w:t>10</w:t>
      </w:r>
    </w:p>
    <w:p w:rsidR="0041210D" w:rsidRDefault="00063003">
      <w:pPr>
        <w:pStyle w:val="20"/>
        <w:tabs>
          <w:tab w:val="right" w:leader="dot" w:pos="8834"/>
        </w:tabs>
        <w:rPr>
          <w:rFonts w:asciiTheme="minorHAnsi" w:eastAsiaTheme="minorEastAsia" w:hAnsiTheme="minorHAnsi" w:cstheme="minorBidi"/>
          <w:szCs w:val="22"/>
        </w:rPr>
      </w:pPr>
      <w:hyperlink w:anchor="_Toc498069537" w:history="1">
        <w:r w:rsidR="00FE54B6">
          <w:rPr>
            <w:rStyle w:val="ae"/>
            <w:rFonts w:asciiTheme="minorEastAsia" w:hAnsiTheme="minorEastAsia"/>
          </w:rPr>
          <w:t>1</w:t>
        </w:r>
        <w:r w:rsidR="00FE54B6">
          <w:rPr>
            <w:rStyle w:val="ae"/>
            <w:rFonts w:asciiTheme="minorEastAsia" w:hAnsiTheme="minorEastAsia" w:hint="eastAsia"/>
          </w:rPr>
          <w:t>、备查文件目录</w:t>
        </w:r>
        <w:r w:rsidR="00FE54B6">
          <w:tab/>
        </w:r>
      </w:hyperlink>
      <w:r w:rsidR="00FE54B6">
        <w:t>10</w:t>
      </w:r>
    </w:p>
    <w:p w:rsidR="0041210D" w:rsidRDefault="00063003">
      <w:pPr>
        <w:pStyle w:val="20"/>
        <w:tabs>
          <w:tab w:val="right" w:leader="dot" w:pos="8834"/>
        </w:tabs>
        <w:rPr>
          <w:rFonts w:asciiTheme="minorHAnsi" w:eastAsiaTheme="minorEastAsia" w:hAnsiTheme="minorHAnsi" w:cstheme="minorBidi"/>
          <w:szCs w:val="22"/>
        </w:rPr>
      </w:pPr>
      <w:hyperlink w:anchor="_Toc498069538" w:history="1">
        <w:r w:rsidR="00FE54B6">
          <w:rPr>
            <w:rStyle w:val="ae"/>
            <w:rFonts w:asciiTheme="minorEastAsia" w:hAnsiTheme="minorEastAsia"/>
          </w:rPr>
          <w:t>2</w:t>
        </w:r>
        <w:r w:rsidR="00FE54B6">
          <w:rPr>
            <w:rStyle w:val="ae"/>
            <w:rFonts w:asciiTheme="minorEastAsia" w:hAnsiTheme="minorEastAsia" w:hint="eastAsia"/>
          </w:rPr>
          <w:t>、存放地点</w:t>
        </w:r>
        <w:r w:rsidR="00FE54B6">
          <w:tab/>
        </w:r>
        <w:r w:rsidR="00FE54B6">
          <w:rPr>
            <w:rFonts w:hint="eastAsia"/>
          </w:rPr>
          <w:t>10</w:t>
        </w:r>
      </w:hyperlink>
    </w:p>
    <w:p w:rsidR="0041210D" w:rsidRDefault="00063003">
      <w:pPr>
        <w:pStyle w:val="20"/>
        <w:tabs>
          <w:tab w:val="right" w:leader="dot" w:pos="8834"/>
        </w:tabs>
        <w:rPr>
          <w:rFonts w:asciiTheme="minorHAnsi" w:eastAsiaTheme="minorEastAsia" w:hAnsiTheme="minorHAnsi" w:cstheme="minorBidi"/>
          <w:szCs w:val="22"/>
        </w:rPr>
      </w:pPr>
      <w:hyperlink w:anchor="_Toc498069539" w:history="1">
        <w:r w:rsidR="00FE54B6">
          <w:rPr>
            <w:rStyle w:val="ae"/>
            <w:rFonts w:asciiTheme="minorEastAsia" w:hAnsiTheme="minorEastAsia"/>
          </w:rPr>
          <w:t>3</w:t>
        </w:r>
        <w:r w:rsidR="00FE54B6">
          <w:rPr>
            <w:rStyle w:val="ae"/>
            <w:rFonts w:asciiTheme="minorEastAsia" w:hAnsiTheme="minorEastAsia" w:hint="eastAsia"/>
          </w:rPr>
          <w:t>、查阅方式</w:t>
        </w:r>
        <w:r w:rsidR="00FE54B6">
          <w:tab/>
        </w:r>
        <w:r w:rsidR="00FE54B6">
          <w:rPr>
            <w:rFonts w:hint="eastAsia"/>
          </w:rPr>
          <w:t>10</w:t>
        </w:r>
      </w:hyperlink>
    </w:p>
    <w:p w:rsidR="0041210D" w:rsidRDefault="0006300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fldChar w:fldCharType="end"/>
      </w:r>
    </w:p>
    <w:p w:rsidR="0041210D" w:rsidRDefault="00FE54B6">
      <w:pPr>
        <w:pStyle w:val="XBRLTitle1"/>
        <w:numPr>
          <w:ilvl w:val="0"/>
          <w:numId w:val="0"/>
        </w:numPr>
        <w:spacing w:before="156" w:after="156"/>
        <w:ind w:left="425"/>
        <w:jc w:val="left"/>
        <w:rPr>
          <w:rFonts w:asciiTheme="minorEastAsia" w:eastAsiaTheme="minorEastAsia" w:hAnsiTheme="minorEastAsia"/>
        </w:rPr>
      </w:pPr>
      <w:bookmarkStart w:id="8" w:name="_Toc247416622"/>
      <w:r>
        <w:rPr>
          <w:rFonts w:asciiTheme="minorEastAsia" w:eastAsiaTheme="minorEastAsia" w:hAnsiTheme="minorEastAsia"/>
        </w:rPr>
        <w:br w:type="page"/>
      </w:r>
      <w:bookmarkStart w:id="9" w:name="_Toc498069522"/>
      <w:r>
        <w:rPr>
          <w:rFonts w:asciiTheme="minorEastAsia" w:eastAsiaTheme="minorEastAsia" w:hAnsiTheme="minorEastAsia"/>
        </w:rPr>
        <w:t>二、基金</w:t>
      </w:r>
      <w:bookmarkEnd w:id="8"/>
      <w:r>
        <w:rPr>
          <w:rFonts w:asciiTheme="minorEastAsia" w:eastAsiaTheme="minorEastAsia" w:hAnsiTheme="minorEastAsia"/>
        </w:rPr>
        <w:t>概况</w:t>
      </w:r>
      <w:bookmarkEnd w:id="9"/>
    </w:p>
    <w:p w:rsidR="0041210D" w:rsidRDefault="00FE54B6">
      <w:pPr>
        <w:pStyle w:val="Default"/>
        <w:spacing w:line="360" w:lineRule="auto"/>
        <w:ind w:firstLineChars="200" w:firstLine="480"/>
        <w:rPr>
          <w:rFonts w:hAnsi="宋体"/>
          <w:bCs/>
        </w:rPr>
      </w:pPr>
      <w:bookmarkStart w:id="10" w:name="_Toc247416628"/>
      <w:bookmarkStart w:id="11" w:name="m02_06"/>
      <w:r>
        <w:rPr>
          <w:rFonts w:hAnsi="宋体"/>
          <w:bCs/>
        </w:rPr>
        <w:t>1、基金名称：</w:t>
      </w:r>
      <w:r>
        <w:rPr>
          <w:rFonts w:hAnsi="宋体" w:hint="eastAsia"/>
          <w:bCs/>
        </w:rPr>
        <w:t>中融量化智选混合型证券投资基金</w:t>
      </w:r>
    </w:p>
    <w:p w:rsidR="0041210D" w:rsidRDefault="00FE54B6">
      <w:pPr>
        <w:pStyle w:val="Default"/>
        <w:spacing w:line="360" w:lineRule="auto"/>
        <w:ind w:firstLineChars="200" w:firstLine="480"/>
        <w:rPr>
          <w:rFonts w:hAnsi="宋体"/>
          <w:bCs/>
        </w:rPr>
      </w:pPr>
      <w:r>
        <w:rPr>
          <w:rFonts w:hAnsi="宋体"/>
          <w:bCs/>
        </w:rPr>
        <w:t>2、基金简称：</w:t>
      </w:r>
      <w:r>
        <w:rPr>
          <w:rFonts w:hAnsi="宋体" w:hint="eastAsia"/>
          <w:bCs/>
        </w:rPr>
        <w:t>中融量化智选混合（基金代码</w:t>
      </w:r>
      <w:r>
        <w:rPr>
          <w:rFonts w:hAnsi="宋体"/>
          <w:bCs/>
        </w:rPr>
        <w:t>：004212</w:t>
      </w:r>
      <w:r>
        <w:rPr>
          <w:rFonts w:hAnsi="宋体" w:hint="eastAsia"/>
          <w:bCs/>
        </w:rPr>
        <w:t>），中融量化智选混合A（基金代码</w:t>
      </w:r>
      <w:r>
        <w:rPr>
          <w:rFonts w:hAnsi="宋体"/>
          <w:bCs/>
        </w:rPr>
        <w:t>：004212</w:t>
      </w:r>
      <w:r>
        <w:rPr>
          <w:rFonts w:hAnsi="宋体" w:hint="eastAsia"/>
          <w:bCs/>
        </w:rPr>
        <w:t>）、中融量化智选混合</w:t>
      </w:r>
      <w:r>
        <w:rPr>
          <w:rFonts w:hAnsi="宋体"/>
          <w:bCs/>
        </w:rPr>
        <w:t>C</w:t>
      </w:r>
      <w:r>
        <w:rPr>
          <w:rFonts w:hAnsi="宋体" w:hint="eastAsia"/>
          <w:bCs/>
        </w:rPr>
        <w:t>（基金代码</w:t>
      </w:r>
      <w:r>
        <w:rPr>
          <w:rFonts w:hAnsi="宋体"/>
          <w:bCs/>
        </w:rPr>
        <w:t>：004783</w:t>
      </w:r>
      <w:r>
        <w:rPr>
          <w:rFonts w:hAnsi="宋体" w:hint="eastAsia"/>
          <w:bCs/>
        </w:rPr>
        <w:t>）</w:t>
      </w:r>
    </w:p>
    <w:p w:rsidR="0041210D" w:rsidRDefault="00FE54B6">
      <w:pPr>
        <w:pStyle w:val="Default"/>
        <w:spacing w:line="360" w:lineRule="auto"/>
        <w:ind w:firstLineChars="200" w:firstLine="480"/>
        <w:rPr>
          <w:rFonts w:hAnsi="宋体"/>
          <w:bCs/>
        </w:rPr>
      </w:pPr>
      <w:r>
        <w:rPr>
          <w:rFonts w:hAnsi="宋体"/>
          <w:bCs/>
        </w:rPr>
        <w:t>3、基金运作方式：</w:t>
      </w:r>
      <w:r>
        <w:rPr>
          <w:rFonts w:hAnsi="宋体" w:hint="eastAsia"/>
          <w:bCs/>
        </w:rPr>
        <w:t>契约型开放式</w:t>
      </w:r>
    </w:p>
    <w:p w:rsidR="0041210D" w:rsidRDefault="00FE54B6">
      <w:pPr>
        <w:pStyle w:val="Default"/>
        <w:spacing w:line="360" w:lineRule="auto"/>
        <w:ind w:firstLineChars="200" w:firstLine="480"/>
        <w:rPr>
          <w:rFonts w:hAnsi="宋体"/>
          <w:bCs/>
        </w:rPr>
      </w:pPr>
      <w:r>
        <w:rPr>
          <w:rFonts w:hAnsi="宋体"/>
          <w:bCs/>
        </w:rPr>
        <w:t>4、基金合同生效日：</w:t>
      </w:r>
      <w:r>
        <w:rPr>
          <w:rFonts w:hAnsi="宋体" w:hint="eastAsia"/>
          <w:bCs/>
        </w:rPr>
        <w:t>2017年03月22日</w:t>
      </w:r>
    </w:p>
    <w:p w:rsidR="0041210D" w:rsidRDefault="00FE54B6">
      <w:pPr>
        <w:pStyle w:val="Default"/>
        <w:spacing w:line="360" w:lineRule="auto"/>
        <w:ind w:firstLineChars="200" w:firstLine="480"/>
        <w:rPr>
          <w:rFonts w:hAnsi="宋体"/>
          <w:bCs/>
        </w:rPr>
      </w:pPr>
      <w:r>
        <w:rPr>
          <w:rFonts w:hAnsi="宋体"/>
          <w:bCs/>
        </w:rPr>
        <w:t>5、</w:t>
      </w:r>
      <w:r>
        <w:rPr>
          <w:rFonts w:hAnsi="宋体" w:hint="eastAsia"/>
          <w:bCs/>
        </w:rPr>
        <w:t>20</w:t>
      </w:r>
      <w:r>
        <w:rPr>
          <w:rFonts w:hAnsi="宋体"/>
          <w:bCs/>
        </w:rPr>
        <w:t>22</w:t>
      </w:r>
      <w:r>
        <w:rPr>
          <w:rFonts w:hAnsi="宋体" w:hint="eastAsia"/>
          <w:bCs/>
        </w:rPr>
        <w:t>年</w:t>
      </w:r>
      <w:r>
        <w:rPr>
          <w:rFonts w:hAnsi="宋体"/>
          <w:bCs/>
        </w:rPr>
        <w:t>11</w:t>
      </w:r>
      <w:r>
        <w:rPr>
          <w:rFonts w:hAnsi="宋体" w:hint="eastAsia"/>
          <w:bCs/>
        </w:rPr>
        <w:t>月</w:t>
      </w:r>
      <w:r>
        <w:rPr>
          <w:rFonts w:hAnsi="宋体"/>
          <w:bCs/>
        </w:rPr>
        <w:t>8</w:t>
      </w:r>
      <w:r>
        <w:rPr>
          <w:rFonts w:hAnsi="宋体" w:hint="eastAsia"/>
          <w:bCs/>
        </w:rPr>
        <w:t>日（基金最后运作日）基金份额总额：3</w:t>
      </w:r>
      <w:r>
        <w:rPr>
          <w:rFonts w:hAnsi="宋体"/>
          <w:bCs/>
        </w:rPr>
        <w:t>,565,744.90</w:t>
      </w:r>
      <w:r>
        <w:rPr>
          <w:rFonts w:hAnsi="宋体" w:hint="eastAsia"/>
          <w:bCs/>
        </w:rPr>
        <w:t>份，</w:t>
      </w:r>
    </w:p>
    <w:p w:rsidR="0041210D" w:rsidRDefault="00FE54B6">
      <w:pPr>
        <w:pStyle w:val="Default"/>
        <w:spacing w:line="360" w:lineRule="auto"/>
        <w:ind w:firstLineChars="200" w:firstLine="480"/>
        <w:rPr>
          <w:rFonts w:hAnsi="宋体"/>
          <w:bCs/>
        </w:rPr>
      </w:pPr>
      <w:r>
        <w:rPr>
          <w:rFonts w:hAnsi="宋体" w:hint="eastAsia"/>
          <w:bCs/>
        </w:rPr>
        <w:t>其中：中融量化智选混合A：</w:t>
      </w:r>
      <w:r>
        <w:rPr>
          <w:rFonts w:hAnsi="宋体"/>
          <w:bCs/>
        </w:rPr>
        <w:t>3,079,049.85</w:t>
      </w:r>
      <w:r>
        <w:rPr>
          <w:rFonts w:hAnsi="宋体" w:hint="eastAsia"/>
          <w:bCs/>
        </w:rPr>
        <w:t>份</w:t>
      </w:r>
    </w:p>
    <w:p w:rsidR="0041210D" w:rsidRDefault="00FE54B6">
      <w:pPr>
        <w:pStyle w:val="Default"/>
        <w:spacing w:line="360" w:lineRule="auto"/>
        <w:ind w:firstLineChars="200" w:firstLine="480"/>
        <w:rPr>
          <w:rFonts w:hAnsi="宋体"/>
          <w:bCs/>
        </w:rPr>
      </w:pPr>
      <w:r>
        <w:rPr>
          <w:rFonts w:hAnsi="宋体" w:hint="eastAsia"/>
          <w:bCs/>
        </w:rPr>
        <w:t>中融量化智选混合C：</w:t>
      </w:r>
      <w:r>
        <w:rPr>
          <w:rFonts w:hAnsi="宋体"/>
          <w:bCs/>
        </w:rPr>
        <w:t>486,695.05</w:t>
      </w:r>
      <w:r>
        <w:rPr>
          <w:rFonts w:hAnsi="宋体" w:hint="eastAsia"/>
          <w:bCs/>
        </w:rPr>
        <w:t>份</w:t>
      </w:r>
    </w:p>
    <w:p w:rsidR="0041210D" w:rsidRDefault="00FE54B6">
      <w:pPr>
        <w:pStyle w:val="Default"/>
        <w:spacing w:line="360" w:lineRule="auto"/>
        <w:ind w:firstLineChars="200" w:firstLine="480"/>
        <w:rPr>
          <w:rFonts w:hAnsi="宋体"/>
          <w:bCs/>
        </w:rPr>
      </w:pPr>
      <w:r>
        <w:rPr>
          <w:rFonts w:hAnsi="宋体"/>
          <w:bCs/>
        </w:rPr>
        <w:t>6</w:t>
      </w:r>
      <w:r>
        <w:rPr>
          <w:rFonts w:hAnsi="宋体" w:hint="eastAsia"/>
          <w:bCs/>
        </w:rPr>
        <w:t>、投资目标：本基金通过多因子量化选股模型，精选具有超额收益的股票组合进行投资，在充分控制风险的前提下，力争长期稳定的获取超越业绩比较基准的投资回报。</w:t>
      </w:r>
    </w:p>
    <w:p w:rsidR="0041210D" w:rsidRDefault="00FE54B6">
      <w:pPr>
        <w:pStyle w:val="Default"/>
        <w:spacing w:line="360" w:lineRule="auto"/>
        <w:ind w:firstLineChars="200" w:firstLine="480"/>
        <w:rPr>
          <w:rFonts w:hAnsi="宋体"/>
          <w:bCs/>
        </w:rPr>
      </w:pPr>
      <w:r>
        <w:rPr>
          <w:rFonts w:hAnsi="宋体"/>
          <w:bCs/>
        </w:rPr>
        <w:t>7</w:t>
      </w:r>
      <w:r>
        <w:rPr>
          <w:rFonts w:hAnsi="宋体" w:hint="eastAsia"/>
          <w:bCs/>
        </w:rPr>
        <w:t>、投资策略：（</w:t>
      </w:r>
      <w:r>
        <w:rPr>
          <w:rFonts w:hAnsi="宋体"/>
          <w:bCs/>
        </w:rPr>
        <w:t>1</w:t>
      </w:r>
      <w:r>
        <w:rPr>
          <w:rFonts w:hAnsi="宋体" w:hint="eastAsia"/>
          <w:bCs/>
        </w:rPr>
        <w:t>）资产配置策略；（</w:t>
      </w:r>
      <w:r>
        <w:rPr>
          <w:rFonts w:hAnsi="宋体"/>
          <w:bCs/>
        </w:rPr>
        <w:t>2</w:t>
      </w:r>
      <w:r>
        <w:rPr>
          <w:rFonts w:hAnsi="宋体" w:hint="eastAsia"/>
          <w:bCs/>
        </w:rPr>
        <w:t>）股票投资策略</w:t>
      </w:r>
      <w:r>
        <w:rPr>
          <w:rFonts w:hAnsi="宋体"/>
          <w:bCs/>
        </w:rPr>
        <w:t>1</w:t>
      </w:r>
      <w:r>
        <w:rPr>
          <w:rFonts w:hAnsi="宋体" w:hint="eastAsia"/>
          <w:bCs/>
        </w:rPr>
        <w:t>）多因子选股模型2）投资组合优化模型；（</w:t>
      </w:r>
      <w:r>
        <w:rPr>
          <w:rFonts w:hAnsi="宋体"/>
          <w:bCs/>
        </w:rPr>
        <w:t>3</w:t>
      </w:r>
      <w:r>
        <w:rPr>
          <w:rFonts w:hAnsi="宋体" w:hint="eastAsia"/>
          <w:bCs/>
        </w:rPr>
        <w:t>）债券投资策略；（</w:t>
      </w:r>
      <w:r>
        <w:rPr>
          <w:rFonts w:hAnsi="宋体"/>
          <w:bCs/>
        </w:rPr>
        <w:t>4</w:t>
      </w:r>
      <w:r>
        <w:rPr>
          <w:rFonts w:hAnsi="宋体" w:hint="eastAsia"/>
          <w:bCs/>
        </w:rPr>
        <w:t>）中小企业私募债券投资策略；（</w:t>
      </w:r>
      <w:r>
        <w:rPr>
          <w:rFonts w:hAnsi="宋体"/>
          <w:bCs/>
        </w:rPr>
        <w:t>5</w:t>
      </w:r>
      <w:r>
        <w:rPr>
          <w:rFonts w:hAnsi="宋体" w:hint="eastAsia"/>
          <w:bCs/>
        </w:rPr>
        <w:t>）资产支持证券投资策略；（6）股指期货投资策略；（7）现金管理策略；（8）权证投资策略。</w:t>
      </w:r>
      <w:r>
        <w:rPr>
          <w:rFonts w:hAnsi="宋体"/>
          <w:bCs/>
        </w:rPr>
        <w:t xml:space="preserve"> </w:t>
      </w:r>
    </w:p>
    <w:p w:rsidR="0041210D" w:rsidRDefault="00FE54B6">
      <w:pPr>
        <w:pStyle w:val="Default"/>
        <w:spacing w:line="360" w:lineRule="auto"/>
        <w:ind w:firstLineChars="200" w:firstLine="480"/>
        <w:rPr>
          <w:rFonts w:hAnsi="宋体"/>
          <w:bCs/>
        </w:rPr>
      </w:pPr>
      <w:r>
        <w:rPr>
          <w:rFonts w:hAnsi="宋体"/>
          <w:bCs/>
        </w:rPr>
        <w:t>8</w:t>
      </w:r>
      <w:r>
        <w:rPr>
          <w:rFonts w:hAnsi="宋体" w:hint="eastAsia"/>
          <w:bCs/>
        </w:rPr>
        <w:t>、业绩比较基准：中证500指数收益率×80%+中证综合债指数收益率×20%</w:t>
      </w:r>
    </w:p>
    <w:p w:rsidR="0041210D" w:rsidRDefault="00FE54B6">
      <w:pPr>
        <w:pStyle w:val="Default"/>
        <w:spacing w:line="360" w:lineRule="auto"/>
        <w:ind w:firstLineChars="200" w:firstLine="480"/>
        <w:rPr>
          <w:rFonts w:hAnsi="宋体"/>
          <w:bCs/>
        </w:rPr>
      </w:pPr>
      <w:r>
        <w:rPr>
          <w:rFonts w:hAnsi="宋体"/>
          <w:bCs/>
        </w:rPr>
        <w:t>9</w:t>
      </w:r>
      <w:r>
        <w:rPr>
          <w:rFonts w:hAnsi="宋体" w:hint="eastAsia"/>
          <w:bCs/>
        </w:rPr>
        <w:t>、风险收益特征：本基金为混合型基金，理论上长期来看，其预期风险和预期收益低于股票型基金，高于债券型基金和货币市场基金。</w:t>
      </w:r>
    </w:p>
    <w:p w:rsidR="0041210D" w:rsidRDefault="00FE54B6">
      <w:pPr>
        <w:pStyle w:val="Default"/>
        <w:spacing w:line="360" w:lineRule="auto"/>
        <w:ind w:firstLineChars="200" w:firstLine="480"/>
        <w:rPr>
          <w:rFonts w:hAnsi="宋体"/>
          <w:bCs/>
        </w:rPr>
      </w:pPr>
      <w:r>
        <w:rPr>
          <w:rFonts w:hAnsi="宋体" w:hint="eastAsia"/>
          <w:bCs/>
        </w:rPr>
        <w:t>10</w:t>
      </w:r>
      <w:r>
        <w:rPr>
          <w:rFonts w:hAnsi="宋体"/>
          <w:bCs/>
        </w:rPr>
        <w:t>、基金管理人：</w:t>
      </w:r>
      <w:r>
        <w:rPr>
          <w:rFonts w:hAnsi="宋体" w:hint="eastAsia"/>
          <w:bCs/>
        </w:rPr>
        <w:t>中融基金管理有限公司</w:t>
      </w:r>
    </w:p>
    <w:p w:rsidR="0041210D" w:rsidRDefault="00FE54B6">
      <w:pPr>
        <w:pStyle w:val="Default"/>
        <w:spacing w:line="360" w:lineRule="auto"/>
        <w:ind w:firstLineChars="200" w:firstLine="480"/>
        <w:rPr>
          <w:rFonts w:hAnsi="宋体"/>
          <w:bCs/>
        </w:rPr>
      </w:pPr>
      <w:r>
        <w:rPr>
          <w:rFonts w:hAnsi="宋体"/>
          <w:bCs/>
        </w:rPr>
        <w:t>11、基金托管人：</w:t>
      </w:r>
      <w:bookmarkStart w:id="12" w:name="m06_02"/>
      <w:bookmarkEnd w:id="10"/>
      <w:bookmarkEnd w:id="11"/>
      <w:r>
        <w:rPr>
          <w:rFonts w:hAnsi="宋体" w:hint="eastAsia"/>
          <w:bCs/>
        </w:rPr>
        <w:t>中</w:t>
      </w:r>
      <w:r>
        <w:rPr>
          <w:rFonts w:hAnsi="宋体"/>
          <w:bCs/>
        </w:rPr>
        <w:t>国工商</w:t>
      </w:r>
      <w:r>
        <w:rPr>
          <w:rFonts w:hAnsi="宋体" w:hint="eastAsia"/>
          <w:bCs/>
        </w:rPr>
        <w:t>银行股份有限公司</w:t>
      </w:r>
    </w:p>
    <w:p w:rsidR="0041210D" w:rsidRDefault="00FE54B6">
      <w:pPr>
        <w:pStyle w:val="XBRLTitle1"/>
        <w:numPr>
          <w:ilvl w:val="0"/>
          <w:numId w:val="0"/>
        </w:numPr>
        <w:spacing w:before="156" w:after="156"/>
        <w:ind w:left="425"/>
        <w:jc w:val="left"/>
        <w:rPr>
          <w:rFonts w:asciiTheme="minorEastAsia" w:eastAsiaTheme="minorEastAsia" w:hAnsiTheme="minorEastAsia"/>
        </w:rPr>
      </w:pPr>
      <w:bookmarkStart w:id="13" w:name="_Toc498069523"/>
      <w:bookmarkEnd w:id="12"/>
      <w:r>
        <w:rPr>
          <w:rFonts w:asciiTheme="minorEastAsia" w:eastAsiaTheme="minorEastAsia" w:hAnsiTheme="minorEastAsia" w:hint="eastAsia"/>
        </w:rPr>
        <w:t>三</w:t>
      </w:r>
      <w:r>
        <w:rPr>
          <w:rFonts w:asciiTheme="minorEastAsia" w:eastAsiaTheme="minorEastAsia" w:hAnsiTheme="minorEastAsia"/>
        </w:rPr>
        <w:t>、财务会计报告</w:t>
      </w:r>
      <w:bookmarkEnd w:id="13"/>
    </w:p>
    <w:p w:rsidR="0041210D" w:rsidRDefault="00FE54B6">
      <w:pPr>
        <w:spacing w:line="360" w:lineRule="auto"/>
        <w:rPr>
          <w:rFonts w:asciiTheme="minorEastAsia" w:eastAsiaTheme="minorEastAsia" w:hAnsiTheme="minorEastAsia"/>
          <w:sz w:val="24"/>
          <w:szCs w:val="24"/>
        </w:rPr>
      </w:pPr>
      <w:bookmarkStart w:id="14" w:name="m07_01"/>
      <w:bookmarkStart w:id="15" w:name="m07_01_tab"/>
      <w:r>
        <w:rPr>
          <w:rFonts w:asciiTheme="minorEastAsia" w:eastAsiaTheme="minorEastAsia" w:hAnsiTheme="minorEastAsia"/>
          <w:sz w:val="24"/>
          <w:szCs w:val="24"/>
        </w:rPr>
        <w:t>资产负债表（经审计）</w:t>
      </w:r>
    </w:p>
    <w:p w:rsidR="0041210D" w:rsidRDefault="00FE54B6">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会计主体：</w:t>
      </w:r>
      <w:r>
        <w:rPr>
          <w:rFonts w:asciiTheme="minorEastAsia" w:eastAsiaTheme="minorEastAsia" w:hAnsiTheme="minorEastAsia" w:hint="eastAsia"/>
          <w:sz w:val="24"/>
          <w:szCs w:val="24"/>
        </w:rPr>
        <w:t>中融量化智选混合型证券投资基金</w:t>
      </w:r>
    </w:p>
    <w:p w:rsidR="0041210D" w:rsidRDefault="00FE54B6">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报告截止日：</w:t>
      </w:r>
      <w:r>
        <w:rPr>
          <w:rFonts w:asciiTheme="minorEastAsia" w:eastAsiaTheme="minorEastAsia" w:hAnsiTheme="minorEastAsia" w:hint="eastAsia"/>
          <w:sz w:val="24"/>
          <w:szCs w:val="24"/>
        </w:rPr>
        <w:t>20</w:t>
      </w:r>
      <w:r>
        <w:rPr>
          <w:rFonts w:asciiTheme="minorEastAsia" w:eastAsiaTheme="minorEastAsia" w:hAnsiTheme="minorEastAsia"/>
          <w:sz w:val="24"/>
          <w:szCs w:val="24"/>
        </w:rPr>
        <w:t>22</w:t>
      </w:r>
      <w:r>
        <w:rPr>
          <w:rFonts w:asciiTheme="minorEastAsia" w:eastAsiaTheme="minorEastAsia" w:hAnsiTheme="minorEastAsia" w:hint="eastAsia"/>
          <w:sz w:val="24"/>
          <w:szCs w:val="24"/>
        </w:rPr>
        <w:t>年</w:t>
      </w:r>
      <w:r>
        <w:rPr>
          <w:rFonts w:asciiTheme="minorEastAsia" w:eastAsiaTheme="minorEastAsia" w:hAnsiTheme="minorEastAsia"/>
          <w:sz w:val="24"/>
          <w:szCs w:val="24"/>
        </w:rPr>
        <w:t>11</w:t>
      </w:r>
      <w:r>
        <w:rPr>
          <w:rFonts w:asciiTheme="minorEastAsia" w:eastAsiaTheme="minorEastAsia" w:hAnsiTheme="minorEastAsia" w:hint="eastAsia"/>
          <w:sz w:val="24"/>
          <w:szCs w:val="24"/>
        </w:rPr>
        <w:t>月</w:t>
      </w:r>
      <w:r>
        <w:rPr>
          <w:rFonts w:asciiTheme="minorEastAsia" w:eastAsiaTheme="minorEastAsia" w:hAnsiTheme="minorEastAsia"/>
          <w:sz w:val="24"/>
          <w:szCs w:val="24"/>
        </w:rPr>
        <w:t>8</w:t>
      </w:r>
      <w:r>
        <w:rPr>
          <w:rFonts w:asciiTheme="minorEastAsia" w:eastAsiaTheme="minorEastAsia" w:hAnsiTheme="minorEastAsia" w:hint="eastAsia"/>
          <w:sz w:val="24"/>
          <w:szCs w:val="24"/>
        </w:rPr>
        <w:t>日</w:t>
      </w:r>
    </w:p>
    <w:p w:rsidR="0041210D" w:rsidRDefault="00FE54B6">
      <w:pPr>
        <w:spacing w:line="360" w:lineRule="auto"/>
        <w:jc w:val="right"/>
        <w:rPr>
          <w:rFonts w:asciiTheme="minorEastAsia" w:eastAsiaTheme="minorEastAsia" w:hAnsiTheme="minorEastAsia"/>
          <w:sz w:val="24"/>
          <w:szCs w:val="24"/>
        </w:rPr>
      </w:pPr>
      <w:r>
        <w:rPr>
          <w:rFonts w:asciiTheme="minorEastAsia" w:eastAsiaTheme="minorEastAsia" w:hAnsiTheme="minorEastAsia"/>
          <w:sz w:val="24"/>
          <w:szCs w:val="24"/>
        </w:rPr>
        <w:t>单位：人民币元</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3"/>
        <w:gridCol w:w="4721"/>
      </w:tblGrid>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项目</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基金最后运作日202</w:t>
            </w:r>
            <w:r>
              <w:rPr>
                <w:rFonts w:asciiTheme="minorEastAsia" w:eastAsiaTheme="minorEastAsia" w:hAnsiTheme="minorEastAsia"/>
                <w:snapToGrid w:val="0"/>
                <w:sz w:val="24"/>
                <w:szCs w:val="24"/>
              </w:rPr>
              <w:t>2</w:t>
            </w:r>
            <w:r>
              <w:rPr>
                <w:rFonts w:asciiTheme="minorEastAsia" w:eastAsiaTheme="minorEastAsia" w:hAnsiTheme="minorEastAsia" w:hint="eastAsia"/>
                <w:snapToGrid w:val="0"/>
                <w:sz w:val="24"/>
                <w:szCs w:val="24"/>
              </w:rPr>
              <w:t>年</w:t>
            </w:r>
            <w:r>
              <w:rPr>
                <w:rFonts w:asciiTheme="minorEastAsia" w:eastAsiaTheme="minorEastAsia" w:hAnsiTheme="minorEastAsia"/>
                <w:snapToGrid w:val="0"/>
                <w:sz w:val="24"/>
                <w:szCs w:val="24"/>
              </w:rPr>
              <w:t>11</w:t>
            </w:r>
            <w:r>
              <w:rPr>
                <w:rFonts w:asciiTheme="minorEastAsia" w:eastAsiaTheme="minorEastAsia" w:hAnsiTheme="minorEastAsia" w:hint="eastAsia"/>
                <w:snapToGrid w:val="0"/>
                <w:sz w:val="24"/>
                <w:szCs w:val="24"/>
              </w:rPr>
              <w:t>月</w:t>
            </w:r>
            <w:r>
              <w:rPr>
                <w:rFonts w:asciiTheme="minorEastAsia" w:eastAsiaTheme="minorEastAsia" w:hAnsiTheme="minorEastAsia"/>
                <w:snapToGrid w:val="0"/>
                <w:sz w:val="24"/>
                <w:szCs w:val="24"/>
              </w:rPr>
              <w:t>8</w:t>
            </w:r>
            <w:r>
              <w:rPr>
                <w:rFonts w:asciiTheme="minorEastAsia" w:eastAsiaTheme="minorEastAsia" w:hAnsiTheme="minorEastAsia" w:hint="eastAsia"/>
                <w:snapToGrid w:val="0"/>
                <w:sz w:val="24"/>
                <w:szCs w:val="24"/>
              </w:rPr>
              <w:t>日</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资产：</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银行存款</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94,641.48</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结算备付金</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21,902.64</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存出保证金</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4,201.29</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bottom"/>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交易性金融资产</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3,761,360.05</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bottom"/>
          </w:tcPr>
          <w:p w:rsidR="0041210D" w:rsidRDefault="00FE54B6">
            <w:pPr>
              <w:ind w:firstLine="480"/>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其中：股票投资</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3,557,768.00</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bottom"/>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w:t>
            </w:r>
            <w:r>
              <w:rPr>
                <w:rFonts w:asciiTheme="minorEastAsia" w:eastAsiaTheme="minorEastAsia" w:hAnsiTheme="minorEastAsia"/>
                <w:snapToGrid w:val="0"/>
                <w:sz w:val="24"/>
                <w:szCs w:val="24"/>
              </w:rPr>
              <w:t xml:space="preserve">     </w:t>
            </w:r>
            <w:r>
              <w:rPr>
                <w:rFonts w:asciiTheme="minorEastAsia" w:eastAsiaTheme="minorEastAsia" w:hAnsiTheme="minorEastAsia" w:hint="eastAsia"/>
                <w:snapToGrid w:val="0"/>
                <w:sz w:val="24"/>
                <w:szCs w:val="24"/>
              </w:rPr>
              <w:t>债券投资</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203,592.05</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bottom"/>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应收证券清算款</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50,398.58</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bottom"/>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应收申购款</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1,300.55</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资产合计</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3,933,804.59</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负债：</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应付证券清算款</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54,624.86</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应付赎回款</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3,400.10</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应付管理人报酬</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1,429.09</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应付托管费</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238.18</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应付销售服务费</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00.87</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其他负债</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21,800.92</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负债合计</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81,594.02</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所有者权益：</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实收基金</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3,565,744.90</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未分配利润</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286,465.67</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所有者权益合计</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3,852,210.57</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41210D">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负债及所有者权益合计</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3,933,804.59</w:t>
            </w:r>
          </w:p>
        </w:tc>
      </w:tr>
    </w:tbl>
    <w:p w:rsidR="0041210D" w:rsidRDefault="00FE54B6">
      <w:pPr>
        <w:pStyle w:val="XBRLTitle1"/>
        <w:numPr>
          <w:ilvl w:val="0"/>
          <w:numId w:val="0"/>
        </w:numPr>
        <w:spacing w:before="156" w:after="156"/>
        <w:ind w:left="425"/>
        <w:jc w:val="left"/>
        <w:rPr>
          <w:rFonts w:asciiTheme="minorEastAsia" w:eastAsiaTheme="minorEastAsia" w:hAnsiTheme="minorEastAsia"/>
        </w:rPr>
      </w:pPr>
      <w:bookmarkStart w:id="16" w:name="_Toc498069524"/>
      <w:bookmarkEnd w:id="14"/>
      <w:bookmarkEnd w:id="15"/>
      <w:r>
        <w:rPr>
          <w:rFonts w:asciiTheme="minorEastAsia" w:eastAsiaTheme="minorEastAsia" w:hAnsiTheme="minorEastAsia" w:hint="eastAsia"/>
        </w:rPr>
        <w:t>四</w:t>
      </w:r>
      <w:r>
        <w:rPr>
          <w:rFonts w:asciiTheme="minorEastAsia" w:eastAsiaTheme="minorEastAsia" w:hAnsiTheme="minorEastAsia"/>
        </w:rPr>
        <w:t>、清算事项说明</w:t>
      </w:r>
      <w:bookmarkEnd w:id="16"/>
    </w:p>
    <w:p w:rsidR="0041210D" w:rsidRDefault="00FE54B6">
      <w:pPr>
        <w:pStyle w:val="XBRLTitle2"/>
        <w:numPr>
          <w:ilvl w:val="0"/>
          <w:numId w:val="2"/>
        </w:numPr>
        <w:spacing w:before="156" w:after="156" w:line="360" w:lineRule="auto"/>
        <w:rPr>
          <w:rFonts w:asciiTheme="minorEastAsia" w:eastAsiaTheme="minorEastAsia" w:hAnsiTheme="minorEastAsia"/>
          <w:szCs w:val="24"/>
        </w:rPr>
      </w:pPr>
      <w:bookmarkStart w:id="17" w:name="_Toc498069525"/>
      <w:bookmarkStart w:id="18" w:name="m07_04_01"/>
      <w:r>
        <w:rPr>
          <w:rFonts w:asciiTheme="minorEastAsia" w:eastAsiaTheme="minorEastAsia" w:hAnsiTheme="minorEastAsia"/>
          <w:szCs w:val="24"/>
        </w:rPr>
        <w:t>基本情况</w:t>
      </w:r>
      <w:bookmarkEnd w:id="17"/>
    </w:p>
    <w:p w:rsidR="0041210D" w:rsidRDefault="00FE54B6">
      <w:pPr>
        <w:pStyle w:val="Default"/>
        <w:spacing w:line="360" w:lineRule="auto"/>
        <w:ind w:firstLineChars="200" w:firstLine="480"/>
        <w:rPr>
          <w:rFonts w:hAnsi="宋体"/>
          <w:bCs/>
        </w:rPr>
      </w:pPr>
      <w:bookmarkStart w:id="19" w:name="_Toc498069526"/>
      <w:r>
        <w:rPr>
          <w:rFonts w:hAnsi="宋体" w:hint="eastAsia"/>
          <w:bCs/>
        </w:rPr>
        <w:t>中融量化智选混合型证券投资基金（以下简称“本基金”）经中国证券监督管理委员会(以下简称“中国证监会”)证监许可[2017]71号文《关于准予中融量化智选混合型证券投资基金注册的批复》注册，由基金管理人中融基金管理有限公司依照《中华人民共和国证券投资基金法》及其配套规则和《中融量化智选混合型证券投资基金基金合同》（“基金合同”）公开募集，于2017年3月22日募集成立。本基金的基金管理人为中融基金管理有限公司，基金托管人为中国工商银行股份有限公司。</w:t>
      </w:r>
    </w:p>
    <w:p w:rsidR="0041210D" w:rsidRDefault="00FE54B6">
      <w:pPr>
        <w:pStyle w:val="Default"/>
        <w:spacing w:line="360" w:lineRule="auto"/>
        <w:ind w:firstLineChars="200" w:firstLine="480"/>
        <w:rPr>
          <w:rFonts w:hAnsi="宋体"/>
          <w:bCs/>
        </w:rPr>
      </w:pPr>
      <w:r>
        <w:rPr>
          <w:rFonts w:hAnsi="宋体" w:hint="eastAsia"/>
          <w:bCs/>
        </w:rPr>
        <w:t>本基金募集期为2017年2月14日至2017年3月17日止，本基金为契约型开放式基金，存续期限不定，募集资金总额为人民币311,086,894.97元，折合基金份额311,086,894.97份，有效认购户数为3,677户。其中，认购资金在募集期间产生的利息共计人民币147,297.20元，折合基金份额147,297.20份，按照基金合同的有关约定计入基金份额持有人的基金账户。本基金募集资金经上会会计师事务所(特殊普通合伙)验资。</w:t>
      </w:r>
    </w:p>
    <w:p w:rsidR="0041210D" w:rsidRDefault="00FE54B6">
      <w:pPr>
        <w:pStyle w:val="Default"/>
        <w:spacing w:line="360" w:lineRule="auto"/>
        <w:ind w:firstLineChars="200" w:firstLine="480"/>
        <w:rPr>
          <w:rFonts w:hAnsi="宋体"/>
          <w:bCs/>
        </w:rPr>
      </w:pPr>
      <w:r>
        <w:rPr>
          <w:rFonts w:hAnsi="宋体" w:hint="eastAsia"/>
          <w:bCs/>
        </w:rPr>
        <w:t>根据《中华人民共和国证券投资基金法》、《公开募集证券投资基金运作管理办法》和基金合同等有关规定，本基金的投资范围为具有良好流动性的金融工具，包括国内依法发行上市的股票（包括中小板、创业板和其他经中国证监会核准发行上市的股票）、债券（包括国债、金融债券、地方政府债、央行票据、短期融资券、超短期融资券、中期 票据、企业债券、公司债券、可转换公司债券（含可分离交易可转债）、可交换公司债券、中小企业私募债、次级债）、债券回购、货币市场工具、银行存款、同业存单、权证、资产支持证券、股指期货以及法律法规或中国证监会允许基金投资的其他金融工具（但需符合中国证监会的相关规定）。本基金业绩比较基准：中证500指数收益率×80%+中证综合债指数收益率×20%。</w:t>
      </w:r>
    </w:p>
    <w:p w:rsidR="0041210D" w:rsidRDefault="00FE54B6">
      <w:pPr>
        <w:pStyle w:val="XBRLTitle2"/>
        <w:numPr>
          <w:ilvl w:val="0"/>
          <w:numId w:val="0"/>
        </w:numPr>
        <w:spacing w:before="156" w:after="156" w:line="360" w:lineRule="auto"/>
        <w:ind w:leftChars="35" w:left="526" w:hangingChars="188" w:hanging="453"/>
        <w:rPr>
          <w:rFonts w:asciiTheme="minorEastAsia" w:eastAsiaTheme="minorEastAsia" w:hAnsiTheme="minorEastAsia"/>
          <w:szCs w:val="24"/>
        </w:rPr>
      </w:pPr>
      <w:r>
        <w:rPr>
          <w:rFonts w:asciiTheme="minorEastAsia" w:eastAsiaTheme="minorEastAsia" w:hAnsiTheme="minorEastAsia"/>
          <w:szCs w:val="24"/>
        </w:rPr>
        <w:t>2、清算原因</w:t>
      </w:r>
      <w:bookmarkEnd w:id="19"/>
    </w:p>
    <w:p w:rsidR="0041210D" w:rsidRDefault="00FE54B6">
      <w:pPr>
        <w:pStyle w:val="Default"/>
        <w:spacing w:line="360" w:lineRule="auto"/>
        <w:ind w:firstLineChars="200" w:firstLine="480"/>
        <w:rPr>
          <w:bCs/>
        </w:rPr>
      </w:pPr>
      <w:r>
        <w:rPr>
          <w:rFonts w:hAnsi="宋体" w:hint="eastAsia"/>
          <w:bCs/>
        </w:rPr>
        <w:t>根据《中华人民共和国证券投资基金法》、《公开募集证券投资基金运作管理办法》和《</w:t>
      </w:r>
      <w:r>
        <w:rPr>
          <w:rFonts w:hint="eastAsia"/>
        </w:rPr>
        <w:t>中融量化智选混合型证券投资基金</w:t>
      </w:r>
      <w:r>
        <w:rPr>
          <w:rFonts w:hAnsi="宋体" w:hint="eastAsia"/>
          <w:bCs/>
        </w:rPr>
        <w:t>基金合同》有关规定，基金管理人经与基金托管人中国</w:t>
      </w:r>
      <w:r>
        <w:rPr>
          <w:rFonts w:hAnsi="宋体"/>
          <w:bCs/>
        </w:rPr>
        <w:t>工商</w:t>
      </w:r>
      <w:r>
        <w:rPr>
          <w:rFonts w:hAnsi="宋体" w:hint="eastAsia"/>
          <w:bCs/>
        </w:rPr>
        <w:t>银行股份有限公司协商一致，提议终止《</w:t>
      </w:r>
      <w:r>
        <w:rPr>
          <w:rFonts w:hint="eastAsia"/>
        </w:rPr>
        <w:t>中融量化智选混合型证券投资基金</w:t>
      </w:r>
      <w:r>
        <w:rPr>
          <w:rFonts w:hAnsi="宋体" w:hint="eastAsia"/>
          <w:bCs/>
        </w:rPr>
        <w:t>基金合同》。本基金管理人组织</w:t>
      </w:r>
      <w:r>
        <w:rPr>
          <w:rFonts w:hAnsi="宋体"/>
          <w:bCs/>
        </w:rPr>
        <w:t>召开基金份额持有人大会</w:t>
      </w:r>
      <w:r>
        <w:rPr>
          <w:rFonts w:hAnsi="宋体" w:hint="eastAsia"/>
          <w:bCs/>
        </w:rPr>
        <w:t>，审议并通过了</w:t>
      </w:r>
      <w:r>
        <w:rPr>
          <w:rFonts w:ascii="仿宋" w:hAnsi="仿宋" w:cs="仿宋"/>
        </w:rPr>
        <w:t>《关于终止</w:t>
      </w:r>
      <w:r>
        <w:rPr>
          <w:rFonts w:hint="eastAsia"/>
        </w:rPr>
        <w:t>中融量化智选混合型证券投资基金</w:t>
      </w:r>
      <w:r>
        <w:rPr>
          <w:rFonts w:ascii="仿宋" w:hAnsi="仿宋" w:cs="仿宋"/>
        </w:rPr>
        <w:t>基金合同有关事项的议案》</w:t>
      </w:r>
      <w:r>
        <w:rPr>
          <w:rFonts w:ascii="仿宋" w:hAnsi="仿宋" w:cs="仿宋" w:hint="eastAsia"/>
        </w:rPr>
        <w:t>，</w:t>
      </w:r>
      <w:r>
        <w:rPr>
          <w:rFonts w:ascii="仿宋" w:hAnsi="仿宋" w:cs="仿宋"/>
        </w:rPr>
        <w:t>并依法履行基金财产清算程序</w:t>
      </w:r>
      <w:r>
        <w:rPr>
          <w:rFonts w:ascii="仿宋" w:hAnsi="仿宋" w:cs="仿宋" w:hint="eastAsia"/>
        </w:rPr>
        <w:t>。</w:t>
      </w:r>
    </w:p>
    <w:p w:rsidR="0041210D" w:rsidRDefault="00FE54B6">
      <w:pPr>
        <w:pStyle w:val="XBRLTitle2"/>
        <w:numPr>
          <w:ilvl w:val="0"/>
          <w:numId w:val="0"/>
        </w:numPr>
        <w:spacing w:before="156" w:after="156" w:line="360" w:lineRule="auto"/>
        <w:ind w:left="454" w:hanging="454"/>
        <w:rPr>
          <w:rFonts w:asciiTheme="minorEastAsia" w:eastAsiaTheme="minorEastAsia" w:hAnsiTheme="minorEastAsia"/>
          <w:szCs w:val="24"/>
        </w:rPr>
      </w:pPr>
      <w:bookmarkStart w:id="20" w:name="_Toc498069527"/>
      <w:r>
        <w:rPr>
          <w:rFonts w:asciiTheme="minorEastAsia" w:eastAsiaTheme="minorEastAsia" w:hAnsiTheme="minorEastAsia"/>
          <w:szCs w:val="24"/>
        </w:rPr>
        <w:t>3、清算起始日</w:t>
      </w:r>
      <w:bookmarkEnd w:id="20"/>
    </w:p>
    <w:p w:rsidR="0041210D" w:rsidRDefault="00FE54B6">
      <w:pPr>
        <w:widowControl/>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根据《基金合同》及《中融基金管理有限公司关于中融量化智选混合型证券投资基金基金份额持有人大会表决结果暨决议生效公告》，20</w:t>
      </w:r>
      <w:r>
        <w:rPr>
          <w:rFonts w:ascii="宋体" w:cs="宋体"/>
          <w:color w:val="000000"/>
          <w:kern w:val="0"/>
          <w:sz w:val="24"/>
          <w:szCs w:val="24"/>
        </w:rPr>
        <w:t>22</w:t>
      </w:r>
      <w:r>
        <w:rPr>
          <w:rFonts w:ascii="宋体" w:cs="宋体" w:hint="eastAsia"/>
          <w:color w:val="000000"/>
          <w:kern w:val="0"/>
          <w:sz w:val="24"/>
          <w:szCs w:val="24"/>
        </w:rPr>
        <w:t>年</w:t>
      </w:r>
      <w:r>
        <w:rPr>
          <w:rFonts w:ascii="宋体" w:cs="宋体"/>
          <w:color w:val="000000"/>
          <w:kern w:val="0"/>
          <w:sz w:val="24"/>
          <w:szCs w:val="24"/>
        </w:rPr>
        <w:t>11</w:t>
      </w:r>
      <w:r>
        <w:rPr>
          <w:rFonts w:ascii="宋体" w:cs="宋体" w:hint="eastAsia"/>
          <w:color w:val="000000"/>
          <w:kern w:val="0"/>
          <w:sz w:val="24"/>
          <w:szCs w:val="24"/>
        </w:rPr>
        <w:t>月</w:t>
      </w:r>
      <w:r>
        <w:rPr>
          <w:rFonts w:ascii="宋体" w:cs="宋体"/>
          <w:color w:val="000000"/>
          <w:kern w:val="0"/>
          <w:sz w:val="24"/>
          <w:szCs w:val="24"/>
        </w:rPr>
        <w:t>8</w:t>
      </w:r>
      <w:r>
        <w:rPr>
          <w:rFonts w:ascii="宋体" w:cs="宋体" w:hint="eastAsia"/>
          <w:color w:val="000000"/>
          <w:kern w:val="0"/>
          <w:sz w:val="24"/>
          <w:szCs w:val="24"/>
        </w:rPr>
        <w:t>日为基金最后运作日，本基金于20</w:t>
      </w:r>
      <w:r>
        <w:rPr>
          <w:rFonts w:ascii="宋体" w:cs="宋体"/>
          <w:color w:val="000000"/>
          <w:kern w:val="0"/>
          <w:sz w:val="24"/>
          <w:szCs w:val="24"/>
        </w:rPr>
        <w:t>22</w:t>
      </w:r>
      <w:r>
        <w:rPr>
          <w:rFonts w:ascii="宋体" w:cs="宋体" w:hint="eastAsia"/>
          <w:color w:val="000000"/>
          <w:kern w:val="0"/>
          <w:sz w:val="24"/>
          <w:szCs w:val="24"/>
        </w:rPr>
        <w:t>年</w:t>
      </w:r>
      <w:r>
        <w:rPr>
          <w:rFonts w:ascii="宋体" w:cs="宋体"/>
          <w:color w:val="000000"/>
          <w:kern w:val="0"/>
          <w:sz w:val="24"/>
          <w:szCs w:val="24"/>
        </w:rPr>
        <w:t>11</w:t>
      </w:r>
      <w:r>
        <w:rPr>
          <w:rFonts w:ascii="宋体" w:cs="宋体" w:hint="eastAsia"/>
          <w:color w:val="000000"/>
          <w:kern w:val="0"/>
          <w:sz w:val="24"/>
          <w:szCs w:val="24"/>
        </w:rPr>
        <w:t>月</w:t>
      </w:r>
      <w:r>
        <w:rPr>
          <w:rFonts w:ascii="宋体" w:cs="宋体"/>
          <w:color w:val="000000"/>
          <w:kern w:val="0"/>
          <w:sz w:val="24"/>
          <w:szCs w:val="24"/>
        </w:rPr>
        <w:t>9</w:t>
      </w:r>
      <w:r>
        <w:rPr>
          <w:rFonts w:ascii="宋体" w:cs="宋体" w:hint="eastAsia"/>
          <w:color w:val="000000"/>
          <w:kern w:val="0"/>
          <w:sz w:val="24"/>
          <w:szCs w:val="24"/>
        </w:rPr>
        <w:t>日进入清算期，故本基金清算起始日为20</w:t>
      </w:r>
      <w:r>
        <w:rPr>
          <w:rFonts w:ascii="宋体" w:cs="宋体"/>
          <w:color w:val="000000"/>
          <w:kern w:val="0"/>
          <w:sz w:val="24"/>
          <w:szCs w:val="24"/>
        </w:rPr>
        <w:t>22</w:t>
      </w:r>
      <w:r>
        <w:rPr>
          <w:rFonts w:ascii="宋体" w:cs="宋体" w:hint="eastAsia"/>
          <w:color w:val="000000"/>
          <w:kern w:val="0"/>
          <w:sz w:val="24"/>
          <w:szCs w:val="24"/>
        </w:rPr>
        <w:t>年</w:t>
      </w:r>
      <w:r>
        <w:rPr>
          <w:rFonts w:ascii="宋体" w:cs="宋体"/>
          <w:color w:val="000000"/>
          <w:kern w:val="0"/>
          <w:sz w:val="24"/>
          <w:szCs w:val="24"/>
        </w:rPr>
        <w:t>11</w:t>
      </w:r>
      <w:r>
        <w:rPr>
          <w:rFonts w:ascii="宋体" w:cs="宋体" w:hint="eastAsia"/>
          <w:color w:val="000000"/>
          <w:kern w:val="0"/>
          <w:sz w:val="24"/>
          <w:szCs w:val="24"/>
        </w:rPr>
        <w:t>月</w:t>
      </w:r>
      <w:r>
        <w:rPr>
          <w:rFonts w:ascii="宋体" w:cs="宋体"/>
          <w:color w:val="000000"/>
          <w:kern w:val="0"/>
          <w:sz w:val="24"/>
          <w:szCs w:val="24"/>
        </w:rPr>
        <w:t>9</w:t>
      </w:r>
      <w:r>
        <w:rPr>
          <w:rFonts w:ascii="宋体" w:cs="宋体" w:hint="eastAsia"/>
          <w:color w:val="000000"/>
          <w:kern w:val="0"/>
          <w:sz w:val="24"/>
          <w:szCs w:val="24"/>
        </w:rPr>
        <w:t>日。</w:t>
      </w:r>
    </w:p>
    <w:p w:rsidR="0041210D" w:rsidRDefault="00FE54B6">
      <w:pPr>
        <w:pStyle w:val="XBRLTitle2"/>
        <w:numPr>
          <w:ilvl w:val="0"/>
          <w:numId w:val="0"/>
        </w:numPr>
        <w:spacing w:before="156" w:after="156" w:line="360" w:lineRule="auto"/>
        <w:ind w:left="454" w:hanging="454"/>
        <w:rPr>
          <w:rFonts w:asciiTheme="minorEastAsia" w:eastAsiaTheme="minorEastAsia" w:hAnsiTheme="minorEastAsia"/>
        </w:rPr>
      </w:pPr>
      <w:bookmarkStart w:id="21" w:name="_Toc498069528"/>
      <w:r>
        <w:rPr>
          <w:rFonts w:asciiTheme="minorEastAsia" w:eastAsiaTheme="minorEastAsia" w:hAnsiTheme="minorEastAsia"/>
          <w:szCs w:val="24"/>
        </w:rPr>
        <w:t>4、</w:t>
      </w:r>
      <w:bookmarkStart w:id="22" w:name="m07_04_02"/>
      <w:bookmarkEnd w:id="18"/>
      <w:r>
        <w:rPr>
          <w:rFonts w:asciiTheme="minorEastAsia" w:eastAsiaTheme="minorEastAsia" w:hAnsiTheme="minorEastAsia"/>
        </w:rPr>
        <w:t>清算报表编制基础</w:t>
      </w:r>
      <w:bookmarkEnd w:id="21"/>
    </w:p>
    <w:p w:rsidR="0041210D" w:rsidRDefault="00FE54B6">
      <w:pPr>
        <w:widowControl/>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本基金的清算报表是在非持续经营的前提下参考《企业会计准则》及《证券投资基金会计核算业务指引》的有关规定编制的。本基金自最后运作日起，资产负债按实际清算价格计价。</w:t>
      </w:r>
    </w:p>
    <w:p w:rsidR="0041210D" w:rsidRDefault="00FE54B6">
      <w:pPr>
        <w:pStyle w:val="XBRLTitle1"/>
        <w:numPr>
          <w:ilvl w:val="0"/>
          <w:numId w:val="0"/>
        </w:numPr>
        <w:spacing w:before="156" w:after="156"/>
        <w:ind w:left="425"/>
        <w:jc w:val="left"/>
        <w:rPr>
          <w:rFonts w:asciiTheme="minorEastAsia" w:eastAsiaTheme="minorEastAsia" w:hAnsiTheme="minorEastAsia"/>
        </w:rPr>
      </w:pPr>
      <w:bookmarkStart w:id="23" w:name="_Toc405886457"/>
      <w:bookmarkStart w:id="24" w:name="_Toc405886455"/>
      <w:bookmarkStart w:id="25" w:name="_Toc405886459"/>
      <w:bookmarkStart w:id="26" w:name="_Toc405886439"/>
      <w:bookmarkStart w:id="27" w:name="_Toc405886458"/>
      <w:bookmarkStart w:id="28" w:name="_Toc405886437"/>
      <w:bookmarkStart w:id="29" w:name="_Toc405886479"/>
      <w:bookmarkStart w:id="30" w:name="_Toc405886447"/>
      <w:bookmarkStart w:id="31" w:name="_Toc405886448"/>
      <w:bookmarkStart w:id="32" w:name="_Toc405886443"/>
      <w:bookmarkStart w:id="33" w:name="_Toc405886450"/>
      <w:bookmarkStart w:id="34" w:name="_Toc405886449"/>
      <w:bookmarkStart w:id="35" w:name="_Toc405886445"/>
      <w:bookmarkStart w:id="36" w:name="_Toc405886442"/>
      <w:bookmarkStart w:id="37" w:name="_Toc405886451"/>
      <w:bookmarkStart w:id="38" w:name="_Toc405886436"/>
      <w:bookmarkStart w:id="39" w:name="_Toc405886441"/>
      <w:bookmarkStart w:id="40" w:name="_Toc405886434"/>
      <w:bookmarkStart w:id="41" w:name="_Toc405886432"/>
      <w:bookmarkStart w:id="42" w:name="_Toc405886456"/>
      <w:bookmarkStart w:id="43" w:name="_Toc405886469"/>
      <w:bookmarkStart w:id="44" w:name="_Toc405886471"/>
      <w:bookmarkStart w:id="45" w:name="_Toc405886452"/>
      <w:bookmarkStart w:id="46" w:name="_Toc405886453"/>
      <w:bookmarkStart w:id="47" w:name="_Toc405886440"/>
      <w:bookmarkStart w:id="48" w:name="_Toc405886444"/>
      <w:bookmarkStart w:id="49" w:name="_Toc405886433"/>
      <w:bookmarkStart w:id="50" w:name="_Toc405886438"/>
      <w:bookmarkStart w:id="51" w:name="_Toc405886435"/>
      <w:bookmarkStart w:id="52" w:name="_Toc405886446"/>
      <w:bookmarkStart w:id="53" w:name="_Toc405886466"/>
      <w:bookmarkStart w:id="54" w:name="_Toc405886472"/>
      <w:bookmarkStart w:id="55" w:name="_Toc405886512"/>
      <w:bookmarkStart w:id="56" w:name="_Toc405886495"/>
      <w:bookmarkStart w:id="57" w:name="_Toc405886462"/>
      <w:bookmarkStart w:id="58" w:name="_Toc405886473"/>
      <w:bookmarkStart w:id="59" w:name="_Toc405886465"/>
      <w:bookmarkStart w:id="60" w:name="_Toc405886470"/>
      <w:bookmarkStart w:id="61" w:name="_Toc405886461"/>
      <w:bookmarkStart w:id="62" w:name="_Toc405886463"/>
      <w:bookmarkStart w:id="63" w:name="_Toc405886476"/>
      <w:bookmarkStart w:id="64" w:name="_Toc405886477"/>
      <w:bookmarkStart w:id="65" w:name="_Toc405886507"/>
      <w:bookmarkStart w:id="66" w:name="_Toc405886460"/>
      <w:bookmarkStart w:id="67" w:name="_Toc405886493"/>
      <w:bookmarkStart w:id="68" w:name="_Toc405886497"/>
      <w:bookmarkStart w:id="69" w:name="_Toc405886513"/>
      <w:bookmarkStart w:id="70" w:name="_Toc405886480"/>
      <w:bookmarkStart w:id="71" w:name="_Toc405886504"/>
      <w:bookmarkStart w:id="72" w:name="_Toc405886511"/>
      <w:bookmarkStart w:id="73" w:name="_Toc405886482"/>
      <w:bookmarkStart w:id="74" w:name="_Toc405886474"/>
      <w:bookmarkStart w:id="75" w:name="_Toc405886483"/>
      <w:bookmarkStart w:id="76" w:name="_Toc405886481"/>
      <w:bookmarkStart w:id="77" w:name="_Toc405886475"/>
      <w:bookmarkStart w:id="78" w:name="_Toc405886454"/>
      <w:bookmarkStart w:id="79" w:name="_Toc405886467"/>
      <w:bookmarkStart w:id="80" w:name="_Toc405886478"/>
      <w:bookmarkStart w:id="81" w:name="_Toc405886468"/>
      <w:bookmarkStart w:id="82" w:name="_Toc405886484"/>
      <w:bookmarkStart w:id="83" w:name="_Toc405886485"/>
      <w:bookmarkStart w:id="84" w:name="_Toc405886464"/>
      <w:bookmarkStart w:id="85" w:name="_Toc405886506"/>
      <w:bookmarkStart w:id="86" w:name="_Toc405886496"/>
      <w:bookmarkStart w:id="87" w:name="_Toc405886520"/>
      <w:bookmarkStart w:id="88" w:name="_Toc405886494"/>
      <w:bookmarkStart w:id="89" w:name="_Toc405886503"/>
      <w:bookmarkStart w:id="90" w:name="_Toc405886488"/>
      <w:bookmarkStart w:id="91" w:name="_Toc405886519"/>
      <w:bookmarkStart w:id="92" w:name="_Toc405886515"/>
      <w:bookmarkStart w:id="93" w:name="_Toc405886490"/>
      <w:bookmarkStart w:id="94" w:name="_Toc405886523"/>
      <w:bookmarkStart w:id="95" w:name="_Toc405886491"/>
      <w:bookmarkStart w:id="96" w:name="_Toc405886499"/>
      <w:bookmarkStart w:id="97" w:name="_Toc405886524"/>
      <w:bookmarkStart w:id="98" w:name="_Toc405886487"/>
      <w:bookmarkStart w:id="99" w:name="_Toc405886502"/>
      <w:bookmarkStart w:id="100" w:name="_Toc405886505"/>
      <w:bookmarkStart w:id="101" w:name="_Toc405886527"/>
      <w:bookmarkStart w:id="102" w:name="_Toc405886516"/>
      <w:bookmarkStart w:id="103" w:name="_Toc405886486"/>
      <w:bookmarkStart w:id="104" w:name="_Toc405886489"/>
      <w:bookmarkStart w:id="105" w:name="_Toc405886528"/>
      <w:bookmarkStart w:id="106" w:name="_Toc405886510"/>
      <w:bookmarkStart w:id="107" w:name="_Toc405886492"/>
      <w:bookmarkStart w:id="108" w:name="_Toc405886501"/>
      <w:bookmarkStart w:id="109" w:name="_Toc405886509"/>
      <w:bookmarkStart w:id="110" w:name="_Toc405886531"/>
      <w:bookmarkStart w:id="111" w:name="_Toc405886498"/>
      <w:bookmarkStart w:id="112" w:name="_Toc405886500"/>
      <w:bookmarkStart w:id="113" w:name="_Toc405886508"/>
      <w:bookmarkStart w:id="114" w:name="_Toc405886514"/>
      <w:bookmarkStart w:id="115" w:name="_Toc405886526"/>
      <w:bookmarkStart w:id="116" w:name="_Toc405886530"/>
      <w:bookmarkStart w:id="117" w:name="_Toc405886521"/>
      <w:bookmarkStart w:id="118" w:name="_Toc405886517"/>
      <w:bookmarkStart w:id="119" w:name="_Toc405886525"/>
      <w:bookmarkStart w:id="120" w:name="_Toc405886518"/>
      <w:bookmarkStart w:id="121" w:name="_Toc405886529"/>
      <w:bookmarkStart w:id="122" w:name="_Toc405886522"/>
      <w:bookmarkStart w:id="123" w:name="_Toc49806952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Theme="minorEastAsia" w:eastAsiaTheme="minorEastAsia" w:hAnsiTheme="minorEastAsia"/>
        </w:rPr>
        <w:t>五、清算情况</w:t>
      </w:r>
      <w:bookmarkEnd w:id="123"/>
    </w:p>
    <w:p w:rsidR="0041210D" w:rsidRDefault="00FE54B6">
      <w:pPr>
        <w:widowControl/>
        <w:spacing w:line="360" w:lineRule="auto"/>
        <w:ind w:leftChars="50" w:left="105" w:firstLineChars="150" w:firstLine="360"/>
        <w:rPr>
          <w:rFonts w:ascii="宋体" w:cs="宋体"/>
          <w:color w:val="000000"/>
          <w:kern w:val="0"/>
          <w:sz w:val="24"/>
          <w:szCs w:val="24"/>
        </w:rPr>
      </w:pPr>
      <w:bookmarkStart w:id="124" w:name="m07_04_08_01"/>
      <w:r>
        <w:rPr>
          <w:rFonts w:ascii="宋体" w:cs="宋体" w:hint="eastAsia"/>
          <w:color w:val="000000"/>
          <w:kern w:val="0"/>
          <w:sz w:val="24"/>
          <w:szCs w:val="24"/>
        </w:rPr>
        <w:t>自20</w:t>
      </w:r>
      <w:r>
        <w:rPr>
          <w:rFonts w:ascii="宋体" w:cs="宋体"/>
          <w:color w:val="000000"/>
          <w:kern w:val="0"/>
          <w:sz w:val="24"/>
          <w:szCs w:val="24"/>
        </w:rPr>
        <w:t>22</w:t>
      </w:r>
      <w:r>
        <w:rPr>
          <w:rFonts w:ascii="宋体" w:cs="宋体" w:hint="eastAsia"/>
          <w:color w:val="000000"/>
          <w:kern w:val="0"/>
          <w:sz w:val="24"/>
          <w:szCs w:val="24"/>
        </w:rPr>
        <w:t>年</w:t>
      </w:r>
      <w:r>
        <w:rPr>
          <w:rFonts w:ascii="宋体" w:cs="宋体"/>
          <w:color w:val="000000"/>
          <w:kern w:val="0"/>
          <w:sz w:val="24"/>
          <w:szCs w:val="24"/>
        </w:rPr>
        <w:t>11</w:t>
      </w:r>
      <w:r>
        <w:rPr>
          <w:rFonts w:ascii="宋体" w:cs="宋体" w:hint="eastAsia"/>
          <w:color w:val="000000"/>
          <w:kern w:val="0"/>
          <w:sz w:val="24"/>
          <w:szCs w:val="24"/>
        </w:rPr>
        <w:t>月</w:t>
      </w:r>
      <w:r>
        <w:rPr>
          <w:rFonts w:ascii="宋体" w:cs="宋体"/>
          <w:color w:val="000000"/>
          <w:kern w:val="0"/>
          <w:sz w:val="24"/>
          <w:szCs w:val="24"/>
        </w:rPr>
        <w:t>9</w:t>
      </w:r>
      <w:r>
        <w:rPr>
          <w:rFonts w:ascii="宋体" w:cs="宋体" w:hint="eastAsia"/>
          <w:color w:val="000000"/>
          <w:kern w:val="0"/>
          <w:sz w:val="24"/>
          <w:szCs w:val="24"/>
        </w:rPr>
        <w:t>日至20</w:t>
      </w:r>
      <w:r>
        <w:rPr>
          <w:rFonts w:ascii="宋体" w:cs="宋体"/>
          <w:color w:val="000000"/>
          <w:kern w:val="0"/>
          <w:sz w:val="24"/>
          <w:szCs w:val="24"/>
        </w:rPr>
        <w:t>22</w:t>
      </w:r>
      <w:r>
        <w:rPr>
          <w:rFonts w:ascii="宋体" w:cs="宋体" w:hint="eastAsia"/>
          <w:color w:val="000000"/>
          <w:kern w:val="0"/>
          <w:sz w:val="24"/>
          <w:szCs w:val="24"/>
        </w:rPr>
        <w:t>年</w:t>
      </w:r>
      <w:r>
        <w:rPr>
          <w:rFonts w:ascii="宋体" w:cs="宋体"/>
          <w:color w:val="000000"/>
          <w:kern w:val="0"/>
          <w:sz w:val="24"/>
          <w:szCs w:val="24"/>
        </w:rPr>
        <w:t>11</w:t>
      </w:r>
      <w:r>
        <w:rPr>
          <w:rFonts w:ascii="宋体" w:cs="宋体" w:hint="eastAsia"/>
          <w:color w:val="000000"/>
          <w:kern w:val="0"/>
          <w:sz w:val="24"/>
          <w:szCs w:val="24"/>
        </w:rPr>
        <w:t>月</w:t>
      </w:r>
      <w:r>
        <w:rPr>
          <w:rFonts w:ascii="宋体" w:cs="宋体"/>
          <w:color w:val="000000"/>
          <w:kern w:val="0"/>
          <w:sz w:val="24"/>
          <w:szCs w:val="24"/>
        </w:rPr>
        <w:t>21</w:t>
      </w:r>
      <w:r>
        <w:rPr>
          <w:rFonts w:ascii="宋体" w:cs="宋体" w:hint="eastAsia"/>
          <w:color w:val="000000"/>
          <w:kern w:val="0"/>
          <w:sz w:val="24"/>
          <w:szCs w:val="24"/>
        </w:rPr>
        <w:t>日止为本基金清算期，中融量化智选混合型证券投资基金自清算起始日起，中融量化智选混合型证券投资基金基金财产清算小组成立，并对中融量化智选混合型证券投资基金的资产、负债进行清算，全部清算工作按清算原则和清算手续进行，具体情况如下：</w:t>
      </w:r>
    </w:p>
    <w:p w:rsidR="0041210D" w:rsidRDefault="00FE54B6">
      <w:pPr>
        <w:pStyle w:val="XBRLTitle2"/>
        <w:numPr>
          <w:ilvl w:val="0"/>
          <w:numId w:val="0"/>
        </w:numPr>
        <w:spacing w:before="156" w:after="156"/>
        <w:ind w:left="454" w:hanging="454"/>
        <w:rPr>
          <w:rFonts w:asciiTheme="minorEastAsia" w:eastAsiaTheme="minorEastAsia" w:hAnsiTheme="minorEastAsia"/>
        </w:rPr>
      </w:pPr>
      <w:bookmarkStart w:id="125" w:name="_Toc498069530"/>
      <w:r>
        <w:rPr>
          <w:rFonts w:asciiTheme="minorEastAsia" w:eastAsiaTheme="minorEastAsia" w:hAnsiTheme="minorEastAsia"/>
        </w:rPr>
        <w:t>1</w:t>
      </w:r>
      <w:bookmarkStart w:id="126" w:name="OLE_LINK8"/>
      <w:bookmarkStart w:id="127" w:name="OLE_LINK9"/>
      <w:r>
        <w:rPr>
          <w:rFonts w:asciiTheme="minorEastAsia" w:eastAsiaTheme="minorEastAsia" w:hAnsiTheme="minorEastAsia"/>
        </w:rPr>
        <w:t>、资产处置情况</w:t>
      </w:r>
      <w:bookmarkEnd w:id="125"/>
    </w:p>
    <w:p w:rsidR="0041210D" w:rsidRDefault="00FE54B6">
      <w:pPr>
        <w:widowControl/>
        <w:spacing w:line="360" w:lineRule="auto"/>
        <w:ind w:firstLineChars="200" w:firstLine="480"/>
        <w:rPr>
          <w:rFonts w:ascii="宋体" w:hAnsi="宋体" w:cs="宋体"/>
          <w:bCs/>
          <w:color w:val="000000"/>
          <w:kern w:val="0"/>
          <w:sz w:val="24"/>
          <w:szCs w:val="24"/>
        </w:rPr>
      </w:pPr>
      <w:bookmarkStart w:id="128" w:name="OLE_LINK6"/>
      <w:bookmarkStart w:id="129" w:name="OLE_LINK7"/>
      <w:bookmarkEnd w:id="126"/>
      <w:bookmarkEnd w:id="127"/>
      <w:r>
        <w:rPr>
          <w:rFonts w:ascii="宋体" w:hAnsi="宋体" w:cs="宋体" w:hint="eastAsia"/>
          <w:bCs/>
          <w:color w:val="000000"/>
          <w:kern w:val="0"/>
          <w:sz w:val="24"/>
          <w:szCs w:val="24"/>
        </w:rPr>
        <w:t>（</w:t>
      </w:r>
      <w:r>
        <w:rPr>
          <w:rFonts w:ascii="宋体" w:hAnsi="宋体" w:cs="宋体"/>
          <w:bCs/>
          <w:color w:val="000000"/>
          <w:kern w:val="0"/>
          <w:sz w:val="24"/>
          <w:szCs w:val="24"/>
        </w:rPr>
        <w:t>1</w:t>
      </w:r>
      <w:r>
        <w:rPr>
          <w:rFonts w:ascii="宋体" w:hAnsi="宋体" w:cs="宋体" w:hint="eastAsia"/>
          <w:bCs/>
          <w:color w:val="000000"/>
          <w:kern w:val="0"/>
          <w:sz w:val="24"/>
          <w:szCs w:val="24"/>
        </w:rPr>
        <w:t>）</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本基金最后运作日银行存款余额为</w:t>
      </w:r>
      <w:r>
        <w:rPr>
          <w:rFonts w:ascii="宋体" w:hAnsi="宋体" w:cs="宋体"/>
          <w:bCs/>
          <w:color w:val="000000"/>
          <w:kern w:val="0"/>
          <w:sz w:val="24"/>
          <w:szCs w:val="24"/>
        </w:rPr>
        <w:t>94,641.48元</w:t>
      </w:r>
      <w:r>
        <w:rPr>
          <w:rFonts w:ascii="宋体" w:hAnsi="宋体" w:cs="宋体" w:hint="eastAsia"/>
          <w:bCs/>
          <w:color w:val="000000"/>
          <w:kern w:val="0"/>
          <w:sz w:val="24"/>
          <w:szCs w:val="24"/>
        </w:rPr>
        <w:t>，</w:t>
      </w:r>
      <w:r>
        <w:rPr>
          <w:rFonts w:ascii="宋体" w:hAnsi="宋体" w:cs="宋体"/>
          <w:bCs/>
          <w:color w:val="000000"/>
          <w:kern w:val="0"/>
          <w:sz w:val="24"/>
          <w:szCs w:val="24"/>
        </w:rPr>
        <w:t>其中托管户银行存款为94,427.77</w:t>
      </w:r>
      <w:r>
        <w:rPr>
          <w:rFonts w:ascii="宋体" w:hAnsi="宋体" w:cs="宋体" w:hint="eastAsia"/>
          <w:bCs/>
          <w:color w:val="000000"/>
          <w:kern w:val="0"/>
          <w:sz w:val="24"/>
          <w:szCs w:val="24"/>
        </w:rPr>
        <w:t>元，</w:t>
      </w:r>
      <w:r>
        <w:rPr>
          <w:rFonts w:ascii="宋体" w:hAnsi="宋体" w:cs="宋体"/>
          <w:bCs/>
          <w:color w:val="000000"/>
          <w:kern w:val="0"/>
          <w:sz w:val="24"/>
          <w:szCs w:val="24"/>
        </w:rPr>
        <w:t>应计利息余额为213.71元</w:t>
      </w:r>
      <w:r>
        <w:rPr>
          <w:rFonts w:ascii="宋体" w:hAnsi="宋体" w:cs="宋体" w:hint="eastAsia"/>
          <w:bCs/>
          <w:color w:val="000000"/>
          <w:kern w:val="0"/>
          <w:sz w:val="24"/>
          <w:szCs w:val="24"/>
        </w:rPr>
        <w:t>，未结利息预计于2022年12月银行结息日划入托管账户中。</w:t>
      </w:r>
    </w:p>
    <w:p w:rsidR="0041210D" w:rsidRDefault="00FE54B6">
      <w:pPr>
        <w:widowControl/>
        <w:spacing w:line="360" w:lineRule="auto"/>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（2）</w:t>
      </w:r>
      <w:r>
        <w:rPr>
          <w:rFonts w:ascii="宋体" w:hAnsi="宋体" w:cs="宋体"/>
          <w:bCs/>
          <w:color w:val="000000"/>
          <w:kern w:val="0"/>
          <w:sz w:val="24"/>
          <w:szCs w:val="24"/>
        </w:rPr>
        <w:t>本基金最后运作日</w:t>
      </w:r>
      <w:r>
        <w:rPr>
          <w:rFonts w:ascii="宋体" w:hAnsi="宋体" w:cs="宋体" w:hint="eastAsia"/>
          <w:bCs/>
          <w:color w:val="000000"/>
          <w:kern w:val="0"/>
          <w:sz w:val="24"/>
          <w:szCs w:val="24"/>
        </w:rPr>
        <w:t>结算</w:t>
      </w:r>
      <w:r>
        <w:rPr>
          <w:rFonts w:ascii="宋体" w:hAnsi="宋体" w:cs="宋体"/>
          <w:bCs/>
          <w:color w:val="000000"/>
          <w:kern w:val="0"/>
          <w:sz w:val="24"/>
          <w:szCs w:val="24"/>
        </w:rPr>
        <w:t>备付金余额</w:t>
      </w:r>
      <w:r>
        <w:rPr>
          <w:rFonts w:ascii="宋体" w:hAnsi="宋体" w:cs="宋体" w:hint="eastAsia"/>
          <w:bCs/>
          <w:color w:val="000000"/>
          <w:kern w:val="0"/>
          <w:sz w:val="24"/>
          <w:szCs w:val="24"/>
        </w:rPr>
        <w:t>为</w:t>
      </w:r>
      <w:r>
        <w:rPr>
          <w:rFonts w:ascii="宋体" w:hAnsi="宋体" w:cs="宋体"/>
          <w:bCs/>
          <w:color w:val="000000"/>
          <w:kern w:val="0"/>
          <w:sz w:val="24"/>
          <w:szCs w:val="24"/>
        </w:rPr>
        <w:t>21,902.64元</w:t>
      </w:r>
      <w:r>
        <w:rPr>
          <w:rFonts w:ascii="宋体" w:hAnsi="宋体" w:cs="宋体" w:hint="eastAsia"/>
          <w:bCs/>
          <w:color w:val="000000"/>
          <w:kern w:val="0"/>
          <w:sz w:val="24"/>
          <w:szCs w:val="24"/>
        </w:rPr>
        <w:t>，</w:t>
      </w:r>
      <w:r>
        <w:rPr>
          <w:rFonts w:ascii="宋体" w:hAnsi="宋体" w:cs="宋体"/>
          <w:bCs/>
          <w:color w:val="000000"/>
          <w:kern w:val="0"/>
          <w:sz w:val="24"/>
          <w:szCs w:val="24"/>
        </w:rPr>
        <w:t>其中结算备付金为21,800.42元</w:t>
      </w:r>
      <w:r>
        <w:rPr>
          <w:rFonts w:ascii="宋体" w:hAnsi="宋体" w:cs="宋体" w:hint="eastAsia"/>
          <w:bCs/>
          <w:color w:val="000000"/>
          <w:kern w:val="0"/>
          <w:sz w:val="24"/>
          <w:szCs w:val="24"/>
        </w:rPr>
        <w:t>，预计将于2</w:t>
      </w:r>
      <w:r>
        <w:rPr>
          <w:rFonts w:ascii="宋体" w:hAnsi="宋体" w:cs="宋体"/>
          <w:bCs/>
          <w:color w:val="000000"/>
          <w:kern w:val="0"/>
          <w:sz w:val="24"/>
          <w:szCs w:val="24"/>
        </w:rPr>
        <w:t>022年12</w:t>
      </w:r>
      <w:r>
        <w:rPr>
          <w:rFonts w:ascii="宋体" w:hAnsi="宋体" w:cs="宋体" w:hint="eastAsia"/>
          <w:bCs/>
          <w:color w:val="000000"/>
          <w:kern w:val="0"/>
          <w:sz w:val="24"/>
          <w:szCs w:val="24"/>
        </w:rPr>
        <w:t>月及2023年1月陆续</w:t>
      </w:r>
      <w:r>
        <w:rPr>
          <w:rFonts w:ascii="宋体" w:hAnsi="宋体" w:cs="宋体"/>
          <w:bCs/>
          <w:color w:val="000000"/>
          <w:kern w:val="0"/>
          <w:sz w:val="24"/>
          <w:szCs w:val="24"/>
        </w:rPr>
        <w:t>转入托管账户</w:t>
      </w:r>
      <w:r>
        <w:rPr>
          <w:rFonts w:ascii="宋体" w:hAnsi="宋体" w:cs="宋体" w:hint="eastAsia"/>
          <w:bCs/>
          <w:color w:val="000000"/>
          <w:kern w:val="0"/>
          <w:sz w:val="24"/>
          <w:szCs w:val="24"/>
        </w:rPr>
        <w:t>，备付金应计利息102.22元，预计于2</w:t>
      </w:r>
      <w:r>
        <w:rPr>
          <w:rFonts w:ascii="宋体" w:hAnsi="宋体" w:cs="宋体"/>
          <w:bCs/>
          <w:color w:val="000000"/>
          <w:kern w:val="0"/>
          <w:sz w:val="24"/>
          <w:szCs w:val="24"/>
        </w:rPr>
        <w:t>022年</w:t>
      </w:r>
      <w:r>
        <w:rPr>
          <w:rFonts w:ascii="宋体" w:hAnsi="宋体" w:cs="宋体" w:hint="eastAsia"/>
          <w:bCs/>
          <w:color w:val="000000"/>
          <w:kern w:val="0"/>
          <w:sz w:val="24"/>
          <w:szCs w:val="24"/>
        </w:rPr>
        <w:t>12月银行结息日划入托管账户中。未结备付金将由基金管理人中融基金管理有限公司在基金财产分配划出日前以自有资金垫付至托管账户。基金管理人垫付资金到账日起孳生的利息归基金管理人所有。</w:t>
      </w:r>
    </w:p>
    <w:p w:rsidR="0041210D" w:rsidRDefault="00FE54B6">
      <w:pPr>
        <w:widowControl/>
        <w:spacing w:line="360" w:lineRule="auto"/>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（3）</w:t>
      </w:r>
      <w:r>
        <w:rPr>
          <w:rFonts w:ascii="宋体" w:hAnsi="宋体" w:cs="宋体"/>
          <w:bCs/>
          <w:color w:val="000000"/>
          <w:kern w:val="0"/>
          <w:sz w:val="24"/>
          <w:szCs w:val="24"/>
        </w:rPr>
        <w:t>本基金最后运作日存出保证金余额为4,201.29元</w:t>
      </w:r>
      <w:r>
        <w:rPr>
          <w:rFonts w:ascii="宋体" w:hAnsi="宋体" w:cs="宋体" w:hint="eastAsia"/>
          <w:bCs/>
          <w:color w:val="000000"/>
          <w:kern w:val="0"/>
          <w:sz w:val="24"/>
          <w:szCs w:val="24"/>
        </w:rPr>
        <w:t>，</w:t>
      </w:r>
      <w:r>
        <w:rPr>
          <w:rFonts w:ascii="宋体" w:hAnsi="宋体" w:cs="宋体"/>
          <w:bCs/>
          <w:color w:val="000000"/>
          <w:kern w:val="0"/>
          <w:sz w:val="24"/>
          <w:szCs w:val="24"/>
        </w:rPr>
        <w:t>其中存出保证金4,191.36元，</w:t>
      </w:r>
      <w:r>
        <w:rPr>
          <w:rFonts w:ascii="宋体" w:hAnsi="宋体" w:cs="宋体" w:hint="eastAsia"/>
          <w:bCs/>
          <w:color w:val="000000"/>
          <w:kern w:val="0"/>
          <w:sz w:val="24"/>
          <w:szCs w:val="24"/>
        </w:rPr>
        <w:t>预计将于2022年12月转入托管账户，</w:t>
      </w:r>
      <w:r>
        <w:rPr>
          <w:rFonts w:ascii="宋体" w:hAnsi="宋体" w:cs="宋体"/>
          <w:bCs/>
          <w:color w:val="000000"/>
          <w:kern w:val="0"/>
          <w:sz w:val="24"/>
          <w:szCs w:val="24"/>
        </w:rPr>
        <w:t>保证金应计利息为</w:t>
      </w:r>
      <w:r>
        <w:rPr>
          <w:rFonts w:ascii="宋体" w:hAnsi="宋体" w:cs="宋体" w:hint="eastAsia"/>
          <w:bCs/>
          <w:color w:val="000000"/>
          <w:kern w:val="0"/>
          <w:sz w:val="24"/>
          <w:szCs w:val="24"/>
        </w:rPr>
        <w:t>9</w:t>
      </w:r>
      <w:r>
        <w:rPr>
          <w:rFonts w:ascii="宋体" w:hAnsi="宋体" w:cs="宋体"/>
          <w:bCs/>
          <w:color w:val="000000"/>
          <w:kern w:val="0"/>
          <w:sz w:val="24"/>
          <w:szCs w:val="24"/>
        </w:rPr>
        <w:t>.93元，</w:t>
      </w:r>
      <w:r>
        <w:rPr>
          <w:rFonts w:ascii="宋体" w:hAnsi="宋体" w:cs="宋体" w:hint="eastAsia"/>
          <w:bCs/>
          <w:color w:val="000000"/>
          <w:kern w:val="0"/>
          <w:sz w:val="24"/>
          <w:szCs w:val="24"/>
        </w:rPr>
        <w:t>预计于2</w:t>
      </w:r>
      <w:r>
        <w:rPr>
          <w:rFonts w:ascii="宋体" w:hAnsi="宋体" w:cs="宋体"/>
          <w:bCs/>
          <w:color w:val="000000"/>
          <w:kern w:val="0"/>
          <w:sz w:val="24"/>
          <w:szCs w:val="24"/>
        </w:rPr>
        <w:t>022年</w:t>
      </w:r>
      <w:r>
        <w:rPr>
          <w:rFonts w:ascii="宋体" w:hAnsi="宋体" w:cs="宋体" w:hint="eastAsia"/>
          <w:bCs/>
          <w:color w:val="000000"/>
          <w:kern w:val="0"/>
          <w:sz w:val="24"/>
          <w:szCs w:val="24"/>
        </w:rPr>
        <w:t>12月银行结息日划入托管账户中。</w:t>
      </w:r>
    </w:p>
    <w:p w:rsidR="0041210D" w:rsidRDefault="00FE54B6">
      <w:pPr>
        <w:widowControl/>
        <w:spacing w:line="360" w:lineRule="auto"/>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（4）本基金最后运作日交易性金融资产</w:t>
      </w:r>
      <w:r>
        <w:rPr>
          <w:rFonts w:ascii="宋体" w:hAnsi="宋体" w:cs="宋体"/>
          <w:bCs/>
          <w:color w:val="000000"/>
          <w:kern w:val="0"/>
          <w:sz w:val="24"/>
          <w:szCs w:val="24"/>
        </w:rPr>
        <w:t>3,761,360.05</w:t>
      </w:r>
      <w:r>
        <w:rPr>
          <w:rFonts w:ascii="宋体" w:hAnsi="宋体" w:cs="宋体" w:hint="eastAsia"/>
          <w:bCs/>
          <w:color w:val="000000"/>
          <w:kern w:val="0"/>
          <w:sz w:val="24"/>
          <w:szCs w:val="24"/>
        </w:rPr>
        <w:t>元（最后运作日估值金额），其中股票投资</w:t>
      </w:r>
      <w:r>
        <w:rPr>
          <w:rFonts w:ascii="宋体" w:hAnsi="宋体" w:cs="宋体"/>
          <w:bCs/>
          <w:color w:val="000000"/>
          <w:kern w:val="0"/>
          <w:sz w:val="24"/>
          <w:szCs w:val="24"/>
        </w:rPr>
        <w:t>3,557,768.00元</w:t>
      </w:r>
      <w:r>
        <w:rPr>
          <w:rFonts w:ascii="宋体" w:hAnsi="宋体" w:cs="宋体" w:hint="eastAsia"/>
          <w:bCs/>
          <w:color w:val="000000"/>
          <w:kern w:val="0"/>
          <w:sz w:val="24"/>
          <w:szCs w:val="24"/>
        </w:rPr>
        <w:t>，变现产生的证券清算款为人民币</w:t>
      </w:r>
      <w:r>
        <w:rPr>
          <w:rFonts w:ascii="宋体" w:hAnsi="宋体" w:cs="宋体"/>
          <w:bCs/>
          <w:color w:val="000000"/>
          <w:kern w:val="0"/>
          <w:sz w:val="24"/>
          <w:szCs w:val="24"/>
        </w:rPr>
        <w:t>3,538,357.15元</w:t>
      </w:r>
      <w:r>
        <w:rPr>
          <w:rFonts w:ascii="宋体" w:hAnsi="宋体" w:cs="宋体" w:hint="eastAsia"/>
          <w:bCs/>
          <w:color w:val="000000"/>
          <w:kern w:val="0"/>
          <w:sz w:val="24"/>
          <w:szCs w:val="24"/>
        </w:rPr>
        <w:t>，债券投资</w:t>
      </w:r>
      <w:r>
        <w:rPr>
          <w:rFonts w:ascii="宋体" w:hAnsi="宋体" w:cs="宋体"/>
          <w:bCs/>
          <w:color w:val="000000"/>
          <w:kern w:val="0"/>
          <w:sz w:val="24"/>
          <w:szCs w:val="24"/>
        </w:rPr>
        <w:t>203,592.05元</w:t>
      </w:r>
      <w:r>
        <w:rPr>
          <w:rFonts w:ascii="宋体" w:hAnsi="宋体" w:cs="宋体" w:hint="eastAsia"/>
          <w:bCs/>
          <w:color w:val="000000"/>
          <w:kern w:val="0"/>
          <w:sz w:val="24"/>
          <w:szCs w:val="24"/>
        </w:rPr>
        <w:t>，变现产生的证券清算款为人民币</w:t>
      </w:r>
      <w:r>
        <w:rPr>
          <w:rFonts w:ascii="宋体" w:hAnsi="宋体" w:cs="宋体"/>
          <w:bCs/>
          <w:color w:val="000000"/>
          <w:kern w:val="0"/>
          <w:sz w:val="24"/>
          <w:szCs w:val="24"/>
        </w:rPr>
        <w:t>203,585.56元</w:t>
      </w:r>
      <w:r>
        <w:rPr>
          <w:rFonts w:ascii="宋体" w:hAnsi="宋体" w:cs="宋体" w:hint="eastAsia"/>
          <w:bCs/>
          <w:color w:val="000000"/>
          <w:kern w:val="0"/>
          <w:sz w:val="24"/>
          <w:szCs w:val="24"/>
        </w:rPr>
        <w:t>，以上变现产生的证券清算款为人民币</w:t>
      </w:r>
      <w:r>
        <w:rPr>
          <w:rFonts w:ascii="宋体" w:hAnsi="宋体" w:cs="宋体"/>
          <w:bCs/>
          <w:color w:val="000000"/>
          <w:kern w:val="0"/>
          <w:sz w:val="24"/>
          <w:szCs w:val="24"/>
        </w:rPr>
        <w:t>3,741,942.71</w:t>
      </w:r>
      <w:r>
        <w:rPr>
          <w:rFonts w:ascii="宋体" w:hAnsi="宋体" w:cs="宋体" w:hint="eastAsia"/>
          <w:bCs/>
          <w:color w:val="000000"/>
          <w:kern w:val="0"/>
          <w:sz w:val="24"/>
          <w:szCs w:val="24"/>
        </w:rPr>
        <w:t>元，已于清算期间划入托管账户。</w:t>
      </w:r>
    </w:p>
    <w:p w:rsidR="0041210D" w:rsidRDefault="00FE54B6">
      <w:pPr>
        <w:widowControl/>
        <w:spacing w:line="360" w:lineRule="auto"/>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（5）本基金最后运作日应收证券清算款</w:t>
      </w:r>
      <w:r>
        <w:rPr>
          <w:rFonts w:ascii="宋体" w:hAnsi="宋体" w:cs="宋体"/>
          <w:bCs/>
          <w:color w:val="000000"/>
          <w:kern w:val="0"/>
          <w:sz w:val="24"/>
          <w:szCs w:val="24"/>
        </w:rPr>
        <w:t>50,398.58</w:t>
      </w:r>
      <w:r>
        <w:rPr>
          <w:rFonts w:ascii="宋体" w:hAnsi="宋体" w:cs="宋体" w:hint="eastAsia"/>
          <w:bCs/>
          <w:color w:val="000000"/>
          <w:kern w:val="0"/>
          <w:sz w:val="24"/>
          <w:szCs w:val="24"/>
        </w:rPr>
        <w:t>元，已于2022年</w:t>
      </w:r>
      <w:r>
        <w:rPr>
          <w:rFonts w:ascii="宋体" w:hAnsi="宋体" w:cs="宋体"/>
          <w:bCs/>
          <w:color w:val="000000"/>
          <w:kern w:val="0"/>
          <w:sz w:val="24"/>
          <w:szCs w:val="24"/>
        </w:rPr>
        <w:t>11</w:t>
      </w:r>
      <w:r>
        <w:rPr>
          <w:rFonts w:ascii="宋体" w:hAnsi="宋体" w:cs="宋体" w:hint="eastAsia"/>
          <w:bCs/>
          <w:color w:val="000000"/>
          <w:kern w:val="0"/>
          <w:sz w:val="24"/>
          <w:szCs w:val="24"/>
        </w:rPr>
        <w:t>月</w:t>
      </w:r>
      <w:r>
        <w:rPr>
          <w:rFonts w:ascii="宋体" w:hAnsi="宋体" w:cs="宋体"/>
          <w:bCs/>
          <w:color w:val="000000"/>
          <w:kern w:val="0"/>
          <w:sz w:val="24"/>
          <w:szCs w:val="24"/>
        </w:rPr>
        <w:t>9</w:t>
      </w:r>
      <w:r>
        <w:rPr>
          <w:rFonts w:ascii="宋体" w:hAnsi="宋体" w:cs="宋体" w:hint="eastAsia"/>
          <w:bCs/>
          <w:color w:val="000000"/>
          <w:kern w:val="0"/>
          <w:sz w:val="24"/>
          <w:szCs w:val="24"/>
        </w:rPr>
        <w:t>日划入托管账户。</w:t>
      </w:r>
    </w:p>
    <w:p w:rsidR="0041210D" w:rsidRDefault="00FE54B6">
      <w:pPr>
        <w:widowControl/>
        <w:spacing w:line="360" w:lineRule="auto"/>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w:t>
      </w:r>
      <w:r>
        <w:rPr>
          <w:rFonts w:ascii="宋体" w:hAnsi="宋体" w:cs="宋体"/>
          <w:bCs/>
          <w:color w:val="000000"/>
          <w:kern w:val="0"/>
          <w:sz w:val="24"/>
          <w:szCs w:val="24"/>
        </w:rPr>
        <w:t>6</w:t>
      </w:r>
      <w:r>
        <w:rPr>
          <w:rFonts w:ascii="宋体" w:hAnsi="宋体" w:cs="宋体" w:hint="eastAsia"/>
          <w:bCs/>
          <w:color w:val="000000"/>
          <w:kern w:val="0"/>
          <w:sz w:val="24"/>
          <w:szCs w:val="24"/>
        </w:rPr>
        <w:t>）</w:t>
      </w:r>
      <w:r>
        <w:rPr>
          <w:rFonts w:ascii="宋体" w:hAnsi="宋体" w:cs="宋体"/>
          <w:bCs/>
          <w:color w:val="000000"/>
          <w:kern w:val="0"/>
          <w:sz w:val="24"/>
          <w:szCs w:val="24"/>
        </w:rPr>
        <w:t>本基金最后运作日应收申购款</w:t>
      </w:r>
      <w:r>
        <w:rPr>
          <w:rFonts w:ascii="宋体" w:hAnsi="宋体" w:cs="宋体" w:hint="eastAsia"/>
          <w:bCs/>
          <w:color w:val="000000"/>
          <w:kern w:val="0"/>
          <w:sz w:val="24"/>
          <w:szCs w:val="24"/>
        </w:rPr>
        <w:t>1,300.55</w:t>
      </w:r>
      <w:r>
        <w:rPr>
          <w:rFonts w:ascii="宋体" w:hAnsi="宋体" w:cs="宋体"/>
          <w:bCs/>
          <w:color w:val="000000"/>
          <w:kern w:val="0"/>
          <w:sz w:val="24"/>
          <w:szCs w:val="24"/>
        </w:rPr>
        <w:t>元</w:t>
      </w:r>
      <w:r>
        <w:rPr>
          <w:rFonts w:ascii="宋体" w:hAnsi="宋体" w:cs="宋体" w:hint="eastAsia"/>
          <w:bCs/>
          <w:color w:val="000000"/>
          <w:kern w:val="0"/>
          <w:sz w:val="24"/>
          <w:szCs w:val="24"/>
        </w:rPr>
        <w:t>，已于2022年</w:t>
      </w:r>
      <w:r>
        <w:rPr>
          <w:rFonts w:ascii="宋体" w:hAnsi="宋体" w:cs="宋体"/>
          <w:bCs/>
          <w:color w:val="000000"/>
          <w:kern w:val="0"/>
          <w:sz w:val="24"/>
          <w:szCs w:val="24"/>
        </w:rPr>
        <w:t>11</w:t>
      </w:r>
      <w:r>
        <w:rPr>
          <w:rFonts w:ascii="宋体" w:hAnsi="宋体" w:cs="宋体" w:hint="eastAsia"/>
          <w:bCs/>
          <w:color w:val="000000"/>
          <w:kern w:val="0"/>
          <w:sz w:val="24"/>
          <w:szCs w:val="24"/>
        </w:rPr>
        <w:t>月</w:t>
      </w:r>
      <w:r>
        <w:rPr>
          <w:rFonts w:ascii="宋体" w:hAnsi="宋体" w:cs="宋体"/>
          <w:bCs/>
          <w:color w:val="000000"/>
          <w:kern w:val="0"/>
          <w:sz w:val="24"/>
          <w:szCs w:val="24"/>
        </w:rPr>
        <w:t>9</w:t>
      </w:r>
      <w:r>
        <w:rPr>
          <w:rFonts w:ascii="宋体" w:hAnsi="宋体" w:cs="宋体" w:hint="eastAsia"/>
          <w:bCs/>
          <w:color w:val="000000"/>
          <w:kern w:val="0"/>
          <w:sz w:val="24"/>
          <w:szCs w:val="24"/>
        </w:rPr>
        <w:t>日</w:t>
      </w:r>
      <w:r>
        <w:rPr>
          <w:rFonts w:ascii="宋体" w:hAnsi="宋体" w:cs="宋体"/>
          <w:bCs/>
          <w:color w:val="000000"/>
          <w:kern w:val="0"/>
          <w:sz w:val="24"/>
          <w:szCs w:val="24"/>
        </w:rPr>
        <w:t>划入</w:t>
      </w:r>
      <w:r>
        <w:rPr>
          <w:rFonts w:ascii="宋体" w:hAnsi="宋体" w:cs="宋体" w:hint="eastAsia"/>
          <w:bCs/>
          <w:color w:val="000000"/>
          <w:kern w:val="0"/>
          <w:sz w:val="24"/>
          <w:szCs w:val="24"/>
        </w:rPr>
        <w:t>托管账户。</w:t>
      </w:r>
    </w:p>
    <w:p w:rsidR="0041210D" w:rsidRDefault="00FE54B6">
      <w:pPr>
        <w:pStyle w:val="XBRLTitle2"/>
        <w:numPr>
          <w:ilvl w:val="0"/>
          <w:numId w:val="0"/>
        </w:numPr>
        <w:spacing w:before="156" w:after="156"/>
        <w:ind w:left="454" w:hanging="454"/>
        <w:rPr>
          <w:rFonts w:asciiTheme="minorEastAsia" w:eastAsiaTheme="minorEastAsia" w:hAnsiTheme="minorEastAsia"/>
        </w:rPr>
      </w:pPr>
      <w:bookmarkStart w:id="130" w:name="_Toc498069531"/>
      <w:bookmarkEnd w:id="128"/>
      <w:bookmarkEnd w:id="129"/>
      <w:r>
        <w:rPr>
          <w:rFonts w:asciiTheme="minorEastAsia" w:eastAsiaTheme="minorEastAsia" w:hAnsiTheme="minorEastAsia"/>
        </w:rPr>
        <w:t>2、负债清偿情况</w:t>
      </w:r>
      <w:bookmarkEnd w:id="130"/>
    </w:p>
    <w:p w:rsidR="0041210D" w:rsidRDefault="00FE54B6">
      <w:pPr>
        <w:widowControl/>
        <w:spacing w:line="360" w:lineRule="auto"/>
        <w:ind w:firstLineChars="200" w:firstLine="480"/>
        <w:rPr>
          <w:rFonts w:ascii="宋体" w:hAnsi="宋体" w:cs="宋体"/>
          <w:bCs/>
          <w:color w:val="000000"/>
          <w:kern w:val="0"/>
          <w:sz w:val="24"/>
          <w:szCs w:val="24"/>
        </w:rPr>
      </w:pPr>
      <w:r>
        <w:rPr>
          <w:rFonts w:ascii="宋体" w:hAnsi="宋体" w:cs="宋体"/>
          <w:bCs/>
          <w:color w:val="000000"/>
          <w:kern w:val="0"/>
          <w:sz w:val="24"/>
          <w:szCs w:val="24"/>
        </w:rPr>
        <w:t xml:space="preserve">(1) </w:t>
      </w:r>
      <w:r>
        <w:rPr>
          <w:rFonts w:ascii="宋体" w:hAnsi="宋体" w:cs="宋体" w:hint="eastAsia"/>
          <w:bCs/>
          <w:color w:val="000000"/>
          <w:kern w:val="0"/>
          <w:sz w:val="24"/>
          <w:szCs w:val="24"/>
        </w:rPr>
        <w:t>本基金最后运作日应付证券清算款54,624.86元，已于2022年11月9日从托管账户划出。</w:t>
      </w:r>
    </w:p>
    <w:p w:rsidR="0041210D" w:rsidRDefault="00FE54B6">
      <w:pPr>
        <w:widowControl/>
        <w:spacing w:line="360" w:lineRule="auto"/>
        <w:ind w:firstLineChars="200" w:firstLine="480"/>
        <w:rPr>
          <w:rFonts w:ascii="宋体" w:hAnsi="宋体" w:cs="宋体"/>
          <w:bCs/>
          <w:color w:val="000000"/>
          <w:kern w:val="0"/>
          <w:sz w:val="24"/>
          <w:szCs w:val="24"/>
        </w:rPr>
      </w:pPr>
      <w:r>
        <w:rPr>
          <w:rFonts w:ascii="宋体" w:hAnsi="宋体" w:cs="宋体"/>
          <w:bCs/>
          <w:color w:val="000000"/>
          <w:kern w:val="0"/>
          <w:sz w:val="24"/>
          <w:szCs w:val="24"/>
        </w:rPr>
        <w:t xml:space="preserve">(2) </w:t>
      </w:r>
      <w:r>
        <w:rPr>
          <w:rFonts w:ascii="宋体" w:hAnsi="宋体" w:cs="宋体" w:hint="eastAsia"/>
          <w:bCs/>
          <w:color w:val="000000"/>
          <w:kern w:val="0"/>
          <w:sz w:val="24"/>
          <w:szCs w:val="24"/>
        </w:rPr>
        <w:t>本基金最后运作日应付赎回款为3,400.10元，已分别于2022年11月9日、1</w:t>
      </w:r>
      <w:r>
        <w:rPr>
          <w:rFonts w:ascii="宋体" w:hAnsi="宋体" w:cs="宋体"/>
          <w:bCs/>
          <w:color w:val="000000"/>
          <w:kern w:val="0"/>
          <w:sz w:val="24"/>
          <w:szCs w:val="24"/>
        </w:rPr>
        <w:t>1月</w:t>
      </w:r>
      <w:r>
        <w:rPr>
          <w:rFonts w:ascii="宋体" w:hAnsi="宋体" w:cs="宋体" w:hint="eastAsia"/>
          <w:bCs/>
          <w:color w:val="000000"/>
          <w:kern w:val="0"/>
          <w:sz w:val="24"/>
          <w:szCs w:val="24"/>
        </w:rPr>
        <w:t>10日从托管账户划出。</w:t>
      </w:r>
    </w:p>
    <w:p w:rsidR="0041210D" w:rsidRDefault="00FE54B6">
      <w:pPr>
        <w:widowControl/>
        <w:spacing w:line="360" w:lineRule="auto"/>
        <w:ind w:firstLineChars="200" w:firstLine="480"/>
        <w:rPr>
          <w:rFonts w:ascii="宋体" w:hAnsi="宋体" w:cs="宋体"/>
          <w:bCs/>
          <w:color w:val="000000"/>
          <w:kern w:val="0"/>
          <w:sz w:val="24"/>
          <w:szCs w:val="24"/>
        </w:rPr>
      </w:pPr>
      <w:r>
        <w:rPr>
          <w:rFonts w:ascii="宋体" w:hAnsi="宋体" w:cs="宋体"/>
          <w:bCs/>
          <w:color w:val="000000"/>
          <w:kern w:val="0"/>
          <w:sz w:val="24"/>
          <w:szCs w:val="24"/>
        </w:rPr>
        <w:t>(</w:t>
      </w:r>
      <w:r>
        <w:rPr>
          <w:rFonts w:ascii="宋体" w:hAnsi="宋体" w:cs="宋体" w:hint="eastAsia"/>
          <w:bCs/>
          <w:color w:val="000000"/>
          <w:kern w:val="0"/>
          <w:sz w:val="24"/>
          <w:szCs w:val="24"/>
        </w:rPr>
        <w:t>3</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本基金最后运作日、清算结束日应付管理人报酬均为1,429.09元，应付托管费均为238.18元，应付销售服务费均为</w:t>
      </w:r>
      <w:r>
        <w:rPr>
          <w:rFonts w:ascii="宋体" w:hAnsi="宋体" w:cs="宋体"/>
          <w:bCs/>
          <w:color w:val="000000"/>
          <w:kern w:val="0"/>
          <w:sz w:val="24"/>
          <w:szCs w:val="24"/>
        </w:rPr>
        <w:t>100.87</w:t>
      </w:r>
      <w:r>
        <w:rPr>
          <w:rFonts w:ascii="宋体" w:hAnsi="宋体" w:cs="宋体" w:hint="eastAsia"/>
          <w:bCs/>
          <w:color w:val="000000"/>
          <w:kern w:val="0"/>
          <w:sz w:val="24"/>
          <w:szCs w:val="24"/>
        </w:rPr>
        <w:t>元，该款项将于清算完成后从托管账户划出。</w:t>
      </w:r>
    </w:p>
    <w:p w:rsidR="0041210D" w:rsidRDefault="00FE54B6">
      <w:pPr>
        <w:widowControl/>
        <w:spacing w:line="360" w:lineRule="auto"/>
        <w:ind w:firstLineChars="200" w:firstLine="480"/>
        <w:rPr>
          <w:rFonts w:ascii="宋体" w:hAnsi="宋体" w:cs="宋体"/>
          <w:bCs/>
          <w:color w:val="000000"/>
          <w:kern w:val="0"/>
          <w:sz w:val="24"/>
          <w:szCs w:val="24"/>
        </w:rPr>
      </w:pPr>
      <w:r>
        <w:rPr>
          <w:rFonts w:ascii="宋体" w:hAnsi="宋体" w:cs="宋体"/>
          <w:bCs/>
          <w:color w:val="000000"/>
          <w:kern w:val="0"/>
          <w:sz w:val="24"/>
          <w:szCs w:val="24"/>
        </w:rPr>
        <w:t>(4)</w:t>
      </w:r>
      <w:r>
        <w:rPr>
          <w:rFonts w:ascii="宋体" w:hAnsi="宋体" w:cs="宋体" w:hint="eastAsia"/>
          <w:bCs/>
          <w:color w:val="000000"/>
          <w:kern w:val="0"/>
          <w:sz w:val="24"/>
          <w:szCs w:val="24"/>
        </w:rPr>
        <w:t>本基金最后运作日其他负债为</w:t>
      </w:r>
      <w:r>
        <w:rPr>
          <w:rFonts w:ascii="宋体" w:hAnsi="宋体" w:cs="宋体"/>
          <w:bCs/>
          <w:color w:val="000000"/>
          <w:kern w:val="0"/>
          <w:sz w:val="24"/>
          <w:szCs w:val="24"/>
        </w:rPr>
        <w:t>21,800.92</w:t>
      </w:r>
      <w:r>
        <w:rPr>
          <w:rFonts w:ascii="宋体" w:hAnsi="宋体" w:cs="宋体" w:hint="eastAsia"/>
          <w:bCs/>
          <w:color w:val="000000"/>
          <w:kern w:val="0"/>
          <w:sz w:val="24"/>
          <w:szCs w:val="24"/>
        </w:rPr>
        <w:t>元，其中应付赎回费0</w:t>
      </w:r>
      <w:r>
        <w:rPr>
          <w:rFonts w:ascii="宋体" w:hAnsi="宋体" w:cs="宋体"/>
          <w:bCs/>
          <w:color w:val="000000"/>
          <w:kern w:val="0"/>
          <w:sz w:val="24"/>
          <w:szCs w:val="24"/>
        </w:rPr>
        <w:t>.02元</w:t>
      </w:r>
      <w:r>
        <w:rPr>
          <w:rFonts w:ascii="宋体" w:hAnsi="宋体" w:cs="宋体" w:hint="eastAsia"/>
          <w:bCs/>
          <w:color w:val="000000"/>
          <w:kern w:val="0"/>
          <w:sz w:val="24"/>
          <w:szCs w:val="24"/>
        </w:rPr>
        <w:t>，</w:t>
      </w:r>
      <w:r>
        <w:rPr>
          <w:rFonts w:ascii="宋体" w:hAnsi="宋体" w:cs="宋体"/>
          <w:bCs/>
          <w:color w:val="000000"/>
          <w:kern w:val="0"/>
          <w:sz w:val="24"/>
          <w:szCs w:val="24"/>
        </w:rPr>
        <w:t>已于</w:t>
      </w:r>
      <w:r>
        <w:rPr>
          <w:rFonts w:ascii="宋体" w:hAnsi="宋体" w:cs="宋体" w:hint="eastAsia"/>
          <w:bCs/>
          <w:color w:val="000000"/>
          <w:kern w:val="0"/>
          <w:sz w:val="24"/>
          <w:szCs w:val="24"/>
        </w:rPr>
        <w:t>2022年11月9日从托管账户划出。应付交易费用</w:t>
      </w:r>
      <w:r>
        <w:rPr>
          <w:rFonts w:ascii="宋体" w:hAnsi="宋体" w:cs="宋体"/>
          <w:bCs/>
          <w:color w:val="000000"/>
          <w:kern w:val="0"/>
          <w:sz w:val="24"/>
          <w:szCs w:val="24"/>
        </w:rPr>
        <w:t>4,706.42元</w:t>
      </w:r>
      <w:r>
        <w:rPr>
          <w:rFonts w:ascii="宋体" w:hAnsi="宋体" w:cs="宋体" w:hint="eastAsia"/>
          <w:bCs/>
          <w:color w:val="000000"/>
          <w:kern w:val="0"/>
          <w:sz w:val="24"/>
          <w:szCs w:val="24"/>
        </w:rPr>
        <w:t>、应付审计费</w:t>
      </w:r>
      <w:r>
        <w:rPr>
          <w:rFonts w:ascii="宋体" w:hAnsi="宋体" w:cs="宋体"/>
          <w:bCs/>
          <w:color w:val="000000"/>
          <w:kern w:val="0"/>
          <w:sz w:val="24"/>
          <w:szCs w:val="24"/>
        </w:rPr>
        <w:t>17,094.48</w:t>
      </w:r>
      <w:r>
        <w:rPr>
          <w:rFonts w:ascii="宋体" w:hAnsi="宋体" w:cs="宋体" w:hint="eastAsia"/>
          <w:bCs/>
          <w:color w:val="000000"/>
          <w:kern w:val="0"/>
          <w:sz w:val="24"/>
          <w:szCs w:val="24"/>
        </w:rPr>
        <w:t>元，将于后续完成服务并收到支付协议及各类发票后支付。</w:t>
      </w:r>
    </w:p>
    <w:p w:rsidR="0041210D" w:rsidRDefault="00FE54B6">
      <w:pPr>
        <w:pStyle w:val="XBRLTitle2"/>
        <w:numPr>
          <w:ilvl w:val="0"/>
          <w:numId w:val="0"/>
        </w:numPr>
        <w:spacing w:before="156" w:after="156"/>
        <w:ind w:left="454" w:hanging="454"/>
        <w:rPr>
          <w:rFonts w:asciiTheme="minorEastAsia" w:eastAsiaTheme="minorEastAsia" w:hAnsiTheme="minorEastAsia"/>
        </w:rPr>
      </w:pPr>
      <w:bookmarkStart w:id="131" w:name="_Toc498069532"/>
      <w:r>
        <w:rPr>
          <w:rFonts w:asciiTheme="minorEastAsia" w:eastAsiaTheme="minorEastAsia" w:hAnsiTheme="minorEastAsia"/>
          <w:szCs w:val="24"/>
        </w:rPr>
        <w:t>3、</w:t>
      </w:r>
      <w:r>
        <w:rPr>
          <w:rFonts w:asciiTheme="minorEastAsia" w:eastAsiaTheme="minorEastAsia" w:hAnsiTheme="minorEastAsia" w:hint="eastAsia"/>
        </w:rPr>
        <w:t>所有者权益</w:t>
      </w:r>
      <w:r>
        <w:rPr>
          <w:rFonts w:asciiTheme="minorEastAsia" w:eastAsiaTheme="minorEastAsia" w:hAnsiTheme="minorEastAsia"/>
        </w:rPr>
        <w:t>情况</w:t>
      </w:r>
      <w:bookmarkEnd w:id="131"/>
    </w:p>
    <w:p w:rsidR="0041210D" w:rsidRDefault="00FE54B6">
      <w:pPr>
        <w:overflowPunct w:val="0"/>
        <w:autoSpaceDE w:val="0"/>
        <w:autoSpaceDN w:val="0"/>
        <w:spacing w:line="360" w:lineRule="auto"/>
        <w:ind w:firstLineChars="200" w:firstLine="480"/>
        <w:contextualSpacing/>
        <w:rPr>
          <w:rFonts w:ascii="宋体" w:hAnsi="宋体" w:cs="宋体"/>
          <w:bCs/>
          <w:color w:val="000000"/>
          <w:kern w:val="0"/>
          <w:sz w:val="24"/>
          <w:szCs w:val="24"/>
        </w:rPr>
      </w:pPr>
      <w:r>
        <w:rPr>
          <w:rFonts w:ascii="宋体" w:hAnsi="宋体" w:cs="宋体" w:hint="eastAsia"/>
          <w:bCs/>
          <w:color w:val="000000"/>
          <w:kern w:val="0"/>
          <w:sz w:val="24"/>
          <w:szCs w:val="24"/>
        </w:rPr>
        <w:t>最后运作日基金净资产为</w:t>
      </w:r>
      <w:r>
        <w:rPr>
          <w:rFonts w:ascii="宋体" w:hAnsi="宋体" w:cs="宋体"/>
          <w:bCs/>
          <w:color w:val="000000"/>
          <w:kern w:val="0"/>
          <w:sz w:val="24"/>
          <w:szCs w:val="24"/>
        </w:rPr>
        <w:t>3,852,210.57</w:t>
      </w:r>
      <w:r>
        <w:rPr>
          <w:rFonts w:ascii="宋体" w:hAnsi="宋体" w:cs="宋体" w:hint="eastAsia"/>
          <w:bCs/>
          <w:color w:val="000000"/>
          <w:kern w:val="0"/>
          <w:sz w:val="24"/>
          <w:szCs w:val="24"/>
        </w:rPr>
        <w:t>元，基金份额共</w:t>
      </w:r>
      <w:r>
        <w:rPr>
          <w:rFonts w:ascii="宋体" w:hAnsi="宋体" w:cs="宋体"/>
          <w:bCs/>
          <w:color w:val="000000"/>
          <w:kern w:val="0"/>
          <w:sz w:val="24"/>
          <w:szCs w:val="24"/>
        </w:rPr>
        <w:t>3,565,744.90</w:t>
      </w:r>
      <w:r>
        <w:rPr>
          <w:rFonts w:ascii="宋体" w:hAnsi="宋体" w:cs="宋体" w:hint="eastAsia"/>
          <w:bCs/>
          <w:color w:val="000000"/>
          <w:kern w:val="0"/>
          <w:sz w:val="24"/>
          <w:szCs w:val="24"/>
        </w:rPr>
        <w:t>份，</w:t>
      </w:r>
      <w:r>
        <w:rPr>
          <w:rFonts w:ascii="宋体" w:hAnsi="宋体" w:cs="宋体"/>
          <w:bCs/>
          <w:color w:val="000000"/>
          <w:kern w:val="0"/>
          <w:sz w:val="24"/>
          <w:szCs w:val="24"/>
        </w:rPr>
        <w:t>其</w:t>
      </w:r>
      <w:r>
        <w:rPr>
          <w:rFonts w:ascii="宋体" w:hAnsi="宋体" w:cs="宋体" w:hint="eastAsia"/>
          <w:bCs/>
          <w:color w:val="000000"/>
          <w:kern w:val="0"/>
          <w:sz w:val="24"/>
          <w:szCs w:val="24"/>
        </w:rPr>
        <w:t>中中融量化智选A份额</w:t>
      </w:r>
      <w:r>
        <w:rPr>
          <w:rFonts w:ascii="宋体" w:hAnsi="宋体" w:cs="宋体"/>
          <w:bCs/>
          <w:color w:val="000000"/>
          <w:kern w:val="0"/>
          <w:sz w:val="24"/>
          <w:szCs w:val="24"/>
        </w:rPr>
        <w:t>3,079,049.85</w:t>
      </w:r>
      <w:r>
        <w:rPr>
          <w:rFonts w:ascii="宋体" w:hAnsi="宋体" w:cs="宋体" w:hint="eastAsia"/>
          <w:bCs/>
          <w:color w:val="000000"/>
          <w:kern w:val="0"/>
          <w:sz w:val="24"/>
          <w:szCs w:val="24"/>
        </w:rPr>
        <w:t>份、中融量化智选C份额</w:t>
      </w:r>
      <w:r>
        <w:rPr>
          <w:rFonts w:ascii="宋体" w:hAnsi="宋体" w:cs="宋体"/>
          <w:bCs/>
          <w:color w:val="000000"/>
          <w:kern w:val="0"/>
          <w:sz w:val="24"/>
          <w:szCs w:val="24"/>
        </w:rPr>
        <w:t>486,695.05</w:t>
      </w:r>
      <w:r>
        <w:rPr>
          <w:rFonts w:ascii="宋体" w:hAnsi="宋体" w:cs="宋体" w:hint="eastAsia"/>
          <w:bCs/>
          <w:color w:val="000000"/>
          <w:kern w:val="0"/>
          <w:sz w:val="24"/>
          <w:szCs w:val="24"/>
        </w:rPr>
        <w:t>份；清算结束日本基金剩余财产为</w:t>
      </w:r>
      <w:r>
        <w:rPr>
          <w:rFonts w:ascii="宋体" w:hAnsi="宋体" w:cs="宋体"/>
          <w:bCs/>
          <w:color w:val="000000"/>
          <w:kern w:val="0"/>
          <w:sz w:val="24"/>
          <w:szCs w:val="24"/>
        </w:rPr>
        <w:t>3,831,032.62</w:t>
      </w:r>
      <w:r>
        <w:rPr>
          <w:rFonts w:ascii="宋体" w:hAnsi="宋体" w:cs="宋体" w:hint="eastAsia"/>
          <w:bCs/>
          <w:color w:val="000000"/>
          <w:kern w:val="0"/>
          <w:sz w:val="24"/>
          <w:szCs w:val="24"/>
        </w:rPr>
        <w:t>元，基金份额共</w:t>
      </w:r>
      <w:r>
        <w:rPr>
          <w:rFonts w:ascii="宋体" w:hAnsi="宋体" w:cs="宋体"/>
          <w:bCs/>
          <w:color w:val="000000"/>
          <w:kern w:val="0"/>
          <w:sz w:val="24"/>
          <w:szCs w:val="24"/>
        </w:rPr>
        <w:t>3,566,101.87</w:t>
      </w:r>
      <w:r>
        <w:rPr>
          <w:rFonts w:ascii="宋体" w:hAnsi="宋体" w:cs="宋体" w:hint="eastAsia"/>
          <w:bCs/>
          <w:color w:val="000000"/>
          <w:kern w:val="0"/>
          <w:sz w:val="24"/>
          <w:szCs w:val="24"/>
        </w:rPr>
        <w:t>份，</w:t>
      </w:r>
      <w:r>
        <w:rPr>
          <w:rFonts w:ascii="宋体" w:hAnsi="宋体" w:cs="宋体"/>
          <w:bCs/>
          <w:color w:val="000000"/>
          <w:kern w:val="0"/>
          <w:sz w:val="24"/>
          <w:szCs w:val="24"/>
        </w:rPr>
        <w:t>其</w:t>
      </w:r>
      <w:r>
        <w:rPr>
          <w:rFonts w:ascii="宋体" w:hAnsi="宋体" w:cs="宋体" w:hint="eastAsia"/>
          <w:bCs/>
          <w:color w:val="000000"/>
          <w:kern w:val="0"/>
          <w:sz w:val="24"/>
          <w:szCs w:val="24"/>
        </w:rPr>
        <w:t>中中融量化智选A份额</w:t>
      </w:r>
      <w:r>
        <w:rPr>
          <w:rFonts w:ascii="宋体" w:hAnsi="宋体" w:cs="宋体"/>
          <w:bCs/>
          <w:color w:val="000000"/>
          <w:kern w:val="0"/>
          <w:sz w:val="24"/>
          <w:szCs w:val="24"/>
        </w:rPr>
        <w:t>3,079,196.99</w:t>
      </w:r>
      <w:r>
        <w:rPr>
          <w:rFonts w:ascii="宋体" w:hAnsi="宋体" w:cs="宋体" w:hint="eastAsia"/>
          <w:bCs/>
          <w:color w:val="000000"/>
          <w:kern w:val="0"/>
          <w:sz w:val="24"/>
          <w:szCs w:val="24"/>
        </w:rPr>
        <w:t>份、中融量化智选C份额</w:t>
      </w:r>
      <w:r>
        <w:rPr>
          <w:rFonts w:ascii="宋体" w:hAnsi="宋体" w:cs="宋体"/>
          <w:bCs/>
          <w:color w:val="000000"/>
          <w:kern w:val="0"/>
          <w:sz w:val="24"/>
          <w:szCs w:val="24"/>
        </w:rPr>
        <w:t>486,904.88</w:t>
      </w:r>
      <w:r>
        <w:rPr>
          <w:rFonts w:ascii="宋体" w:hAnsi="宋体" w:cs="宋体" w:hint="eastAsia"/>
          <w:bCs/>
          <w:color w:val="000000"/>
          <w:kern w:val="0"/>
          <w:sz w:val="24"/>
          <w:szCs w:val="24"/>
        </w:rPr>
        <w:t>份。</w:t>
      </w:r>
    </w:p>
    <w:p w:rsidR="0041210D" w:rsidRDefault="00FE54B6">
      <w:pPr>
        <w:pStyle w:val="XBRLTitle2"/>
        <w:numPr>
          <w:ilvl w:val="0"/>
          <w:numId w:val="0"/>
        </w:numPr>
        <w:spacing w:before="156" w:after="156"/>
        <w:ind w:left="454" w:hanging="454"/>
        <w:rPr>
          <w:rFonts w:asciiTheme="minorEastAsia" w:eastAsiaTheme="minorEastAsia" w:hAnsiTheme="minorEastAsia"/>
          <w:szCs w:val="24"/>
        </w:rPr>
      </w:pPr>
      <w:bookmarkStart w:id="132" w:name="_Toc498069533"/>
      <w:r>
        <w:rPr>
          <w:rFonts w:asciiTheme="minorEastAsia" w:eastAsiaTheme="minorEastAsia" w:hAnsiTheme="minorEastAsia"/>
          <w:szCs w:val="24"/>
        </w:rPr>
        <w:t>4、清算期间的清算损益情况</w:t>
      </w:r>
      <w:bookmarkEnd w:id="132"/>
    </w:p>
    <w:p w:rsidR="0041210D" w:rsidRDefault="00FE54B6">
      <w:pPr>
        <w:overflowPunct w:val="0"/>
        <w:autoSpaceDE w:val="0"/>
        <w:autoSpaceDN w:val="0"/>
        <w:snapToGrid w:val="0"/>
        <w:ind w:left="6480" w:firstLineChars="300" w:firstLine="630"/>
        <w:rPr>
          <w:rFonts w:asciiTheme="minorEastAsia" w:eastAsiaTheme="minorEastAsia" w:hAnsiTheme="minorEastAsia"/>
          <w:szCs w:val="21"/>
        </w:rPr>
      </w:pPr>
      <w:r>
        <w:rPr>
          <w:rFonts w:asciiTheme="minorEastAsia" w:eastAsiaTheme="minorEastAsia" w:hAnsiTheme="minorEastAsia"/>
          <w:szCs w:val="21"/>
        </w:rPr>
        <w:t>单位：人民币元</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6"/>
        <w:gridCol w:w="3078"/>
      </w:tblGrid>
      <w:tr w:rsidR="0041210D">
        <w:trPr>
          <w:trHeight w:val="340"/>
        </w:trPr>
        <w:tc>
          <w:tcPr>
            <w:tcW w:w="5756" w:type="dxa"/>
            <w:shd w:val="clear" w:color="auto" w:fill="auto"/>
            <w:vAlign w:val="center"/>
          </w:tcPr>
          <w:p w:rsidR="0041210D" w:rsidRDefault="00FE54B6">
            <w:pPr>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项目</w:t>
            </w:r>
          </w:p>
        </w:tc>
        <w:tc>
          <w:tcPr>
            <w:tcW w:w="3078" w:type="dxa"/>
            <w:shd w:val="clear" w:color="auto" w:fill="auto"/>
            <w:vAlign w:val="center"/>
          </w:tcPr>
          <w:p w:rsidR="0041210D" w:rsidRDefault="00FE54B6">
            <w:pPr>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清算期间发生额</w:t>
            </w:r>
          </w:p>
        </w:tc>
      </w:tr>
      <w:tr w:rsidR="0041210D">
        <w:trPr>
          <w:trHeight w:val="340"/>
        </w:trPr>
        <w:tc>
          <w:tcPr>
            <w:tcW w:w="5756" w:type="dxa"/>
            <w:shd w:val="clear" w:color="auto" w:fill="auto"/>
            <w:vAlign w:val="center"/>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hint="eastAsia"/>
                <w:snapToGrid w:val="0"/>
                <w:sz w:val="24"/>
                <w:szCs w:val="21"/>
              </w:rPr>
              <w:t>一、清算期间收入</w:t>
            </w:r>
          </w:p>
        </w:tc>
        <w:tc>
          <w:tcPr>
            <w:tcW w:w="3078" w:type="dxa"/>
            <w:shd w:val="clear" w:color="auto" w:fill="auto"/>
            <w:vAlign w:val="center"/>
          </w:tcPr>
          <w:p w:rsidR="0041210D" w:rsidRDefault="0041210D">
            <w:pPr>
              <w:jc w:val="right"/>
              <w:rPr>
                <w:rFonts w:asciiTheme="minorEastAsia" w:eastAsiaTheme="minorEastAsia" w:hAnsiTheme="minorEastAsia" w:cs="宋体"/>
                <w:color w:val="000000"/>
                <w:sz w:val="24"/>
                <w:szCs w:val="24"/>
              </w:rPr>
            </w:pPr>
          </w:p>
        </w:tc>
      </w:tr>
      <w:tr w:rsidR="0041210D">
        <w:trPr>
          <w:trHeight w:val="340"/>
        </w:trPr>
        <w:tc>
          <w:tcPr>
            <w:tcW w:w="5756" w:type="dxa"/>
            <w:shd w:val="clear" w:color="auto" w:fill="auto"/>
            <w:vAlign w:val="center"/>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snapToGrid w:val="0"/>
                <w:sz w:val="24"/>
                <w:szCs w:val="21"/>
              </w:rPr>
              <w:t>1、</w:t>
            </w:r>
            <w:r>
              <w:rPr>
                <w:rFonts w:asciiTheme="minorEastAsia" w:eastAsiaTheme="minorEastAsia" w:hAnsiTheme="minorEastAsia" w:hint="eastAsia"/>
                <w:snapToGrid w:val="0"/>
                <w:sz w:val="24"/>
                <w:szCs w:val="21"/>
              </w:rPr>
              <w:t>利息收入（注</w:t>
            </w:r>
            <w:r>
              <w:rPr>
                <w:rFonts w:asciiTheme="minorEastAsia" w:eastAsiaTheme="minorEastAsia" w:hAnsiTheme="minorEastAsia"/>
                <w:snapToGrid w:val="0"/>
                <w:sz w:val="24"/>
                <w:szCs w:val="21"/>
              </w:rPr>
              <w:t>1）</w:t>
            </w:r>
          </w:p>
        </w:tc>
        <w:tc>
          <w:tcPr>
            <w:tcW w:w="3078" w:type="dxa"/>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sz w:val="24"/>
                <w:szCs w:val="24"/>
              </w:rPr>
              <w:t>460.66</w:t>
            </w:r>
          </w:p>
        </w:tc>
      </w:tr>
      <w:tr w:rsidR="0041210D">
        <w:trPr>
          <w:trHeight w:val="340"/>
        </w:trPr>
        <w:tc>
          <w:tcPr>
            <w:tcW w:w="5756" w:type="dxa"/>
            <w:shd w:val="clear" w:color="auto" w:fill="auto"/>
            <w:vAlign w:val="center"/>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snapToGrid w:val="0"/>
                <w:sz w:val="24"/>
                <w:szCs w:val="21"/>
              </w:rPr>
              <w:t>2、</w:t>
            </w:r>
            <w:r>
              <w:rPr>
                <w:rFonts w:asciiTheme="minorEastAsia" w:eastAsiaTheme="minorEastAsia" w:hAnsiTheme="minorEastAsia" w:hint="eastAsia"/>
                <w:snapToGrid w:val="0"/>
                <w:sz w:val="24"/>
                <w:szCs w:val="21"/>
              </w:rPr>
              <w:t>投资收益</w:t>
            </w:r>
          </w:p>
        </w:tc>
        <w:tc>
          <w:tcPr>
            <w:tcW w:w="3078" w:type="dxa"/>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sz w:val="24"/>
                <w:szCs w:val="24"/>
              </w:rPr>
              <w:t>-119,466.63</w:t>
            </w:r>
          </w:p>
        </w:tc>
      </w:tr>
      <w:tr w:rsidR="0041210D">
        <w:trPr>
          <w:trHeight w:val="340"/>
        </w:trPr>
        <w:tc>
          <w:tcPr>
            <w:tcW w:w="5756" w:type="dxa"/>
            <w:shd w:val="clear" w:color="auto" w:fill="auto"/>
            <w:vAlign w:val="center"/>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snapToGrid w:val="0"/>
                <w:sz w:val="24"/>
                <w:szCs w:val="21"/>
              </w:rPr>
              <w:t>3</w:t>
            </w:r>
            <w:r>
              <w:rPr>
                <w:rFonts w:asciiTheme="minorEastAsia" w:eastAsiaTheme="minorEastAsia" w:hAnsiTheme="minorEastAsia" w:hint="eastAsia"/>
                <w:snapToGrid w:val="0"/>
                <w:sz w:val="24"/>
                <w:szCs w:val="21"/>
              </w:rPr>
              <w:t>、公允价值变动损益</w:t>
            </w:r>
          </w:p>
        </w:tc>
        <w:tc>
          <w:tcPr>
            <w:tcW w:w="3078" w:type="dxa"/>
            <w:shd w:val="clear" w:color="auto" w:fill="auto"/>
            <w:vAlign w:val="center"/>
          </w:tcPr>
          <w:p w:rsidR="0041210D" w:rsidRDefault="00FE54B6">
            <w:pPr>
              <w:jc w:val="right"/>
              <w:rPr>
                <w:rFonts w:asciiTheme="minorEastAsia" w:eastAsiaTheme="minorEastAsia" w:hAnsiTheme="minorEastAsia" w:cs="宋体"/>
                <w:color w:val="000000"/>
                <w:sz w:val="24"/>
                <w:szCs w:val="24"/>
              </w:rPr>
            </w:pPr>
            <w:r>
              <w:rPr>
                <w:rFonts w:asciiTheme="minorEastAsia" w:eastAsiaTheme="minorEastAsia" w:hAnsiTheme="minorEastAsia" w:cs="宋体"/>
                <w:color w:val="000000"/>
                <w:sz w:val="24"/>
                <w:szCs w:val="24"/>
              </w:rPr>
              <w:t>103,870.55</w:t>
            </w:r>
          </w:p>
        </w:tc>
      </w:tr>
      <w:tr w:rsidR="0041210D">
        <w:trPr>
          <w:trHeight w:val="340"/>
        </w:trPr>
        <w:tc>
          <w:tcPr>
            <w:tcW w:w="5756" w:type="dxa"/>
            <w:shd w:val="clear" w:color="auto" w:fill="auto"/>
            <w:vAlign w:val="center"/>
          </w:tcPr>
          <w:p w:rsidR="0041210D" w:rsidRDefault="00FE54B6">
            <w:pPr>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清算期间收入小计</w:t>
            </w:r>
          </w:p>
        </w:tc>
        <w:tc>
          <w:tcPr>
            <w:tcW w:w="3078" w:type="dxa"/>
            <w:shd w:val="clear" w:color="auto" w:fill="auto"/>
            <w:vAlign w:val="center"/>
          </w:tcPr>
          <w:p w:rsidR="0041210D" w:rsidRDefault="00FE54B6">
            <w:pPr>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w:t>
            </w:r>
            <w:r>
              <w:rPr>
                <w:rFonts w:asciiTheme="minorEastAsia" w:eastAsiaTheme="minorEastAsia" w:hAnsiTheme="minorEastAsia" w:cs="宋体"/>
                <w:color w:val="000000"/>
                <w:sz w:val="24"/>
                <w:szCs w:val="24"/>
              </w:rPr>
              <w:t>15,135.42</w:t>
            </w:r>
          </w:p>
        </w:tc>
      </w:tr>
      <w:tr w:rsidR="0041210D">
        <w:trPr>
          <w:trHeight w:val="340"/>
        </w:trPr>
        <w:tc>
          <w:tcPr>
            <w:tcW w:w="5756" w:type="dxa"/>
            <w:shd w:val="clear" w:color="auto" w:fill="auto"/>
            <w:vAlign w:val="center"/>
          </w:tcPr>
          <w:p w:rsidR="0041210D" w:rsidRDefault="0041210D">
            <w:pPr>
              <w:rPr>
                <w:rFonts w:asciiTheme="minorEastAsia" w:eastAsiaTheme="minorEastAsia" w:hAnsiTheme="minorEastAsia"/>
                <w:snapToGrid w:val="0"/>
                <w:szCs w:val="21"/>
              </w:rPr>
            </w:pPr>
          </w:p>
        </w:tc>
        <w:tc>
          <w:tcPr>
            <w:tcW w:w="3078" w:type="dxa"/>
            <w:shd w:val="clear" w:color="auto" w:fill="auto"/>
            <w:vAlign w:val="center"/>
          </w:tcPr>
          <w:p w:rsidR="0041210D" w:rsidRDefault="0041210D">
            <w:pPr>
              <w:jc w:val="right"/>
              <w:rPr>
                <w:rFonts w:asciiTheme="minorEastAsia" w:eastAsiaTheme="minorEastAsia" w:hAnsiTheme="minorEastAsia" w:cs="宋体"/>
                <w:color w:val="000000"/>
                <w:sz w:val="24"/>
                <w:szCs w:val="24"/>
              </w:rPr>
            </w:pPr>
          </w:p>
        </w:tc>
      </w:tr>
      <w:tr w:rsidR="0041210D">
        <w:trPr>
          <w:trHeight w:val="340"/>
        </w:trPr>
        <w:tc>
          <w:tcPr>
            <w:tcW w:w="5756" w:type="dxa"/>
            <w:shd w:val="clear" w:color="auto" w:fill="auto"/>
            <w:vAlign w:val="center"/>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hint="eastAsia"/>
                <w:snapToGrid w:val="0"/>
                <w:sz w:val="24"/>
                <w:szCs w:val="21"/>
              </w:rPr>
              <w:t>二、清算期间费用（注</w:t>
            </w:r>
            <w:r>
              <w:rPr>
                <w:rFonts w:asciiTheme="minorEastAsia" w:eastAsiaTheme="minorEastAsia" w:hAnsiTheme="minorEastAsia"/>
                <w:snapToGrid w:val="0"/>
                <w:sz w:val="24"/>
                <w:szCs w:val="21"/>
              </w:rPr>
              <w:t>2</w:t>
            </w:r>
            <w:r>
              <w:rPr>
                <w:rFonts w:asciiTheme="minorEastAsia" w:eastAsiaTheme="minorEastAsia" w:hAnsiTheme="minorEastAsia" w:hint="eastAsia"/>
                <w:snapToGrid w:val="0"/>
                <w:sz w:val="24"/>
                <w:szCs w:val="21"/>
              </w:rPr>
              <w:t>）</w:t>
            </w:r>
          </w:p>
        </w:tc>
        <w:tc>
          <w:tcPr>
            <w:tcW w:w="3078" w:type="dxa"/>
            <w:shd w:val="clear" w:color="auto" w:fill="auto"/>
            <w:vAlign w:val="center"/>
          </w:tcPr>
          <w:p w:rsidR="0041210D" w:rsidRDefault="0041210D">
            <w:pPr>
              <w:jc w:val="right"/>
              <w:rPr>
                <w:rFonts w:asciiTheme="minorEastAsia" w:eastAsiaTheme="minorEastAsia" w:hAnsiTheme="minorEastAsia" w:cs="宋体"/>
                <w:color w:val="000000"/>
                <w:sz w:val="24"/>
                <w:szCs w:val="24"/>
              </w:rPr>
            </w:pPr>
          </w:p>
        </w:tc>
      </w:tr>
      <w:tr w:rsidR="0041210D">
        <w:trPr>
          <w:trHeight w:val="340"/>
        </w:trPr>
        <w:tc>
          <w:tcPr>
            <w:tcW w:w="5756" w:type="dxa"/>
            <w:shd w:val="clear" w:color="auto" w:fill="auto"/>
            <w:vAlign w:val="center"/>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hint="eastAsia"/>
                <w:snapToGrid w:val="0"/>
                <w:sz w:val="24"/>
                <w:szCs w:val="21"/>
              </w:rPr>
              <w:t>1</w:t>
            </w:r>
            <w:r>
              <w:rPr>
                <w:rFonts w:asciiTheme="minorEastAsia" w:eastAsiaTheme="minorEastAsia" w:hAnsiTheme="minorEastAsia"/>
                <w:snapToGrid w:val="0"/>
                <w:sz w:val="24"/>
                <w:szCs w:val="21"/>
              </w:rPr>
              <w:t>、交易费用</w:t>
            </w:r>
          </w:p>
        </w:tc>
        <w:tc>
          <w:tcPr>
            <w:tcW w:w="3078" w:type="dxa"/>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sz w:val="24"/>
                <w:szCs w:val="24"/>
              </w:rPr>
              <w:t>6,411.70</w:t>
            </w:r>
          </w:p>
        </w:tc>
      </w:tr>
      <w:tr w:rsidR="0041210D">
        <w:trPr>
          <w:trHeight w:val="340"/>
        </w:trPr>
        <w:tc>
          <w:tcPr>
            <w:tcW w:w="5756" w:type="dxa"/>
            <w:shd w:val="clear" w:color="auto" w:fill="auto"/>
            <w:vAlign w:val="center"/>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hint="eastAsia"/>
                <w:snapToGrid w:val="0"/>
                <w:sz w:val="24"/>
                <w:szCs w:val="21"/>
              </w:rPr>
              <w:t>2、其他费用（注</w:t>
            </w:r>
            <w:r>
              <w:rPr>
                <w:rFonts w:asciiTheme="minorEastAsia" w:eastAsiaTheme="minorEastAsia" w:hAnsiTheme="minorEastAsia"/>
                <w:snapToGrid w:val="0"/>
                <w:sz w:val="24"/>
                <w:szCs w:val="21"/>
              </w:rPr>
              <w:t>3</w:t>
            </w:r>
            <w:r>
              <w:rPr>
                <w:rFonts w:asciiTheme="minorEastAsia" w:eastAsiaTheme="minorEastAsia" w:hAnsiTheme="minorEastAsia" w:hint="eastAsia"/>
                <w:snapToGrid w:val="0"/>
                <w:sz w:val="24"/>
                <w:szCs w:val="21"/>
              </w:rPr>
              <w:t>）</w:t>
            </w:r>
          </w:p>
        </w:tc>
        <w:tc>
          <w:tcPr>
            <w:tcW w:w="3078" w:type="dxa"/>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sz w:val="24"/>
                <w:szCs w:val="24"/>
              </w:rPr>
              <w:t>10.00</w:t>
            </w:r>
          </w:p>
        </w:tc>
      </w:tr>
      <w:tr w:rsidR="0041210D">
        <w:trPr>
          <w:trHeight w:val="340"/>
        </w:trPr>
        <w:tc>
          <w:tcPr>
            <w:tcW w:w="5756" w:type="dxa"/>
            <w:shd w:val="clear" w:color="auto" w:fill="auto"/>
            <w:vAlign w:val="center"/>
          </w:tcPr>
          <w:p w:rsidR="0041210D" w:rsidRDefault="00FE54B6">
            <w:pPr>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清算期间费用小计</w:t>
            </w:r>
          </w:p>
        </w:tc>
        <w:tc>
          <w:tcPr>
            <w:tcW w:w="3078" w:type="dxa"/>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sz w:val="24"/>
                <w:szCs w:val="24"/>
              </w:rPr>
              <w:t>6,421.70</w:t>
            </w:r>
          </w:p>
        </w:tc>
      </w:tr>
      <w:tr w:rsidR="0041210D">
        <w:trPr>
          <w:trHeight w:val="340"/>
        </w:trPr>
        <w:tc>
          <w:tcPr>
            <w:tcW w:w="5756" w:type="dxa"/>
            <w:shd w:val="clear" w:color="auto" w:fill="auto"/>
            <w:vAlign w:val="center"/>
          </w:tcPr>
          <w:p w:rsidR="0041210D" w:rsidRDefault="0041210D">
            <w:pPr>
              <w:jc w:val="center"/>
              <w:rPr>
                <w:rFonts w:asciiTheme="minorEastAsia" w:eastAsiaTheme="minorEastAsia" w:hAnsiTheme="minorEastAsia"/>
                <w:snapToGrid w:val="0"/>
                <w:szCs w:val="21"/>
              </w:rPr>
            </w:pPr>
          </w:p>
        </w:tc>
        <w:tc>
          <w:tcPr>
            <w:tcW w:w="3078" w:type="dxa"/>
            <w:shd w:val="clear" w:color="auto" w:fill="auto"/>
            <w:vAlign w:val="center"/>
          </w:tcPr>
          <w:p w:rsidR="0041210D" w:rsidRDefault="0041210D">
            <w:pPr>
              <w:jc w:val="right"/>
              <w:rPr>
                <w:rFonts w:asciiTheme="minorEastAsia" w:eastAsiaTheme="minorEastAsia" w:hAnsiTheme="minorEastAsia"/>
                <w:sz w:val="24"/>
                <w:szCs w:val="24"/>
              </w:rPr>
            </w:pPr>
          </w:p>
        </w:tc>
      </w:tr>
      <w:tr w:rsidR="0041210D">
        <w:trPr>
          <w:trHeight w:val="340"/>
        </w:trPr>
        <w:tc>
          <w:tcPr>
            <w:tcW w:w="5756" w:type="dxa"/>
            <w:shd w:val="clear" w:color="auto" w:fill="auto"/>
            <w:vAlign w:val="center"/>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hint="eastAsia"/>
                <w:snapToGrid w:val="0"/>
                <w:sz w:val="24"/>
                <w:szCs w:val="21"/>
              </w:rPr>
              <w:t>三、清算期间净收益（清算期间净损失以“</w:t>
            </w:r>
            <w:r>
              <w:rPr>
                <w:rFonts w:asciiTheme="minorEastAsia" w:eastAsiaTheme="minorEastAsia" w:hAnsiTheme="minorEastAsia"/>
                <w:snapToGrid w:val="0"/>
                <w:sz w:val="24"/>
                <w:szCs w:val="21"/>
              </w:rPr>
              <w:t>-”表示）</w:t>
            </w:r>
          </w:p>
        </w:tc>
        <w:tc>
          <w:tcPr>
            <w:tcW w:w="3078" w:type="dxa"/>
            <w:shd w:val="clear" w:color="auto" w:fill="auto"/>
            <w:vAlign w:val="center"/>
          </w:tcPr>
          <w:p w:rsidR="0041210D" w:rsidRDefault="00FE54B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21,557.12</w:t>
            </w:r>
          </w:p>
        </w:tc>
      </w:tr>
    </w:tbl>
    <w:p w:rsidR="0041210D" w:rsidRDefault="00FE54B6">
      <w:pPr>
        <w:adjustRightInd w:val="0"/>
        <w:snapToGrid w:val="0"/>
        <w:spacing w:line="360" w:lineRule="auto"/>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注1：利息收入包括本基金自清算起始日20</w:t>
      </w:r>
      <w:r>
        <w:rPr>
          <w:rFonts w:asciiTheme="minorEastAsia" w:eastAsiaTheme="minorEastAsia" w:hAnsiTheme="minorEastAsia"/>
          <w:snapToGrid w:val="0"/>
          <w:szCs w:val="24"/>
        </w:rPr>
        <w:t>22</w:t>
      </w:r>
      <w:r>
        <w:rPr>
          <w:rFonts w:asciiTheme="minorEastAsia" w:eastAsiaTheme="minorEastAsia" w:hAnsiTheme="minorEastAsia" w:hint="eastAsia"/>
          <w:snapToGrid w:val="0"/>
          <w:szCs w:val="24"/>
        </w:rPr>
        <w:t>年</w:t>
      </w:r>
      <w:r>
        <w:rPr>
          <w:rFonts w:asciiTheme="minorEastAsia" w:eastAsiaTheme="minorEastAsia" w:hAnsiTheme="minorEastAsia"/>
          <w:snapToGrid w:val="0"/>
          <w:szCs w:val="24"/>
        </w:rPr>
        <w:t>11</w:t>
      </w:r>
      <w:r>
        <w:rPr>
          <w:rFonts w:asciiTheme="minorEastAsia" w:eastAsiaTheme="minorEastAsia" w:hAnsiTheme="minorEastAsia" w:hint="eastAsia"/>
          <w:snapToGrid w:val="0"/>
          <w:szCs w:val="24"/>
        </w:rPr>
        <w:t>月</w:t>
      </w:r>
      <w:r>
        <w:rPr>
          <w:rFonts w:asciiTheme="minorEastAsia" w:eastAsiaTheme="minorEastAsia" w:hAnsiTheme="minorEastAsia"/>
          <w:snapToGrid w:val="0"/>
          <w:szCs w:val="24"/>
        </w:rPr>
        <w:t>9</w:t>
      </w:r>
      <w:r>
        <w:rPr>
          <w:rFonts w:asciiTheme="minorEastAsia" w:eastAsiaTheme="minorEastAsia" w:hAnsiTheme="minorEastAsia" w:hint="eastAsia"/>
          <w:snapToGrid w:val="0"/>
          <w:szCs w:val="24"/>
        </w:rPr>
        <w:t>日至清算结束日20</w:t>
      </w:r>
      <w:r>
        <w:rPr>
          <w:rFonts w:asciiTheme="minorEastAsia" w:eastAsiaTheme="minorEastAsia" w:hAnsiTheme="minorEastAsia"/>
          <w:snapToGrid w:val="0"/>
          <w:szCs w:val="24"/>
        </w:rPr>
        <w:t>22</w:t>
      </w:r>
      <w:r>
        <w:rPr>
          <w:rFonts w:asciiTheme="minorEastAsia" w:eastAsiaTheme="minorEastAsia" w:hAnsiTheme="minorEastAsia" w:hint="eastAsia"/>
          <w:snapToGrid w:val="0"/>
          <w:szCs w:val="24"/>
        </w:rPr>
        <w:t>年</w:t>
      </w:r>
      <w:r>
        <w:rPr>
          <w:rFonts w:asciiTheme="minorEastAsia" w:eastAsiaTheme="minorEastAsia" w:hAnsiTheme="minorEastAsia"/>
          <w:snapToGrid w:val="0"/>
          <w:szCs w:val="24"/>
        </w:rPr>
        <w:t>11</w:t>
      </w:r>
      <w:r>
        <w:rPr>
          <w:rFonts w:asciiTheme="minorEastAsia" w:eastAsiaTheme="minorEastAsia" w:hAnsiTheme="minorEastAsia" w:hint="eastAsia"/>
          <w:snapToGrid w:val="0"/>
          <w:szCs w:val="24"/>
        </w:rPr>
        <w:t>月</w:t>
      </w:r>
      <w:r>
        <w:rPr>
          <w:rFonts w:asciiTheme="minorEastAsia" w:eastAsiaTheme="minorEastAsia" w:hAnsiTheme="minorEastAsia"/>
          <w:snapToGrid w:val="0"/>
          <w:szCs w:val="24"/>
        </w:rPr>
        <w:t>21</w:t>
      </w:r>
      <w:r>
        <w:rPr>
          <w:rFonts w:asciiTheme="minorEastAsia" w:eastAsiaTheme="minorEastAsia" w:hAnsiTheme="minorEastAsia" w:hint="eastAsia"/>
          <w:snapToGrid w:val="0"/>
          <w:szCs w:val="24"/>
        </w:rPr>
        <w:t>日产生的银行存款利息收入</w:t>
      </w:r>
      <w:r>
        <w:rPr>
          <w:rFonts w:asciiTheme="minorEastAsia" w:eastAsiaTheme="minorEastAsia" w:hAnsiTheme="minorEastAsia"/>
          <w:snapToGrid w:val="0"/>
          <w:szCs w:val="24"/>
        </w:rPr>
        <w:t>445.45</w:t>
      </w:r>
      <w:r>
        <w:rPr>
          <w:rFonts w:asciiTheme="minorEastAsia" w:eastAsiaTheme="minorEastAsia" w:hAnsiTheme="minorEastAsia" w:hint="eastAsia"/>
          <w:snapToGrid w:val="0"/>
          <w:szCs w:val="24"/>
        </w:rPr>
        <w:t>元、结算备付金利息收入</w:t>
      </w:r>
      <w:r>
        <w:rPr>
          <w:rFonts w:asciiTheme="minorEastAsia" w:eastAsiaTheme="minorEastAsia" w:hAnsiTheme="minorEastAsia"/>
          <w:snapToGrid w:val="0"/>
          <w:szCs w:val="24"/>
        </w:rPr>
        <w:t>12.74元</w:t>
      </w:r>
      <w:r>
        <w:rPr>
          <w:rFonts w:asciiTheme="minorEastAsia" w:eastAsiaTheme="minorEastAsia" w:hAnsiTheme="minorEastAsia" w:hint="eastAsia"/>
          <w:snapToGrid w:val="0"/>
          <w:szCs w:val="24"/>
        </w:rPr>
        <w:t>、保证金利息</w:t>
      </w:r>
      <w:r>
        <w:rPr>
          <w:rFonts w:asciiTheme="minorEastAsia" w:eastAsiaTheme="minorEastAsia" w:hAnsiTheme="minorEastAsia"/>
          <w:snapToGrid w:val="0"/>
          <w:szCs w:val="24"/>
        </w:rPr>
        <w:t>收入2.47</w:t>
      </w:r>
      <w:r>
        <w:rPr>
          <w:rFonts w:asciiTheme="minorEastAsia" w:eastAsiaTheme="minorEastAsia" w:hAnsiTheme="minorEastAsia" w:hint="eastAsia"/>
          <w:snapToGrid w:val="0"/>
          <w:szCs w:val="24"/>
        </w:rPr>
        <w:t>元，</w:t>
      </w:r>
      <w:r>
        <w:rPr>
          <w:rFonts w:asciiTheme="minorEastAsia" w:eastAsiaTheme="minorEastAsia" w:hAnsiTheme="minorEastAsia"/>
          <w:snapToGrid w:val="0"/>
          <w:szCs w:val="24"/>
        </w:rPr>
        <w:t>共计460.66</w:t>
      </w:r>
      <w:r>
        <w:rPr>
          <w:rFonts w:asciiTheme="minorEastAsia" w:eastAsiaTheme="minorEastAsia" w:hAnsiTheme="minorEastAsia" w:hint="eastAsia"/>
          <w:snapToGrid w:val="0"/>
          <w:szCs w:val="24"/>
        </w:rPr>
        <w:t>元。</w:t>
      </w:r>
    </w:p>
    <w:p w:rsidR="0041210D" w:rsidRDefault="00FE54B6">
      <w:pPr>
        <w:adjustRightInd w:val="0"/>
        <w:snapToGrid w:val="0"/>
        <w:spacing w:line="360" w:lineRule="auto"/>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注</w:t>
      </w:r>
      <w:r>
        <w:rPr>
          <w:rFonts w:asciiTheme="minorEastAsia" w:eastAsiaTheme="minorEastAsia" w:hAnsiTheme="minorEastAsia"/>
          <w:snapToGrid w:val="0"/>
          <w:szCs w:val="24"/>
        </w:rPr>
        <w:t>2</w:t>
      </w:r>
      <w:r>
        <w:rPr>
          <w:rFonts w:asciiTheme="minorEastAsia" w:eastAsiaTheme="minorEastAsia" w:hAnsiTheme="minorEastAsia" w:hint="eastAsia"/>
          <w:snapToGrid w:val="0"/>
          <w:szCs w:val="24"/>
        </w:rPr>
        <w:t>：考虑到本基金清算的实际情况，从保护基金份额持有人利益的角度出发，本基金清算期间的清算律师费由基金管理人承担。</w:t>
      </w:r>
    </w:p>
    <w:p w:rsidR="0041210D" w:rsidRDefault="00FE54B6">
      <w:pPr>
        <w:adjustRightInd w:val="0"/>
        <w:snapToGrid w:val="0"/>
        <w:spacing w:line="360" w:lineRule="auto"/>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注</w:t>
      </w:r>
      <w:r>
        <w:rPr>
          <w:rFonts w:asciiTheme="minorEastAsia" w:eastAsiaTheme="minorEastAsia" w:hAnsiTheme="minorEastAsia"/>
          <w:snapToGrid w:val="0"/>
          <w:szCs w:val="24"/>
        </w:rPr>
        <w:t>3</w:t>
      </w:r>
      <w:r>
        <w:rPr>
          <w:rFonts w:asciiTheme="minorEastAsia" w:eastAsiaTheme="minorEastAsia" w:hAnsiTheme="minorEastAsia" w:hint="eastAsia"/>
          <w:snapToGrid w:val="0"/>
          <w:szCs w:val="24"/>
        </w:rPr>
        <w:t>：其他费用为汇</w:t>
      </w:r>
      <w:r>
        <w:rPr>
          <w:rFonts w:asciiTheme="minorEastAsia" w:eastAsiaTheme="minorEastAsia" w:hAnsiTheme="minorEastAsia"/>
          <w:snapToGrid w:val="0"/>
          <w:szCs w:val="24"/>
        </w:rPr>
        <w:t>划费10</w:t>
      </w:r>
      <w:r>
        <w:rPr>
          <w:rFonts w:asciiTheme="minorEastAsia" w:eastAsiaTheme="minorEastAsia" w:hAnsiTheme="minorEastAsia" w:hint="eastAsia"/>
          <w:snapToGrid w:val="0"/>
          <w:szCs w:val="24"/>
        </w:rPr>
        <w:t>.00元。</w:t>
      </w:r>
    </w:p>
    <w:p w:rsidR="0041210D" w:rsidRDefault="00FE54B6">
      <w:pPr>
        <w:pStyle w:val="XBRLTitle2"/>
        <w:numPr>
          <w:ilvl w:val="0"/>
          <w:numId w:val="0"/>
        </w:numPr>
        <w:spacing w:before="156" w:after="156"/>
        <w:rPr>
          <w:rFonts w:asciiTheme="minorEastAsia" w:eastAsiaTheme="minorEastAsia" w:hAnsiTheme="minorEastAsia"/>
          <w:szCs w:val="24"/>
        </w:rPr>
      </w:pPr>
      <w:bookmarkStart w:id="133" w:name="_Toc498069534"/>
      <w:r>
        <w:rPr>
          <w:rFonts w:asciiTheme="minorEastAsia" w:eastAsiaTheme="minorEastAsia" w:hAnsiTheme="minorEastAsia"/>
        </w:rPr>
        <w:t>5、</w:t>
      </w:r>
      <w:r>
        <w:rPr>
          <w:rFonts w:asciiTheme="minorEastAsia" w:eastAsiaTheme="minorEastAsia" w:hAnsiTheme="minorEastAsia" w:hint="eastAsia"/>
          <w:snapToGrid w:val="0"/>
          <w:szCs w:val="24"/>
        </w:rPr>
        <w:t>清算结束日的资产负债及剩余财产的分配情况</w:t>
      </w:r>
      <w:bookmarkEnd w:id="133"/>
    </w:p>
    <w:p w:rsidR="0041210D" w:rsidRDefault="00FE54B6">
      <w:pPr>
        <w:overflowPunct w:val="0"/>
        <w:autoSpaceDE w:val="0"/>
        <w:autoSpaceDN w:val="0"/>
        <w:snapToGrid w:val="0"/>
        <w:ind w:left="6480" w:firstLineChars="300" w:firstLine="630"/>
        <w:rPr>
          <w:rFonts w:asciiTheme="minorEastAsia" w:eastAsiaTheme="minorEastAsia" w:hAnsiTheme="minorEastAsia"/>
          <w:szCs w:val="21"/>
        </w:rPr>
      </w:pPr>
      <w:r>
        <w:rPr>
          <w:rFonts w:asciiTheme="minorEastAsia" w:eastAsiaTheme="minorEastAsia" w:hAnsiTheme="minorEastAsia"/>
          <w:szCs w:val="21"/>
        </w:rPr>
        <w:t>单位：人民币元</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6"/>
        <w:gridCol w:w="2410"/>
      </w:tblGrid>
      <w:tr w:rsidR="0041210D">
        <w:tc>
          <w:tcPr>
            <w:tcW w:w="6266" w:type="dxa"/>
          </w:tcPr>
          <w:p w:rsidR="0041210D" w:rsidRDefault="00FE54B6">
            <w:pPr>
              <w:jc w:val="center"/>
              <w:rPr>
                <w:rFonts w:asciiTheme="minorEastAsia" w:eastAsiaTheme="minorEastAsia" w:hAnsiTheme="minorEastAsia"/>
                <w:snapToGrid w:val="0"/>
                <w:szCs w:val="21"/>
              </w:rPr>
            </w:pPr>
            <w:r>
              <w:rPr>
                <w:rFonts w:asciiTheme="minorEastAsia" w:eastAsiaTheme="minorEastAsia" w:hAnsiTheme="minorEastAsia"/>
                <w:snapToGrid w:val="0"/>
                <w:szCs w:val="21"/>
              </w:rPr>
              <w:t>项目</w:t>
            </w:r>
          </w:p>
        </w:tc>
        <w:tc>
          <w:tcPr>
            <w:tcW w:w="2410" w:type="dxa"/>
          </w:tcPr>
          <w:p w:rsidR="0041210D" w:rsidRDefault="00FE54B6">
            <w:pPr>
              <w:jc w:val="center"/>
              <w:rPr>
                <w:rFonts w:asciiTheme="minorEastAsia" w:eastAsiaTheme="minorEastAsia" w:hAnsiTheme="minorEastAsia"/>
                <w:snapToGrid w:val="0"/>
                <w:szCs w:val="21"/>
              </w:rPr>
            </w:pPr>
            <w:r>
              <w:rPr>
                <w:rFonts w:asciiTheme="minorEastAsia" w:eastAsiaTheme="minorEastAsia" w:hAnsiTheme="minorEastAsia"/>
                <w:snapToGrid w:val="0"/>
                <w:szCs w:val="21"/>
              </w:rPr>
              <w:t>金额</w:t>
            </w:r>
          </w:p>
        </w:tc>
      </w:tr>
      <w:tr w:rsidR="0041210D">
        <w:tc>
          <w:tcPr>
            <w:tcW w:w="6266" w:type="dxa"/>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snapToGrid w:val="0"/>
                <w:sz w:val="24"/>
                <w:szCs w:val="21"/>
              </w:rPr>
              <w:t>一、最后运作日2022年11月8日基金净资产</w:t>
            </w:r>
          </w:p>
        </w:tc>
        <w:tc>
          <w:tcPr>
            <w:tcW w:w="2410" w:type="dxa"/>
            <w:vAlign w:val="center"/>
          </w:tcPr>
          <w:p w:rsidR="0041210D" w:rsidRDefault="00FE54B6">
            <w:pPr>
              <w:jc w:val="right"/>
              <w:rPr>
                <w:rFonts w:asciiTheme="minorEastAsia" w:eastAsiaTheme="minorEastAsia" w:hAnsiTheme="minorEastAsia"/>
                <w:snapToGrid w:val="0"/>
                <w:sz w:val="24"/>
                <w:szCs w:val="24"/>
              </w:rPr>
            </w:pPr>
            <w:r>
              <w:rPr>
                <w:rFonts w:asciiTheme="minorEastAsia" w:eastAsiaTheme="minorEastAsia" w:hAnsiTheme="minorEastAsia"/>
                <w:snapToGrid w:val="0"/>
                <w:sz w:val="24"/>
                <w:szCs w:val="24"/>
              </w:rPr>
              <w:t>3,852,210.57</w:t>
            </w:r>
          </w:p>
        </w:tc>
      </w:tr>
      <w:tr w:rsidR="0041210D">
        <w:tc>
          <w:tcPr>
            <w:tcW w:w="6266" w:type="dxa"/>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snapToGrid w:val="0"/>
                <w:sz w:val="24"/>
                <w:szCs w:val="21"/>
              </w:rPr>
              <w:t>加：清算期间净收益</w:t>
            </w:r>
          </w:p>
        </w:tc>
        <w:tc>
          <w:tcPr>
            <w:tcW w:w="2410" w:type="dxa"/>
            <w:vAlign w:val="center"/>
          </w:tcPr>
          <w:p w:rsidR="0041210D" w:rsidRDefault="00FE54B6">
            <w:pPr>
              <w:jc w:val="right"/>
              <w:rPr>
                <w:rFonts w:asciiTheme="minorEastAsia" w:eastAsiaTheme="minorEastAsia" w:hAnsiTheme="minorEastAsia"/>
                <w:snapToGrid w:val="0"/>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21,557.12</w:t>
            </w:r>
          </w:p>
        </w:tc>
      </w:tr>
      <w:tr w:rsidR="0041210D">
        <w:tc>
          <w:tcPr>
            <w:tcW w:w="6266" w:type="dxa"/>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snapToGrid w:val="0"/>
                <w:sz w:val="24"/>
                <w:szCs w:val="21"/>
              </w:rPr>
              <w:t>加：</w:t>
            </w:r>
            <w:r>
              <w:rPr>
                <w:rFonts w:asciiTheme="minorEastAsia" w:eastAsiaTheme="minorEastAsia" w:hAnsiTheme="minorEastAsia" w:hint="eastAsia"/>
                <w:snapToGrid w:val="0"/>
                <w:sz w:val="24"/>
                <w:szCs w:val="21"/>
              </w:rPr>
              <w:t>清算期间因申购影响的金额</w:t>
            </w:r>
          </w:p>
        </w:tc>
        <w:tc>
          <w:tcPr>
            <w:tcW w:w="2410" w:type="dxa"/>
            <w:vAlign w:val="center"/>
          </w:tcPr>
          <w:p w:rsidR="0041210D" w:rsidRDefault="00FE54B6">
            <w:pPr>
              <w:jc w:val="right"/>
              <w:rPr>
                <w:rFonts w:asciiTheme="minorEastAsia" w:eastAsiaTheme="minorEastAsia" w:hAnsiTheme="minorEastAsia"/>
                <w:snapToGrid w:val="0"/>
                <w:sz w:val="24"/>
                <w:szCs w:val="24"/>
              </w:rPr>
            </w:pPr>
            <w:r>
              <w:rPr>
                <w:rFonts w:asciiTheme="minorEastAsia" w:eastAsiaTheme="minorEastAsia" w:hAnsiTheme="minorEastAsia"/>
                <w:snapToGrid w:val="0"/>
                <w:sz w:val="24"/>
                <w:szCs w:val="24"/>
              </w:rPr>
              <w:t>399.77</w:t>
            </w:r>
          </w:p>
        </w:tc>
      </w:tr>
      <w:tr w:rsidR="0041210D">
        <w:tc>
          <w:tcPr>
            <w:tcW w:w="6266" w:type="dxa"/>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snapToGrid w:val="0"/>
                <w:sz w:val="24"/>
                <w:szCs w:val="21"/>
              </w:rPr>
              <w:t>减：</w:t>
            </w:r>
            <w:r>
              <w:rPr>
                <w:rFonts w:asciiTheme="minorEastAsia" w:eastAsiaTheme="minorEastAsia" w:hAnsiTheme="minorEastAsia" w:hint="eastAsia"/>
                <w:snapToGrid w:val="0"/>
                <w:sz w:val="24"/>
                <w:szCs w:val="21"/>
              </w:rPr>
              <w:t>清算期间因赎回影响的金额</w:t>
            </w:r>
          </w:p>
        </w:tc>
        <w:tc>
          <w:tcPr>
            <w:tcW w:w="2410" w:type="dxa"/>
            <w:vAlign w:val="center"/>
          </w:tcPr>
          <w:p w:rsidR="0041210D" w:rsidRDefault="00FE54B6">
            <w:pPr>
              <w:jc w:val="right"/>
              <w:rPr>
                <w:rFonts w:asciiTheme="minorEastAsia" w:eastAsiaTheme="minorEastAsia" w:hAnsiTheme="minorEastAsia"/>
                <w:snapToGrid w:val="0"/>
                <w:sz w:val="24"/>
                <w:szCs w:val="24"/>
              </w:rPr>
            </w:pPr>
            <w:r>
              <w:rPr>
                <w:rFonts w:asciiTheme="minorEastAsia" w:eastAsiaTheme="minorEastAsia" w:hAnsiTheme="minorEastAsia"/>
                <w:snapToGrid w:val="0"/>
                <w:sz w:val="24"/>
                <w:szCs w:val="24"/>
              </w:rPr>
              <w:t>20.60</w:t>
            </w:r>
          </w:p>
        </w:tc>
      </w:tr>
      <w:tr w:rsidR="0041210D">
        <w:trPr>
          <w:trHeight w:val="101"/>
        </w:trPr>
        <w:tc>
          <w:tcPr>
            <w:tcW w:w="6266" w:type="dxa"/>
          </w:tcPr>
          <w:p w:rsidR="0041210D" w:rsidRDefault="0041210D">
            <w:pPr>
              <w:spacing w:line="360" w:lineRule="auto"/>
              <w:ind w:firstLineChars="200" w:firstLine="480"/>
              <w:rPr>
                <w:rFonts w:asciiTheme="minorEastAsia" w:eastAsiaTheme="minorEastAsia" w:hAnsiTheme="minorEastAsia"/>
                <w:snapToGrid w:val="0"/>
                <w:sz w:val="24"/>
                <w:szCs w:val="21"/>
              </w:rPr>
            </w:pPr>
          </w:p>
        </w:tc>
        <w:tc>
          <w:tcPr>
            <w:tcW w:w="2410" w:type="dxa"/>
            <w:vAlign w:val="center"/>
          </w:tcPr>
          <w:p w:rsidR="0041210D" w:rsidRDefault="0041210D">
            <w:pPr>
              <w:jc w:val="right"/>
              <w:rPr>
                <w:rFonts w:asciiTheme="minorEastAsia" w:eastAsiaTheme="minorEastAsia" w:hAnsiTheme="minorEastAsia"/>
                <w:snapToGrid w:val="0"/>
                <w:sz w:val="24"/>
                <w:szCs w:val="24"/>
              </w:rPr>
            </w:pPr>
          </w:p>
        </w:tc>
      </w:tr>
      <w:tr w:rsidR="0041210D">
        <w:trPr>
          <w:trHeight w:val="101"/>
        </w:trPr>
        <w:tc>
          <w:tcPr>
            <w:tcW w:w="6266" w:type="dxa"/>
          </w:tcPr>
          <w:p w:rsidR="0041210D" w:rsidRDefault="00FE54B6">
            <w:pPr>
              <w:spacing w:line="360" w:lineRule="auto"/>
              <w:ind w:firstLineChars="200" w:firstLine="480"/>
              <w:rPr>
                <w:rFonts w:asciiTheme="minorEastAsia" w:eastAsiaTheme="minorEastAsia" w:hAnsiTheme="minorEastAsia"/>
                <w:snapToGrid w:val="0"/>
                <w:sz w:val="24"/>
                <w:szCs w:val="21"/>
              </w:rPr>
            </w:pPr>
            <w:r>
              <w:rPr>
                <w:rFonts w:asciiTheme="minorEastAsia" w:eastAsiaTheme="minorEastAsia" w:hAnsiTheme="minorEastAsia"/>
                <w:snapToGrid w:val="0"/>
                <w:sz w:val="24"/>
                <w:szCs w:val="21"/>
              </w:rPr>
              <w:t>二、</w:t>
            </w:r>
            <w:r>
              <w:rPr>
                <w:rFonts w:asciiTheme="minorEastAsia" w:eastAsiaTheme="minorEastAsia" w:hAnsiTheme="minorEastAsia" w:hint="eastAsia"/>
                <w:snapToGrid w:val="0"/>
                <w:sz w:val="24"/>
                <w:szCs w:val="21"/>
              </w:rPr>
              <w:t>清算结束日20</w:t>
            </w:r>
            <w:r>
              <w:rPr>
                <w:rFonts w:asciiTheme="minorEastAsia" w:eastAsiaTheme="minorEastAsia" w:hAnsiTheme="minorEastAsia"/>
                <w:snapToGrid w:val="0"/>
                <w:sz w:val="24"/>
                <w:szCs w:val="21"/>
              </w:rPr>
              <w:t>22</w:t>
            </w:r>
            <w:r>
              <w:rPr>
                <w:rFonts w:asciiTheme="minorEastAsia" w:eastAsiaTheme="minorEastAsia" w:hAnsiTheme="minorEastAsia" w:hint="eastAsia"/>
                <w:snapToGrid w:val="0"/>
                <w:sz w:val="24"/>
                <w:szCs w:val="21"/>
              </w:rPr>
              <w:t>年</w:t>
            </w:r>
            <w:r>
              <w:rPr>
                <w:rFonts w:asciiTheme="minorEastAsia" w:eastAsiaTheme="minorEastAsia" w:hAnsiTheme="minorEastAsia"/>
                <w:snapToGrid w:val="0"/>
                <w:sz w:val="24"/>
                <w:szCs w:val="21"/>
              </w:rPr>
              <w:t>11</w:t>
            </w:r>
            <w:r>
              <w:rPr>
                <w:rFonts w:asciiTheme="minorEastAsia" w:eastAsiaTheme="minorEastAsia" w:hAnsiTheme="minorEastAsia" w:hint="eastAsia"/>
                <w:snapToGrid w:val="0"/>
                <w:sz w:val="24"/>
                <w:szCs w:val="21"/>
              </w:rPr>
              <w:t xml:space="preserve"> 月</w:t>
            </w:r>
            <w:r>
              <w:rPr>
                <w:rFonts w:asciiTheme="minorEastAsia" w:eastAsiaTheme="minorEastAsia" w:hAnsiTheme="minorEastAsia"/>
                <w:snapToGrid w:val="0"/>
                <w:sz w:val="24"/>
                <w:szCs w:val="21"/>
              </w:rPr>
              <w:t>21</w:t>
            </w:r>
            <w:r>
              <w:rPr>
                <w:rFonts w:asciiTheme="minorEastAsia" w:eastAsiaTheme="minorEastAsia" w:hAnsiTheme="minorEastAsia" w:hint="eastAsia"/>
                <w:snapToGrid w:val="0"/>
                <w:sz w:val="24"/>
                <w:szCs w:val="21"/>
              </w:rPr>
              <w:t>日基金净资产</w:t>
            </w:r>
          </w:p>
        </w:tc>
        <w:tc>
          <w:tcPr>
            <w:tcW w:w="2410" w:type="dxa"/>
            <w:vAlign w:val="center"/>
          </w:tcPr>
          <w:p w:rsidR="0041210D" w:rsidRDefault="00FE54B6">
            <w:pPr>
              <w:jc w:val="right"/>
              <w:rPr>
                <w:rFonts w:asciiTheme="minorEastAsia" w:eastAsiaTheme="minorEastAsia" w:hAnsiTheme="minorEastAsia"/>
                <w:snapToGrid w:val="0"/>
                <w:sz w:val="24"/>
                <w:szCs w:val="24"/>
              </w:rPr>
            </w:pPr>
            <w:r>
              <w:rPr>
                <w:rFonts w:asciiTheme="minorEastAsia" w:eastAsiaTheme="minorEastAsia" w:hAnsiTheme="minorEastAsia"/>
                <w:sz w:val="24"/>
                <w:szCs w:val="24"/>
              </w:rPr>
              <w:t>3,831,032.62</w:t>
            </w:r>
          </w:p>
        </w:tc>
      </w:tr>
    </w:tbl>
    <w:p w:rsidR="0041210D" w:rsidRDefault="00FE54B6">
      <w:pPr>
        <w:pStyle w:val="Default"/>
        <w:spacing w:line="360" w:lineRule="auto"/>
        <w:ind w:firstLineChars="200" w:firstLine="480"/>
        <w:rPr>
          <w:rFonts w:hAnsi="宋体"/>
          <w:bCs/>
        </w:rPr>
      </w:pPr>
      <w:r>
        <w:rPr>
          <w:rFonts w:hAnsi="宋体" w:hint="eastAsia"/>
          <w:bCs/>
        </w:rPr>
        <w:t>根据《基金合同》中关于</w:t>
      </w:r>
      <w:r>
        <w:rPr>
          <w:rFonts w:hAnsi="宋体"/>
          <w:bCs/>
        </w:rPr>
        <w:t>基金财产清算</w:t>
      </w:r>
      <w:r>
        <w:rPr>
          <w:rFonts w:hAnsi="宋体" w:hint="eastAsia"/>
          <w:bCs/>
        </w:rPr>
        <w:t>的相关约定，基金财产清算小组将依据基金财产清算的分配方案，将基金财产清算后的全部剩余资产扣除基金财产清算费用（基金管理人代为支付的部分除外）、交纳所欠税款并清偿基金债务后，按基金份额持有人持有的基金份额比例进行分配。同时，《基金合同》“第七部分 基金合同当事人及权利义务”中“三、基金份额持有人”项下</w:t>
      </w:r>
      <w:r>
        <w:rPr>
          <w:rFonts w:hAnsi="宋体"/>
          <w:bCs/>
        </w:rPr>
        <w:t>约定</w:t>
      </w:r>
      <w:r>
        <w:rPr>
          <w:rFonts w:hAnsi="宋体" w:hint="eastAsia"/>
          <w:bCs/>
        </w:rPr>
        <w:t>：“同一类别每份基金份额具有同等的合法权益。</w:t>
      </w:r>
      <w:r>
        <w:rPr>
          <w:rFonts w:hAnsi="宋体"/>
          <w:bCs/>
        </w:rPr>
        <w:t>”</w:t>
      </w:r>
      <w:r>
        <w:rPr>
          <w:rFonts w:hAnsi="宋体" w:hint="eastAsia"/>
          <w:bCs/>
        </w:rPr>
        <w:t>基金财产</w:t>
      </w:r>
      <w:r>
        <w:rPr>
          <w:rFonts w:hAnsi="宋体"/>
          <w:bCs/>
        </w:rPr>
        <w:t>将按照上述分配原则</w:t>
      </w:r>
      <w:r>
        <w:rPr>
          <w:rFonts w:hAnsi="宋体" w:hint="eastAsia"/>
          <w:bCs/>
        </w:rPr>
        <w:t>进行分配。</w:t>
      </w:r>
    </w:p>
    <w:p w:rsidR="0041210D" w:rsidRDefault="00FE54B6">
      <w:pPr>
        <w:pStyle w:val="Default"/>
        <w:spacing w:line="360" w:lineRule="auto"/>
        <w:ind w:firstLineChars="200" w:firstLine="480"/>
        <w:rPr>
          <w:rFonts w:hAnsi="宋体"/>
          <w:bCs/>
        </w:rPr>
      </w:pPr>
      <w:r>
        <w:rPr>
          <w:rFonts w:hAnsi="宋体" w:hint="eastAsia"/>
          <w:bCs/>
        </w:rPr>
        <w:t>本基金清算起始日20</w:t>
      </w:r>
      <w:r>
        <w:rPr>
          <w:rFonts w:hAnsi="宋体"/>
          <w:bCs/>
        </w:rPr>
        <w:t>22</w:t>
      </w:r>
      <w:r>
        <w:rPr>
          <w:rFonts w:hAnsi="宋体" w:hint="eastAsia"/>
          <w:bCs/>
        </w:rPr>
        <w:t>年</w:t>
      </w:r>
      <w:r>
        <w:rPr>
          <w:rFonts w:hAnsi="宋体"/>
          <w:bCs/>
        </w:rPr>
        <w:t>11</w:t>
      </w:r>
      <w:r>
        <w:rPr>
          <w:rFonts w:hAnsi="宋体" w:hint="eastAsia"/>
          <w:bCs/>
        </w:rPr>
        <w:t>月</w:t>
      </w:r>
      <w:r>
        <w:rPr>
          <w:rFonts w:hAnsi="宋体"/>
          <w:bCs/>
        </w:rPr>
        <w:t>9</w:t>
      </w:r>
      <w:r>
        <w:rPr>
          <w:rFonts w:hAnsi="宋体" w:hint="eastAsia"/>
          <w:bCs/>
        </w:rPr>
        <w:t>日至基金财产清算款划出日前一日的银行存款、结算备付金、存出保证金及其产生的利息亦属基金份额持有人所有。如前述利息在本基金财产分配划出日前尚未结清，则未结息</w:t>
      </w:r>
      <w:r>
        <w:rPr>
          <w:rFonts w:hAnsi="宋体"/>
          <w:bCs/>
        </w:rPr>
        <w:t>部分将由基金管理人</w:t>
      </w:r>
      <w:r>
        <w:rPr>
          <w:rFonts w:hAnsi="宋体" w:hint="eastAsia"/>
          <w:bCs/>
        </w:rPr>
        <w:t>中融基金管理有限公司</w:t>
      </w:r>
      <w:r>
        <w:rPr>
          <w:rFonts w:hAnsi="宋体"/>
          <w:bCs/>
        </w:rPr>
        <w:t>以自有资金垫付</w:t>
      </w:r>
      <w:r>
        <w:rPr>
          <w:rFonts w:hAnsi="宋体" w:hint="eastAsia"/>
          <w:bCs/>
        </w:rPr>
        <w:t>至</w:t>
      </w:r>
      <w:r>
        <w:rPr>
          <w:rFonts w:hAnsi="宋体"/>
          <w:bCs/>
        </w:rPr>
        <w:t>托管</w:t>
      </w:r>
      <w:r>
        <w:rPr>
          <w:rFonts w:hAnsi="宋体" w:hint="eastAsia"/>
          <w:bCs/>
        </w:rPr>
        <w:t>账</w:t>
      </w:r>
      <w:r>
        <w:rPr>
          <w:rFonts w:hAnsi="宋体"/>
          <w:bCs/>
        </w:rPr>
        <w:t>户</w:t>
      </w:r>
      <w:r>
        <w:rPr>
          <w:rFonts w:hAnsi="宋体" w:hint="eastAsia"/>
          <w:bCs/>
        </w:rPr>
        <w:t>。基金管理人垫付</w:t>
      </w:r>
      <w:r>
        <w:rPr>
          <w:rFonts w:hAnsi="宋体"/>
          <w:bCs/>
        </w:rPr>
        <w:t>资金到账日起</w:t>
      </w:r>
      <w:r>
        <w:rPr>
          <w:rFonts w:hAnsi="宋体" w:hint="eastAsia"/>
          <w:bCs/>
        </w:rPr>
        <w:t>孳生的</w:t>
      </w:r>
      <w:r>
        <w:rPr>
          <w:rFonts w:hAnsi="宋体"/>
          <w:bCs/>
        </w:rPr>
        <w:t>利息归基金管理人所有</w:t>
      </w:r>
      <w:r>
        <w:rPr>
          <w:rFonts w:hAnsi="宋体" w:hint="eastAsia"/>
          <w:bCs/>
        </w:rPr>
        <w:t>，基金管理人所垫付的资金以及垫付资金到账日起孳生的利息将于利息结清后返还给基金管理人，基金财产清偿完毕之后所产生的其他任何费用亦由基金管理人承担。</w:t>
      </w:r>
    </w:p>
    <w:p w:rsidR="0041210D" w:rsidRDefault="00FE54B6">
      <w:pPr>
        <w:pStyle w:val="XBRLTitle2"/>
        <w:numPr>
          <w:ilvl w:val="0"/>
          <w:numId w:val="0"/>
        </w:numPr>
        <w:spacing w:before="156" w:after="156"/>
        <w:ind w:left="454" w:hanging="454"/>
        <w:rPr>
          <w:rFonts w:asciiTheme="minorEastAsia" w:eastAsiaTheme="minorEastAsia" w:hAnsiTheme="minorEastAsia"/>
        </w:rPr>
      </w:pPr>
      <w:bookmarkStart w:id="134" w:name="_Toc498069535"/>
      <w:r>
        <w:rPr>
          <w:rFonts w:asciiTheme="minorEastAsia" w:eastAsiaTheme="minorEastAsia" w:hAnsiTheme="minorEastAsia"/>
          <w:szCs w:val="24"/>
        </w:rPr>
        <w:t>6、</w:t>
      </w:r>
      <w:r>
        <w:rPr>
          <w:rFonts w:asciiTheme="minorEastAsia" w:eastAsiaTheme="minorEastAsia" w:hAnsiTheme="minorEastAsia"/>
        </w:rPr>
        <w:t>基金财产清算报告的告知安排</w:t>
      </w:r>
      <w:bookmarkEnd w:id="134"/>
    </w:p>
    <w:p w:rsidR="0041210D" w:rsidRDefault="00FE54B6">
      <w:pPr>
        <w:pStyle w:val="Default"/>
        <w:spacing w:line="360" w:lineRule="auto"/>
        <w:ind w:firstLineChars="200" w:firstLine="480"/>
        <w:rPr>
          <w:rFonts w:hAnsi="宋体"/>
          <w:bCs/>
        </w:rPr>
      </w:pPr>
      <w:r>
        <w:rPr>
          <w:rFonts w:hAnsi="宋体"/>
          <w:bCs/>
        </w:rPr>
        <w:t>本清算报告已经基金托管人复核，在经会计师事务所审计、律师事务所出具法律意见书后，</w:t>
      </w:r>
      <w:r>
        <w:rPr>
          <w:rFonts w:hAnsi="宋体" w:hint="eastAsia"/>
          <w:bCs/>
        </w:rPr>
        <w:t>将</w:t>
      </w:r>
      <w:r>
        <w:rPr>
          <w:rFonts w:hAnsi="宋体"/>
          <w:bCs/>
        </w:rPr>
        <w:t>报中国证监会备案</w:t>
      </w:r>
      <w:r>
        <w:rPr>
          <w:rFonts w:hAnsi="宋体" w:hint="eastAsia"/>
          <w:bCs/>
        </w:rPr>
        <w:t>并</w:t>
      </w:r>
      <w:r>
        <w:rPr>
          <w:rFonts w:hAnsi="宋体"/>
          <w:bCs/>
        </w:rPr>
        <w:t>向基金份额持有人公告。</w:t>
      </w:r>
      <w:r>
        <w:rPr>
          <w:rFonts w:hAnsi="宋体" w:hint="eastAsia"/>
          <w:bCs/>
        </w:rPr>
        <w:t>清算报告公告后，基金管理人将遵照法律法规、基金合同等规定及时进行分配。</w:t>
      </w:r>
    </w:p>
    <w:p w:rsidR="0041210D" w:rsidRDefault="00FE54B6">
      <w:pPr>
        <w:pStyle w:val="XBRLTitle1"/>
        <w:numPr>
          <w:ilvl w:val="0"/>
          <w:numId w:val="0"/>
        </w:numPr>
        <w:spacing w:before="156" w:after="156"/>
        <w:ind w:left="425"/>
        <w:jc w:val="left"/>
        <w:rPr>
          <w:rFonts w:asciiTheme="minorEastAsia" w:eastAsiaTheme="minorEastAsia" w:hAnsiTheme="minorEastAsia"/>
        </w:rPr>
      </w:pPr>
      <w:bookmarkStart w:id="135" w:name="_Toc405886562"/>
      <w:bookmarkStart w:id="136" w:name="_Toc405886549"/>
      <w:bookmarkStart w:id="137" w:name="_Toc405886553"/>
      <w:bookmarkStart w:id="138" w:name="_Toc405886557"/>
      <w:bookmarkStart w:id="139" w:name="_Toc405886541"/>
      <w:bookmarkStart w:id="140" w:name="_Toc405886558"/>
      <w:bookmarkStart w:id="141" w:name="_Toc405886561"/>
      <w:bookmarkStart w:id="142" w:name="_Toc405886570"/>
      <w:bookmarkStart w:id="143" w:name="_Toc405886574"/>
      <w:bookmarkStart w:id="144" w:name="_Toc405886582"/>
      <w:bookmarkStart w:id="145" w:name="_Toc405886581"/>
      <w:bookmarkStart w:id="146" w:name="_Toc405886580"/>
      <w:bookmarkStart w:id="147" w:name="_Toc405886583"/>
      <w:bookmarkStart w:id="148" w:name="_Toc405886569"/>
      <w:bookmarkStart w:id="149" w:name="_Toc405886571"/>
      <w:bookmarkStart w:id="150" w:name="_Toc405886572"/>
      <w:bookmarkStart w:id="151" w:name="_Toc405886563"/>
      <w:bookmarkStart w:id="152" w:name="_Toc405887164"/>
      <w:bookmarkStart w:id="153" w:name="_Toc405886585"/>
      <w:bookmarkStart w:id="154" w:name="_Toc405887051"/>
      <w:bookmarkStart w:id="155" w:name="_Toc405887060"/>
      <w:bookmarkStart w:id="156" w:name="_Toc405887105"/>
      <w:bookmarkStart w:id="157" w:name="_Toc405887059"/>
      <w:bookmarkStart w:id="158" w:name="_Toc405887039"/>
      <w:bookmarkStart w:id="159" w:name="_Toc405887132"/>
      <w:bookmarkStart w:id="160" w:name="_Toc405887024"/>
      <w:bookmarkStart w:id="161" w:name="_Toc405887130"/>
      <w:bookmarkStart w:id="162" w:name="_Toc405886587"/>
      <w:bookmarkStart w:id="163" w:name="_Toc405886565"/>
      <w:bookmarkStart w:id="164" w:name="_Toc405886568"/>
      <w:bookmarkStart w:id="165" w:name="_Toc405887029"/>
      <w:bookmarkStart w:id="166" w:name="_Toc405886577"/>
      <w:bookmarkStart w:id="167" w:name="_Toc405886566"/>
      <w:bookmarkStart w:id="168" w:name="_Toc405887030"/>
      <w:bookmarkStart w:id="169" w:name="_Toc405886576"/>
      <w:bookmarkStart w:id="170" w:name="_Toc405887043"/>
      <w:bookmarkStart w:id="171" w:name="_Toc405887055"/>
      <w:bookmarkStart w:id="172" w:name="_Toc405887099"/>
      <w:bookmarkStart w:id="173" w:name="_Toc405887096"/>
      <w:bookmarkStart w:id="174" w:name="_Toc405887102"/>
      <w:bookmarkStart w:id="175" w:name="_Toc405887019"/>
      <w:bookmarkStart w:id="176" w:name="_Toc405887061"/>
      <w:bookmarkStart w:id="177" w:name="_Toc405887062"/>
      <w:bookmarkStart w:id="178" w:name="_Toc405886588"/>
      <w:bookmarkStart w:id="179" w:name="_Toc405887093"/>
      <w:bookmarkStart w:id="180" w:name="_Toc405887063"/>
      <w:bookmarkStart w:id="181" w:name="_Toc405887092"/>
      <w:bookmarkStart w:id="182" w:name="_Toc405887091"/>
      <w:bookmarkStart w:id="183" w:name="_Toc405886735"/>
      <w:bookmarkStart w:id="184" w:name="_Toc405886727"/>
      <w:bookmarkStart w:id="185" w:name="_Toc405887131"/>
      <w:bookmarkStart w:id="186" w:name="_Toc405887113"/>
      <w:bookmarkStart w:id="187" w:name="_Toc405886675"/>
      <w:bookmarkStart w:id="188" w:name="_Toc405886674"/>
      <w:bookmarkStart w:id="189" w:name="_Toc405887120"/>
      <w:bookmarkStart w:id="190" w:name="_Toc405886699"/>
      <w:bookmarkStart w:id="191" w:name="_Toc405887150"/>
      <w:bookmarkStart w:id="192" w:name="_Toc405886896"/>
      <w:bookmarkStart w:id="193" w:name="_Toc405886777"/>
      <w:bookmarkStart w:id="194" w:name="_Toc405886654"/>
      <w:bookmarkStart w:id="195" w:name="_Toc405886714"/>
      <w:bookmarkStart w:id="196" w:name="_Toc405887138"/>
      <w:bookmarkStart w:id="197" w:name="_Toc405887112"/>
      <w:bookmarkStart w:id="198" w:name="_Toc405887149"/>
      <w:bookmarkStart w:id="199" w:name="_Toc405886676"/>
      <w:bookmarkStart w:id="200" w:name="_Toc405886892"/>
      <w:bookmarkStart w:id="201" w:name="_Toc405886893"/>
      <w:bookmarkStart w:id="202" w:name="_Toc405886705"/>
      <w:bookmarkStart w:id="203" w:name="_Toc405887108"/>
      <w:bookmarkStart w:id="204" w:name="_Toc405887157"/>
      <w:bookmarkStart w:id="205" w:name="_Toc405886797"/>
      <w:bookmarkStart w:id="206" w:name="_Toc405886903"/>
      <w:bookmarkStart w:id="207" w:name="_Toc405886819"/>
      <w:bookmarkStart w:id="208" w:name="_Toc405886894"/>
      <w:bookmarkStart w:id="209" w:name="_Toc405886747"/>
      <w:bookmarkStart w:id="210" w:name="_Toc405886685"/>
      <w:bookmarkStart w:id="211" w:name="_Toc405886644"/>
      <w:bookmarkStart w:id="212" w:name="_Toc405886856"/>
      <w:bookmarkStart w:id="213" w:name="_Toc405886787"/>
      <w:bookmarkStart w:id="214" w:name="_Toc405887158"/>
      <w:bookmarkStart w:id="215" w:name="_Toc405886953"/>
      <w:bookmarkStart w:id="216" w:name="_Toc405886959"/>
      <w:bookmarkStart w:id="217" w:name="_Toc405886991"/>
      <w:bookmarkStart w:id="218" w:name="_Toc405886992"/>
      <w:bookmarkStart w:id="219" w:name="_Toc405886855"/>
      <w:bookmarkStart w:id="220" w:name="_Toc405886796"/>
      <w:bookmarkStart w:id="221" w:name="_Toc405887007"/>
      <w:bookmarkStart w:id="222" w:name="_Toc405887008"/>
      <w:bookmarkStart w:id="223" w:name="_Toc405886883"/>
      <w:bookmarkStart w:id="224" w:name="_Toc405886704"/>
      <w:bookmarkStart w:id="225" w:name="_Toc405886947"/>
      <w:bookmarkStart w:id="226" w:name="_Toc405886905"/>
      <w:bookmarkStart w:id="227" w:name="_Toc405886713"/>
      <w:bookmarkStart w:id="228" w:name="_Toc405886712"/>
      <w:bookmarkStart w:id="229" w:name="_Toc405886798"/>
      <w:bookmarkStart w:id="230" w:name="_Toc405886728"/>
      <w:bookmarkStart w:id="231" w:name="_Toc405886767"/>
      <w:bookmarkStart w:id="232" w:name="_Toc405886864"/>
      <w:bookmarkStart w:id="233" w:name="_Toc405886854"/>
      <w:bookmarkStart w:id="234" w:name="_Toc405886882"/>
      <w:bookmarkStart w:id="235" w:name="_Toc405886944"/>
      <w:bookmarkStart w:id="236" w:name="_Toc405886942"/>
      <w:bookmarkStart w:id="237" w:name="_Toc405886757"/>
      <w:bookmarkStart w:id="238" w:name="_Toc405886945"/>
      <w:bookmarkStart w:id="239" w:name="_Toc405886946"/>
      <w:bookmarkStart w:id="240" w:name="_Toc405886865"/>
      <w:bookmarkStart w:id="241" w:name="_Toc405886736"/>
      <w:bookmarkStart w:id="242" w:name="_Toc405886943"/>
      <w:bookmarkStart w:id="243" w:name="_Toc405886548"/>
      <w:bookmarkStart w:id="244" w:name="_Toc405886545"/>
      <w:bookmarkStart w:id="245" w:name="_Toc405886539"/>
      <w:bookmarkStart w:id="246" w:name="_Toc405886544"/>
      <w:bookmarkStart w:id="247" w:name="_Toc405886547"/>
      <w:bookmarkStart w:id="248" w:name="_Toc405886543"/>
      <w:bookmarkStart w:id="249" w:name="_Toc405886550"/>
      <w:bookmarkStart w:id="250" w:name="_Toc405886552"/>
      <w:bookmarkStart w:id="251" w:name="_Toc405886554"/>
      <w:bookmarkStart w:id="252" w:name="_Toc405886555"/>
      <w:bookmarkStart w:id="253" w:name="_Toc405886546"/>
      <w:bookmarkStart w:id="254" w:name="_Toc405886551"/>
      <w:bookmarkStart w:id="255" w:name="_Toc405886542"/>
      <w:bookmarkStart w:id="256" w:name="_Toc405886556"/>
      <w:bookmarkStart w:id="257" w:name="_Toc405886540"/>
      <w:bookmarkStart w:id="258" w:name="_Toc405886560"/>
      <w:bookmarkStart w:id="259" w:name="_Toc405886559"/>
      <w:bookmarkStart w:id="260" w:name="_Toc405886622"/>
      <w:bookmarkStart w:id="261" w:name="_Toc405886624"/>
      <w:bookmarkStart w:id="262" w:name="_Toc405886623"/>
      <w:bookmarkStart w:id="263" w:name="_Toc405886608"/>
      <w:bookmarkStart w:id="264" w:name="_Toc405886616"/>
      <w:bookmarkStart w:id="265" w:name="_Toc405886611"/>
      <w:bookmarkStart w:id="266" w:name="_Toc405886610"/>
      <w:bookmarkStart w:id="267" w:name="_Toc405886619"/>
      <w:bookmarkStart w:id="268" w:name="_Toc405886604"/>
      <w:bookmarkStart w:id="269" w:name="_Toc405886599"/>
      <w:bookmarkStart w:id="270" w:name="_Toc405886617"/>
      <w:bookmarkStart w:id="271" w:name="_Toc405886602"/>
      <w:bookmarkStart w:id="272" w:name="_Toc405886594"/>
      <w:bookmarkStart w:id="273" w:name="_Toc405886613"/>
      <w:bookmarkStart w:id="274" w:name="_Toc405886600"/>
      <w:bookmarkStart w:id="275" w:name="_Toc405886615"/>
      <w:bookmarkStart w:id="276" w:name="_Toc405886614"/>
      <w:bookmarkStart w:id="277" w:name="_Toc405886605"/>
      <w:bookmarkStart w:id="278" w:name="_Toc405886601"/>
      <w:bookmarkStart w:id="279" w:name="_Toc405886598"/>
      <w:bookmarkStart w:id="280" w:name="_Toc405886589"/>
      <w:bookmarkStart w:id="281" w:name="_Toc405886618"/>
      <w:bookmarkStart w:id="282" w:name="_Toc405886596"/>
      <w:bookmarkStart w:id="283" w:name="_Toc405886595"/>
      <w:bookmarkStart w:id="284" w:name="_Toc405886597"/>
      <w:bookmarkStart w:id="285" w:name="_Toc405886591"/>
      <w:bookmarkStart w:id="286" w:name="_Toc405886606"/>
      <w:bookmarkStart w:id="287" w:name="_Toc405886590"/>
      <w:bookmarkStart w:id="288" w:name="_Toc405886609"/>
      <w:bookmarkStart w:id="289" w:name="_Toc405886612"/>
      <w:bookmarkStart w:id="290" w:name="_Toc405886593"/>
      <w:bookmarkStart w:id="291" w:name="_Toc405886607"/>
      <w:bookmarkStart w:id="292" w:name="_Toc405886603"/>
      <w:bookmarkStart w:id="293" w:name="_Toc405886592"/>
      <w:bookmarkStart w:id="294" w:name="_Toc405886626"/>
      <w:bookmarkStart w:id="295" w:name="_Toc405886627"/>
      <w:bookmarkStart w:id="296" w:name="_Toc405886625"/>
      <w:bookmarkStart w:id="297" w:name="_Toc405886628"/>
      <w:bookmarkStart w:id="298" w:name="_Toc405886621"/>
      <w:bookmarkStart w:id="299" w:name="_Toc405886639"/>
      <w:bookmarkStart w:id="300" w:name="_Toc405886620"/>
      <w:bookmarkStart w:id="301" w:name="_Toc405886578"/>
      <w:bookmarkStart w:id="302" w:name="_Toc405886579"/>
      <w:bookmarkStart w:id="303" w:name="_Toc405886584"/>
      <w:bookmarkStart w:id="304" w:name="_Toc405886564"/>
      <w:bookmarkStart w:id="305" w:name="_Toc405886586"/>
      <w:bookmarkStart w:id="306" w:name="_Toc405886573"/>
      <w:bookmarkStart w:id="307" w:name="_Toc405886575"/>
      <w:bookmarkStart w:id="308" w:name="_Toc405886567"/>
      <w:bookmarkStart w:id="309" w:name="_Toc247416688"/>
      <w:bookmarkStart w:id="310" w:name="_Toc498069536"/>
      <w:bookmarkStart w:id="311" w:name="m13_01"/>
      <w:bookmarkEnd w:id="12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asciiTheme="minorEastAsia" w:eastAsiaTheme="minorEastAsia" w:hAnsiTheme="minorEastAsia"/>
        </w:rPr>
        <w:t>六、备查文件目录</w:t>
      </w:r>
      <w:bookmarkEnd w:id="309"/>
      <w:bookmarkEnd w:id="310"/>
    </w:p>
    <w:p w:rsidR="0041210D" w:rsidRDefault="00FE54B6">
      <w:pPr>
        <w:pStyle w:val="XBRLTitle2"/>
        <w:numPr>
          <w:ilvl w:val="0"/>
          <w:numId w:val="0"/>
        </w:numPr>
        <w:spacing w:before="156" w:after="156"/>
        <w:ind w:left="454" w:hanging="454"/>
        <w:rPr>
          <w:rFonts w:asciiTheme="minorEastAsia" w:eastAsiaTheme="minorEastAsia" w:hAnsiTheme="minorEastAsia"/>
        </w:rPr>
      </w:pPr>
      <w:bookmarkStart w:id="312" w:name="_Toc498069537"/>
      <w:bookmarkStart w:id="313" w:name="m13_01_01_1733"/>
      <w:r>
        <w:rPr>
          <w:rFonts w:asciiTheme="minorEastAsia" w:eastAsiaTheme="minorEastAsia" w:hAnsiTheme="minorEastAsia"/>
        </w:rPr>
        <w:t>1、备查文件目录</w:t>
      </w:r>
      <w:bookmarkEnd w:id="312"/>
    </w:p>
    <w:p w:rsidR="0041210D" w:rsidRDefault="00FE54B6">
      <w:pPr>
        <w:spacing w:line="360" w:lineRule="auto"/>
        <w:ind w:firstLineChars="200" w:firstLine="480"/>
        <w:jc w:val="left"/>
        <w:rPr>
          <w:rFonts w:ascii="宋体" w:hAnsi="宋体" w:cs="宋体"/>
          <w:bCs/>
          <w:color w:val="000000"/>
          <w:kern w:val="0"/>
          <w:sz w:val="24"/>
          <w:szCs w:val="24"/>
        </w:rPr>
      </w:pPr>
      <w:r>
        <w:rPr>
          <w:rFonts w:ascii="宋体" w:hAnsi="宋体" w:cs="宋体"/>
          <w:bCs/>
          <w:color w:val="000000"/>
          <w:kern w:val="0"/>
          <w:sz w:val="24"/>
          <w:szCs w:val="24"/>
        </w:rPr>
        <w:t>（1）《</w:t>
      </w:r>
      <w:r>
        <w:rPr>
          <w:rFonts w:ascii="宋体" w:hAnsi="宋体" w:cs="宋体" w:hint="eastAsia"/>
          <w:bCs/>
          <w:color w:val="000000"/>
          <w:kern w:val="0"/>
          <w:sz w:val="24"/>
          <w:szCs w:val="24"/>
        </w:rPr>
        <w:t>中融量化智选混合型证券投资基金</w:t>
      </w:r>
      <w:r>
        <w:rPr>
          <w:rFonts w:ascii="宋体" w:hAnsi="宋体" w:cs="宋体"/>
          <w:bCs/>
          <w:color w:val="000000"/>
          <w:kern w:val="0"/>
          <w:sz w:val="24"/>
          <w:szCs w:val="24"/>
        </w:rPr>
        <w:t>审计报告》；</w:t>
      </w:r>
    </w:p>
    <w:p w:rsidR="0041210D" w:rsidRDefault="00FE54B6">
      <w:pPr>
        <w:spacing w:line="360" w:lineRule="auto"/>
        <w:ind w:firstLineChars="200" w:firstLine="480"/>
        <w:jc w:val="left"/>
        <w:rPr>
          <w:rFonts w:ascii="宋体" w:hAnsi="宋体" w:cs="宋体"/>
          <w:bCs/>
          <w:color w:val="000000"/>
          <w:kern w:val="0"/>
          <w:sz w:val="24"/>
          <w:szCs w:val="24"/>
        </w:rPr>
      </w:pPr>
      <w:r>
        <w:rPr>
          <w:rFonts w:ascii="宋体" w:hAnsi="宋体" w:cs="宋体"/>
          <w:bCs/>
          <w:color w:val="000000"/>
          <w:kern w:val="0"/>
          <w:sz w:val="24"/>
          <w:szCs w:val="24"/>
        </w:rPr>
        <w:t>（2）《</w:t>
      </w:r>
      <w:r>
        <w:rPr>
          <w:rFonts w:ascii="宋体" w:hAnsi="宋体" w:cs="宋体" w:hint="eastAsia"/>
          <w:bCs/>
          <w:color w:val="000000"/>
          <w:kern w:val="0"/>
          <w:sz w:val="24"/>
          <w:szCs w:val="24"/>
        </w:rPr>
        <w:t>上海市海华永泰律师事务所关于&lt;中融量化智选混合型证券投资基金</w:t>
      </w:r>
      <w:r>
        <w:rPr>
          <w:rFonts w:ascii="宋体" w:hAnsi="宋体" w:cs="宋体"/>
          <w:bCs/>
          <w:color w:val="000000"/>
          <w:kern w:val="0"/>
          <w:sz w:val="24"/>
          <w:szCs w:val="24"/>
        </w:rPr>
        <w:t>清算报告</w:t>
      </w:r>
      <w:r>
        <w:rPr>
          <w:rFonts w:ascii="宋体" w:hAnsi="宋体" w:cs="宋体" w:hint="eastAsia"/>
          <w:bCs/>
          <w:color w:val="000000"/>
          <w:kern w:val="0"/>
          <w:sz w:val="24"/>
          <w:szCs w:val="24"/>
        </w:rPr>
        <w:t>&gt;之</w:t>
      </w:r>
      <w:r>
        <w:rPr>
          <w:rFonts w:ascii="宋体" w:hAnsi="宋体" w:cs="宋体"/>
          <w:bCs/>
          <w:color w:val="000000"/>
          <w:kern w:val="0"/>
          <w:sz w:val="24"/>
          <w:szCs w:val="24"/>
        </w:rPr>
        <w:t>法律意见</w:t>
      </w:r>
      <w:r>
        <w:rPr>
          <w:rFonts w:ascii="宋体" w:hAnsi="宋体" w:cs="宋体" w:hint="eastAsia"/>
          <w:bCs/>
          <w:color w:val="000000"/>
          <w:kern w:val="0"/>
          <w:sz w:val="24"/>
          <w:szCs w:val="24"/>
        </w:rPr>
        <w:t>》</w:t>
      </w:r>
      <w:r>
        <w:rPr>
          <w:rFonts w:ascii="宋体" w:hAnsi="宋体" w:cs="宋体"/>
          <w:bCs/>
          <w:color w:val="000000"/>
          <w:kern w:val="0"/>
          <w:sz w:val="24"/>
          <w:szCs w:val="24"/>
        </w:rPr>
        <w:t>。</w:t>
      </w:r>
    </w:p>
    <w:p w:rsidR="0041210D" w:rsidRDefault="00FE54B6">
      <w:pPr>
        <w:pStyle w:val="XBRLTitle2"/>
        <w:numPr>
          <w:ilvl w:val="0"/>
          <w:numId w:val="0"/>
        </w:numPr>
        <w:spacing w:before="156" w:after="156"/>
        <w:ind w:left="454" w:hanging="454"/>
        <w:rPr>
          <w:rFonts w:asciiTheme="minorEastAsia" w:eastAsiaTheme="minorEastAsia" w:hAnsiTheme="minorEastAsia"/>
        </w:rPr>
      </w:pPr>
      <w:bookmarkStart w:id="314" w:name="_Toc498069538"/>
      <w:r>
        <w:rPr>
          <w:rFonts w:asciiTheme="minorEastAsia" w:eastAsiaTheme="minorEastAsia" w:hAnsiTheme="minorEastAsia"/>
        </w:rPr>
        <w:t>2、存放地点</w:t>
      </w:r>
      <w:bookmarkEnd w:id="314"/>
    </w:p>
    <w:p w:rsidR="0041210D" w:rsidRDefault="00FE54B6">
      <w:pPr>
        <w:spacing w:line="360" w:lineRule="auto"/>
        <w:ind w:firstLineChars="200" w:firstLine="480"/>
        <w:rPr>
          <w:rFonts w:ascii="宋体" w:hAnsi="宋体" w:cs="宋体"/>
          <w:bCs/>
          <w:color w:val="000000"/>
          <w:kern w:val="0"/>
          <w:sz w:val="24"/>
          <w:szCs w:val="24"/>
        </w:rPr>
      </w:pPr>
      <w:r>
        <w:rPr>
          <w:rFonts w:ascii="宋体" w:hAnsi="宋体" w:cs="宋体"/>
          <w:bCs/>
          <w:color w:val="000000"/>
          <w:kern w:val="0"/>
          <w:sz w:val="24"/>
          <w:szCs w:val="24"/>
        </w:rPr>
        <w:t>基金管理人的办公场所。</w:t>
      </w:r>
    </w:p>
    <w:p w:rsidR="0041210D" w:rsidRDefault="00FE54B6">
      <w:pPr>
        <w:pStyle w:val="XBRLTitle2"/>
        <w:numPr>
          <w:ilvl w:val="0"/>
          <w:numId w:val="0"/>
        </w:numPr>
        <w:spacing w:before="156" w:after="156"/>
        <w:rPr>
          <w:rFonts w:asciiTheme="minorEastAsia" w:eastAsiaTheme="minorEastAsia" w:hAnsiTheme="minorEastAsia"/>
        </w:rPr>
      </w:pPr>
      <w:bookmarkStart w:id="315" w:name="_Toc498069539"/>
      <w:bookmarkStart w:id="316" w:name="m13_01_03_1735"/>
      <w:bookmarkEnd w:id="313"/>
      <w:r>
        <w:rPr>
          <w:rFonts w:asciiTheme="minorEastAsia" w:eastAsiaTheme="minorEastAsia" w:hAnsiTheme="minorEastAsia"/>
        </w:rPr>
        <w:t>3、查阅方式</w:t>
      </w:r>
      <w:bookmarkEnd w:id="315"/>
    </w:p>
    <w:p w:rsidR="0041210D" w:rsidRDefault="00FE54B6">
      <w:pPr>
        <w:spacing w:line="360" w:lineRule="auto"/>
        <w:ind w:firstLineChars="200" w:firstLine="480"/>
        <w:rPr>
          <w:rFonts w:ascii="宋体" w:hAnsi="宋体" w:cs="宋体"/>
          <w:bCs/>
          <w:color w:val="000000"/>
          <w:kern w:val="0"/>
          <w:sz w:val="24"/>
          <w:szCs w:val="24"/>
        </w:rPr>
      </w:pPr>
      <w:r>
        <w:rPr>
          <w:rFonts w:ascii="宋体" w:hAnsi="宋体" w:cs="宋体"/>
          <w:bCs/>
          <w:color w:val="000000"/>
          <w:kern w:val="0"/>
          <w:sz w:val="24"/>
          <w:szCs w:val="24"/>
        </w:rPr>
        <w:t>投资者可在营业时间内至基金管理人的办公场所免费查阅。</w:t>
      </w:r>
      <w:bookmarkEnd w:id="311"/>
      <w:bookmarkEnd w:id="316"/>
    </w:p>
    <w:p w:rsidR="0041210D" w:rsidRDefault="0041210D">
      <w:pPr>
        <w:spacing w:line="360" w:lineRule="auto"/>
        <w:ind w:firstLineChars="200" w:firstLine="480"/>
        <w:rPr>
          <w:rFonts w:asciiTheme="minorEastAsia" w:eastAsiaTheme="minorEastAsia" w:hAnsiTheme="minorEastAsia"/>
          <w:sz w:val="24"/>
          <w:szCs w:val="24"/>
        </w:rPr>
      </w:pPr>
    </w:p>
    <w:p w:rsidR="0041210D" w:rsidRDefault="0041210D">
      <w:pPr>
        <w:spacing w:line="360" w:lineRule="auto"/>
        <w:ind w:firstLineChars="200" w:firstLine="480"/>
        <w:rPr>
          <w:rFonts w:asciiTheme="minorEastAsia" w:eastAsiaTheme="minorEastAsia" w:hAnsiTheme="minorEastAsia"/>
          <w:sz w:val="24"/>
          <w:szCs w:val="24"/>
        </w:rPr>
      </w:pPr>
    </w:p>
    <w:p w:rsidR="0041210D" w:rsidRDefault="00FE54B6">
      <w:pPr>
        <w:spacing w:line="360" w:lineRule="auto"/>
        <w:ind w:firstLineChars="200" w:firstLine="480"/>
        <w:jc w:val="right"/>
        <w:rPr>
          <w:rFonts w:ascii="宋体" w:hAnsi="宋体" w:cs="宋体"/>
          <w:bCs/>
          <w:color w:val="000000"/>
          <w:kern w:val="0"/>
          <w:sz w:val="24"/>
          <w:szCs w:val="24"/>
        </w:rPr>
      </w:pPr>
      <w:r>
        <w:rPr>
          <w:rFonts w:ascii="宋体" w:hAnsi="宋体" w:cs="宋体" w:hint="eastAsia"/>
          <w:bCs/>
          <w:color w:val="000000"/>
          <w:kern w:val="0"/>
          <w:sz w:val="24"/>
          <w:szCs w:val="24"/>
        </w:rPr>
        <w:t>中融量化智选混合型证券投资基金基金</w:t>
      </w:r>
      <w:r>
        <w:rPr>
          <w:rFonts w:ascii="宋体" w:hAnsi="宋体" w:cs="宋体"/>
          <w:bCs/>
          <w:color w:val="000000"/>
          <w:kern w:val="0"/>
          <w:sz w:val="24"/>
          <w:szCs w:val="24"/>
        </w:rPr>
        <w:t>财产清算小组</w:t>
      </w:r>
    </w:p>
    <w:p w:rsidR="0041210D" w:rsidRDefault="00FE54B6">
      <w:pPr>
        <w:spacing w:line="360" w:lineRule="auto"/>
        <w:ind w:firstLineChars="200" w:firstLine="480"/>
        <w:jc w:val="righ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2022年11月21日</w:t>
      </w:r>
    </w:p>
    <w:sectPr w:rsidR="0041210D" w:rsidSect="00063003">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76" w:rsidRDefault="00793A76">
      <w:r>
        <w:separator/>
      </w:r>
    </w:p>
  </w:endnote>
  <w:endnote w:type="continuationSeparator" w:id="0">
    <w:p w:rsidR="00793A76" w:rsidRDefault="00793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
    <w:altName w:val="方正仿宋_GBK"/>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0D" w:rsidRDefault="00063003">
    <w:pPr>
      <w:pStyle w:val="a7"/>
      <w:framePr w:wrap="around" w:vAnchor="text" w:hAnchor="margin" w:xAlign="right" w:y="1"/>
      <w:rPr>
        <w:rStyle w:val="ad"/>
      </w:rPr>
    </w:pPr>
    <w:r>
      <w:rPr>
        <w:rStyle w:val="ad"/>
      </w:rPr>
      <w:fldChar w:fldCharType="begin"/>
    </w:r>
    <w:r w:rsidR="00FE54B6">
      <w:rPr>
        <w:rStyle w:val="ad"/>
      </w:rPr>
      <w:instrText xml:space="preserve">PAGE  </w:instrText>
    </w:r>
    <w:r>
      <w:rPr>
        <w:rStyle w:val="ad"/>
      </w:rPr>
      <w:fldChar w:fldCharType="end"/>
    </w:r>
  </w:p>
  <w:p w:rsidR="0041210D" w:rsidRDefault="0041210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0D" w:rsidRDefault="00FE54B6">
    <w:pPr>
      <w:pStyle w:val="a7"/>
      <w:framePr w:wrap="around" w:vAnchor="text" w:hAnchor="margin" w:xAlign="right" w:y="1"/>
      <w:rPr>
        <w:rStyle w:val="ad"/>
      </w:rPr>
    </w:pPr>
    <w:r>
      <w:rPr>
        <w:rStyle w:val="ad"/>
        <w:rFonts w:hint="eastAsia"/>
      </w:rPr>
      <w:t xml:space="preserve"> </w:t>
    </w:r>
  </w:p>
  <w:p w:rsidR="0041210D" w:rsidRDefault="00FE54B6">
    <w:pPr>
      <w:pStyle w:val="a7"/>
      <w:ind w:right="360"/>
      <w:jc w:val="center"/>
    </w:pPr>
    <w:r>
      <w:rPr>
        <w:rFonts w:hint="eastAsia"/>
      </w:rPr>
      <w:t>第</w:t>
    </w:r>
    <w:r>
      <w:rPr>
        <w:rFonts w:hint="eastAsia"/>
      </w:rPr>
      <w:t xml:space="preserve"> </w:t>
    </w:r>
    <w:r w:rsidR="00063003">
      <w:fldChar w:fldCharType="begin"/>
    </w:r>
    <w:r>
      <w:instrText xml:space="preserve"> PAGE   \* MERGEFORMAT </w:instrText>
    </w:r>
    <w:r w:rsidR="00063003">
      <w:fldChar w:fldCharType="separate"/>
    </w:r>
    <w:r w:rsidR="00D43149">
      <w:rPr>
        <w:noProof/>
      </w:rPr>
      <w:t>2</w:t>
    </w:r>
    <w:r w:rsidR="00063003">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D43149">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76" w:rsidRDefault="00793A76">
      <w:r>
        <w:separator/>
      </w:r>
    </w:p>
  </w:footnote>
  <w:footnote w:type="continuationSeparator" w:id="0">
    <w:p w:rsidR="00793A76" w:rsidRDefault="00793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0D" w:rsidRDefault="00FE54B6">
    <w:pPr>
      <w:pStyle w:val="a8"/>
      <w:jc w:val="right"/>
    </w:pPr>
    <w:r>
      <w:rPr>
        <w:rFonts w:hint="eastAsia"/>
      </w:rPr>
      <w:t>中融量化智选混合型证券投资基金清算报告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3FC2"/>
    <w:multiLevelType w:val="multilevel"/>
    <w:tmpl w:val="32603FC2"/>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YyOTE1ZmUwMDhhMzhlMTJiOWZiZTYwNTg0NjYyMTQifQ=="/>
  </w:docVars>
  <w:rsids>
    <w:rsidRoot w:val="00172A27"/>
    <w:rsid w:val="00001321"/>
    <w:rsid w:val="000019EB"/>
    <w:rsid w:val="00001E6F"/>
    <w:rsid w:val="000046B4"/>
    <w:rsid w:val="00006894"/>
    <w:rsid w:val="000073C8"/>
    <w:rsid w:val="000075DC"/>
    <w:rsid w:val="000103D3"/>
    <w:rsid w:val="000141BF"/>
    <w:rsid w:val="00014E8C"/>
    <w:rsid w:val="00015F1B"/>
    <w:rsid w:val="00016F75"/>
    <w:rsid w:val="00017F2D"/>
    <w:rsid w:val="00022A2A"/>
    <w:rsid w:val="00024455"/>
    <w:rsid w:val="00024AF3"/>
    <w:rsid w:val="0002636F"/>
    <w:rsid w:val="00027CB4"/>
    <w:rsid w:val="0003100C"/>
    <w:rsid w:val="00032AC3"/>
    <w:rsid w:val="0003517D"/>
    <w:rsid w:val="00036957"/>
    <w:rsid w:val="00036E02"/>
    <w:rsid w:val="000375C5"/>
    <w:rsid w:val="0004007E"/>
    <w:rsid w:val="0004593E"/>
    <w:rsid w:val="0004657E"/>
    <w:rsid w:val="00047008"/>
    <w:rsid w:val="00050386"/>
    <w:rsid w:val="00054F20"/>
    <w:rsid w:val="00055300"/>
    <w:rsid w:val="0005533C"/>
    <w:rsid w:val="00056621"/>
    <w:rsid w:val="00056F31"/>
    <w:rsid w:val="000575F3"/>
    <w:rsid w:val="00063003"/>
    <w:rsid w:val="000643C9"/>
    <w:rsid w:val="00066479"/>
    <w:rsid w:val="000670DA"/>
    <w:rsid w:val="00067E33"/>
    <w:rsid w:val="00070E69"/>
    <w:rsid w:val="00072473"/>
    <w:rsid w:val="000762DA"/>
    <w:rsid w:val="00076810"/>
    <w:rsid w:val="000773BB"/>
    <w:rsid w:val="00084872"/>
    <w:rsid w:val="00090A99"/>
    <w:rsid w:val="00096514"/>
    <w:rsid w:val="00096C84"/>
    <w:rsid w:val="00097916"/>
    <w:rsid w:val="00097B69"/>
    <w:rsid w:val="000A044F"/>
    <w:rsid w:val="000A1498"/>
    <w:rsid w:val="000A4753"/>
    <w:rsid w:val="000A6781"/>
    <w:rsid w:val="000B0EB6"/>
    <w:rsid w:val="000B41CA"/>
    <w:rsid w:val="000B555B"/>
    <w:rsid w:val="000B5709"/>
    <w:rsid w:val="000B6C22"/>
    <w:rsid w:val="000C26C1"/>
    <w:rsid w:val="000C39AD"/>
    <w:rsid w:val="000C49B8"/>
    <w:rsid w:val="000C4FE3"/>
    <w:rsid w:val="000C629F"/>
    <w:rsid w:val="000C72CC"/>
    <w:rsid w:val="000D067D"/>
    <w:rsid w:val="000D0A7E"/>
    <w:rsid w:val="000D1052"/>
    <w:rsid w:val="000D1D68"/>
    <w:rsid w:val="000D41A6"/>
    <w:rsid w:val="000D4DCB"/>
    <w:rsid w:val="000D56AD"/>
    <w:rsid w:val="000D669C"/>
    <w:rsid w:val="000D6714"/>
    <w:rsid w:val="000E0F19"/>
    <w:rsid w:val="000E2342"/>
    <w:rsid w:val="000E3369"/>
    <w:rsid w:val="000E33EB"/>
    <w:rsid w:val="000E60E5"/>
    <w:rsid w:val="000E6BA4"/>
    <w:rsid w:val="000F081C"/>
    <w:rsid w:val="000F261E"/>
    <w:rsid w:val="000F28EB"/>
    <w:rsid w:val="000F3FF6"/>
    <w:rsid w:val="000F42C2"/>
    <w:rsid w:val="000F5187"/>
    <w:rsid w:val="000F6F05"/>
    <w:rsid w:val="000F716F"/>
    <w:rsid w:val="000F71D2"/>
    <w:rsid w:val="001011E1"/>
    <w:rsid w:val="00101C1D"/>
    <w:rsid w:val="00103465"/>
    <w:rsid w:val="00104518"/>
    <w:rsid w:val="00104D1B"/>
    <w:rsid w:val="00104EF7"/>
    <w:rsid w:val="00106823"/>
    <w:rsid w:val="00110436"/>
    <w:rsid w:val="001110CC"/>
    <w:rsid w:val="00112670"/>
    <w:rsid w:val="00113458"/>
    <w:rsid w:val="00113C96"/>
    <w:rsid w:val="00114B84"/>
    <w:rsid w:val="001154E7"/>
    <w:rsid w:val="00115B5B"/>
    <w:rsid w:val="00116E24"/>
    <w:rsid w:val="00117211"/>
    <w:rsid w:val="0011725E"/>
    <w:rsid w:val="001178ED"/>
    <w:rsid w:val="00117DD5"/>
    <w:rsid w:val="0012369A"/>
    <w:rsid w:val="00124A10"/>
    <w:rsid w:val="00127CF5"/>
    <w:rsid w:val="00133C2E"/>
    <w:rsid w:val="00133EDB"/>
    <w:rsid w:val="00137141"/>
    <w:rsid w:val="00141B32"/>
    <w:rsid w:val="001431E6"/>
    <w:rsid w:val="0014423D"/>
    <w:rsid w:val="00146E97"/>
    <w:rsid w:val="00147039"/>
    <w:rsid w:val="0015118C"/>
    <w:rsid w:val="0015235F"/>
    <w:rsid w:val="00152715"/>
    <w:rsid w:val="00153050"/>
    <w:rsid w:val="00156B9E"/>
    <w:rsid w:val="0015720A"/>
    <w:rsid w:val="00161AC7"/>
    <w:rsid w:val="00164887"/>
    <w:rsid w:val="00165F7F"/>
    <w:rsid w:val="00167357"/>
    <w:rsid w:val="00167783"/>
    <w:rsid w:val="00172A27"/>
    <w:rsid w:val="00173107"/>
    <w:rsid w:val="001732E2"/>
    <w:rsid w:val="00175D2F"/>
    <w:rsid w:val="00175F4A"/>
    <w:rsid w:val="0017687A"/>
    <w:rsid w:val="001772A2"/>
    <w:rsid w:val="0017732D"/>
    <w:rsid w:val="00177FAB"/>
    <w:rsid w:val="00177FDE"/>
    <w:rsid w:val="001804D5"/>
    <w:rsid w:val="00181328"/>
    <w:rsid w:val="00182E28"/>
    <w:rsid w:val="00182F97"/>
    <w:rsid w:val="00182F99"/>
    <w:rsid w:val="00187983"/>
    <w:rsid w:val="00194594"/>
    <w:rsid w:val="00194702"/>
    <w:rsid w:val="00195945"/>
    <w:rsid w:val="00196496"/>
    <w:rsid w:val="001A1855"/>
    <w:rsid w:val="001A283A"/>
    <w:rsid w:val="001A3E19"/>
    <w:rsid w:val="001A4109"/>
    <w:rsid w:val="001A51BA"/>
    <w:rsid w:val="001A6BCC"/>
    <w:rsid w:val="001A79B6"/>
    <w:rsid w:val="001B00AC"/>
    <w:rsid w:val="001B385F"/>
    <w:rsid w:val="001B4517"/>
    <w:rsid w:val="001B4A5D"/>
    <w:rsid w:val="001B4BC2"/>
    <w:rsid w:val="001B4CF7"/>
    <w:rsid w:val="001B7CAC"/>
    <w:rsid w:val="001B7D3A"/>
    <w:rsid w:val="001C0527"/>
    <w:rsid w:val="001C1549"/>
    <w:rsid w:val="001C1983"/>
    <w:rsid w:val="001C2FDE"/>
    <w:rsid w:val="001C53F7"/>
    <w:rsid w:val="001C6B11"/>
    <w:rsid w:val="001D0328"/>
    <w:rsid w:val="001D2C13"/>
    <w:rsid w:val="001D5DC1"/>
    <w:rsid w:val="001D6188"/>
    <w:rsid w:val="001E01B6"/>
    <w:rsid w:val="001E1648"/>
    <w:rsid w:val="001E1975"/>
    <w:rsid w:val="001E1F12"/>
    <w:rsid w:val="001E20B3"/>
    <w:rsid w:val="001E2BD1"/>
    <w:rsid w:val="001E30D6"/>
    <w:rsid w:val="001E382C"/>
    <w:rsid w:val="001E4751"/>
    <w:rsid w:val="001F109F"/>
    <w:rsid w:val="001F1202"/>
    <w:rsid w:val="001F2070"/>
    <w:rsid w:val="001F35EC"/>
    <w:rsid w:val="001F4182"/>
    <w:rsid w:val="001F4E84"/>
    <w:rsid w:val="001F5BF8"/>
    <w:rsid w:val="001F66F4"/>
    <w:rsid w:val="001F6A03"/>
    <w:rsid w:val="001F71F8"/>
    <w:rsid w:val="00200343"/>
    <w:rsid w:val="002009C7"/>
    <w:rsid w:val="00200D45"/>
    <w:rsid w:val="00201E44"/>
    <w:rsid w:val="002020F7"/>
    <w:rsid w:val="00203F7F"/>
    <w:rsid w:val="00206074"/>
    <w:rsid w:val="00206C8F"/>
    <w:rsid w:val="00210D62"/>
    <w:rsid w:val="00211B21"/>
    <w:rsid w:val="002141A9"/>
    <w:rsid w:val="00215ADE"/>
    <w:rsid w:val="00216008"/>
    <w:rsid w:val="00220AE1"/>
    <w:rsid w:val="00220C24"/>
    <w:rsid w:val="002214DD"/>
    <w:rsid w:val="002218B6"/>
    <w:rsid w:val="00222C16"/>
    <w:rsid w:val="00223AB2"/>
    <w:rsid w:val="00224627"/>
    <w:rsid w:val="002249F0"/>
    <w:rsid w:val="0022535A"/>
    <w:rsid w:val="00225A98"/>
    <w:rsid w:val="00227994"/>
    <w:rsid w:val="00227ADD"/>
    <w:rsid w:val="00227E1A"/>
    <w:rsid w:val="00227FBD"/>
    <w:rsid w:val="00230B33"/>
    <w:rsid w:val="00230EAC"/>
    <w:rsid w:val="00234119"/>
    <w:rsid w:val="00234686"/>
    <w:rsid w:val="00235C6A"/>
    <w:rsid w:val="0023768F"/>
    <w:rsid w:val="00237F24"/>
    <w:rsid w:val="00241FB7"/>
    <w:rsid w:val="00243270"/>
    <w:rsid w:val="002438FE"/>
    <w:rsid w:val="00243C6D"/>
    <w:rsid w:val="00255A43"/>
    <w:rsid w:val="002563DB"/>
    <w:rsid w:val="00267C4A"/>
    <w:rsid w:val="002704BA"/>
    <w:rsid w:val="00272824"/>
    <w:rsid w:val="00273956"/>
    <w:rsid w:val="00275C9C"/>
    <w:rsid w:val="002802A5"/>
    <w:rsid w:val="0028045A"/>
    <w:rsid w:val="00281075"/>
    <w:rsid w:val="00281649"/>
    <w:rsid w:val="002842FF"/>
    <w:rsid w:val="00284E61"/>
    <w:rsid w:val="00285317"/>
    <w:rsid w:val="002859B1"/>
    <w:rsid w:val="00290CA6"/>
    <w:rsid w:val="00292363"/>
    <w:rsid w:val="00294961"/>
    <w:rsid w:val="002951A4"/>
    <w:rsid w:val="002956B2"/>
    <w:rsid w:val="00297A0C"/>
    <w:rsid w:val="002A052D"/>
    <w:rsid w:val="002A0F8A"/>
    <w:rsid w:val="002A10D0"/>
    <w:rsid w:val="002A1188"/>
    <w:rsid w:val="002A1981"/>
    <w:rsid w:val="002A2FB5"/>
    <w:rsid w:val="002A39B0"/>
    <w:rsid w:val="002A646B"/>
    <w:rsid w:val="002A671A"/>
    <w:rsid w:val="002A7C46"/>
    <w:rsid w:val="002B1101"/>
    <w:rsid w:val="002B21E0"/>
    <w:rsid w:val="002B280A"/>
    <w:rsid w:val="002C2B9E"/>
    <w:rsid w:val="002C7E48"/>
    <w:rsid w:val="002D2483"/>
    <w:rsid w:val="002D31B0"/>
    <w:rsid w:val="002D5327"/>
    <w:rsid w:val="002D5BDC"/>
    <w:rsid w:val="002D6181"/>
    <w:rsid w:val="002D6C2B"/>
    <w:rsid w:val="002E3886"/>
    <w:rsid w:val="002E5000"/>
    <w:rsid w:val="002E5B60"/>
    <w:rsid w:val="002E63B7"/>
    <w:rsid w:val="002E7956"/>
    <w:rsid w:val="002F084B"/>
    <w:rsid w:val="002F3367"/>
    <w:rsid w:val="002F542E"/>
    <w:rsid w:val="002F5888"/>
    <w:rsid w:val="003015C5"/>
    <w:rsid w:val="0030174D"/>
    <w:rsid w:val="00301FAF"/>
    <w:rsid w:val="003055E6"/>
    <w:rsid w:val="00306BE2"/>
    <w:rsid w:val="00307736"/>
    <w:rsid w:val="00310617"/>
    <w:rsid w:val="00311284"/>
    <w:rsid w:val="003112E9"/>
    <w:rsid w:val="00312875"/>
    <w:rsid w:val="003145BC"/>
    <w:rsid w:val="00315564"/>
    <w:rsid w:val="0031688E"/>
    <w:rsid w:val="00320F90"/>
    <w:rsid w:val="003218A6"/>
    <w:rsid w:val="00323105"/>
    <w:rsid w:val="0032474A"/>
    <w:rsid w:val="00325AE5"/>
    <w:rsid w:val="00326265"/>
    <w:rsid w:val="00327E49"/>
    <w:rsid w:val="00330710"/>
    <w:rsid w:val="00331006"/>
    <w:rsid w:val="003311AC"/>
    <w:rsid w:val="00335F50"/>
    <w:rsid w:val="00342000"/>
    <w:rsid w:val="00342915"/>
    <w:rsid w:val="0034300F"/>
    <w:rsid w:val="0034412B"/>
    <w:rsid w:val="003446DC"/>
    <w:rsid w:val="00345E69"/>
    <w:rsid w:val="00347E27"/>
    <w:rsid w:val="0035388E"/>
    <w:rsid w:val="003557F9"/>
    <w:rsid w:val="003627AD"/>
    <w:rsid w:val="00363414"/>
    <w:rsid w:val="00363505"/>
    <w:rsid w:val="00370F19"/>
    <w:rsid w:val="00375245"/>
    <w:rsid w:val="0037558F"/>
    <w:rsid w:val="003761D0"/>
    <w:rsid w:val="003761E0"/>
    <w:rsid w:val="00376753"/>
    <w:rsid w:val="003772C7"/>
    <w:rsid w:val="0038064C"/>
    <w:rsid w:val="0038097B"/>
    <w:rsid w:val="003809C2"/>
    <w:rsid w:val="00381F71"/>
    <w:rsid w:val="00382394"/>
    <w:rsid w:val="00383E92"/>
    <w:rsid w:val="003855C8"/>
    <w:rsid w:val="00386C2C"/>
    <w:rsid w:val="00387140"/>
    <w:rsid w:val="00387F04"/>
    <w:rsid w:val="00390871"/>
    <w:rsid w:val="00390FDB"/>
    <w:rsid w:val="00397BD8"/>
    <w:rsid w:val="003A3050"/>
    <w:rsid w:val="003A3E9A"/>
    <w:rsid w:val="003A57CC"/>
    <w:rsid w:val="003A6995"/>
    <w:rsid w:val="003A69E8"/>
    <w:rsid w:val="003A6D6E"/>
    <w:rsid w:val="003B1227"/>
    <w:rsid w:val="003B193E"/>
    <w:rsid w:val="003B3460"/>
    <w:rsid w:val="003B3C26"/>
    <w:rsid w:val="003B3C68"/>
    <w:rsid w:val="003B7262"/>
    <w:rsid w:val="003C0646"/>
    <w:rsid w:val="003C112C"/>
    <w:rsid w:val="003C2466"/>
    <w:rsid w:val="003C283E"/>
    <w:rsid w:val="003C5D2F"/>
    <w:rsid w:val="003C5E24"/>
    <w:rsid w:val="003C5F4B"/>
    <w:rsid w:val="003C6CE0"/>
    <w:rsid w:val="003C7EAF"/>
    <w:rsid w:val="003D4330"/>
    <w:rsid w:val="003D6CF5"/>
    <w:rsid w:val="003D7BEA"/>
    <w:rsid w:val="003E0644"/>
    <w:rsid w:val="003E0672"/>
    <w:rsid w:val="003E06B5"/>
    <w:rsid w:val="003E13E0"/>
    <w:rsid w:val="003E147F"/>
    <w:rsid w:val="003E29E2"/>
    <w:rsid w:val="003E3702"/>
    <w:rsid w:val="003E501C"/>
    <w:rsid w:val="003E6112"/>
    <w:rsid w:val="003E762D"/>
    <w:rsid w:val="003F0EA3"/>
    <w:rsid w:val="003F185D"/>
    <w:rsid w:val="003F3ACE"/>
    <w:rsid w:val="003F3CC3"/>
    <w:rsid w:val="003F46F5"/>
    <w:rsid w:val="003F4A8A"/>
    <w:rsid w:val="003F4B5E"/>
    <w:rsid w:val="003F574C"/>
    <w:rsid w:val="003F57D7"/>
    <w:rsid w:val="003F585B"/>
    <w:rsid w:val="003F6A8E"/>
    <w:rsid w:val="003F6D1D"/>
    <w:rsid w:val="003F7D58"/>
    <w:rsid w:val="00400A41"/>
    <w:rsid w:val="0040108A"/>
    <w:rsid w:val="00402A1B"/>
    <w:rsid w:val="00404C97"/>
    <w:rsid w:val="00405EB1"/>
    <w:rsid w:val="00406A08"/>
    <w:rsid w:val="004072FB"/>
    <w:rsid w:val="0040739C"/>
    <w:rsid w:val="00407B3D"/>
    <w:rsid w:val="00407DBB"/>
    <w:rsid w:val="004105A2"/>
    <w:rsid w:val="0041060E"/>
    <w:rsid w:val="00411275"/>
    <w:rsid w:val="00411C7F"/>
    <w:rsid w:val="0041210D"/>
    <w:rsid w:val="004127E4"/>
    <w:rsid w:val="00412EFB"/>
    <w:rsid w:val="00413601"/>
    <w:rsid w:val="00413B87"/>
    <w:rsid w:val="00414A80"/>
    <w:rsid w:val="00414E64"/>
    <w:rsid w:val="00414F54"/>
    <w:rsid w:val="004150E7"/>
    <w:rsid w:val="00415825"/>
    <w:rsid w:val="00416A66"/>
    <w:rsid w:val="00420242"/>
    <w:rsid w:val="004215DC"/>
    <w:rsid w:val="004221A5"/>
    <w:rsid w:val="00422CE3"/>
    <w:rsid w:val="00423149"/>
    <w:rsid w:val="0042331C"/>
    <w:rsid w:val="00424124"/>
    <w:rsid w:val="00425F39"/>
    <w:rsid w:val="004273DA"/>
    <w:rsid w:val="00427DA2"/>
    <w:rsid w:val="00427E31"/>
    <w:rsid w:val="0043060F"/>
    <w:rsid w:val="00431403"/>
    <w:rsid w:val="00431CD2"/>
    <w:rsid w:val="00431DA0"/>
    <w:rsid w:val="00432A2B"/>
    <w:rsid w:val="00432CA5"/>
    <w:rsid w:val="00434276"/>
    <w:rsid w:val="00434CC5"/>
    <w:rsid w:val="00435DC3"/>
    <w:rsid w:val="004441C4"/>
    <w:rsid w:val="004465F3"/>
    <w:rsid w:val="00447CF8"/>
    <w:rsid w:val="0045012D"/>
    <w:rsid w:val="00451512"/>
    <w:rsid w:val="0045212B"/>
    <w:rsid w:val="00455D4C"/>
    <w:rsid w:val="00460F7F"/>
    <w:rsid w:val="00462B08"/>
    <w:rsid w:val="00462FBF"/>
    <w:rsid w:val="00463202"/>
    <w:rsid w:val="004638F8"/>
    <w:rsid w:val="0046391D"/>
    <w:rsid w:val="00464747"/>
    <w:rsid w:val="00467D84"/>
    <w:rsid w:val="00470523"/>
    <w:rsid w:val="004720AA"/>
    <w:rsid w:val="00473FF4"/>
    <w:rsid w:val="004826A0"/>
    <w:rsid w:val="004836ED"/>
    <w:rsid w:val="004849C6"/>
    <w:rsid w:val="00484E31"/>
    <w:rsid w:val="004856B7"/>
    <w:rsid w:val="004859A0"/>
    <w:rsid w:val="00485C8D"/>
    <w:rsid w:val="0049057B"/>
    <w:rsid w:val="004912BB"/>
    <w:rsid w:val="004914C8"/>
    <w:rsid w:val="00491767"/>
    <w:rsid w:val="00492061"/>
    <w:rsid w:val="004925C0"/>
    <w:rsid w:val="00493DC0"/>
    <w:rsid w:val="00495166"/>
    <w:rsid w:val="00495A94"/>
    <w:rsid w:val="00497D08"/>
    <w:rsid w:val="004A0872"/>
    <w:rsid w:val="004A0B4E"/>
    <w:rsid w:val="004A2547"/>
    <w:rsid w:val="004A2B3E"/>
    <w:rsid w:val="004A2CB5"/>
    <w:rsid w:val="004A7E78"/>
    <w:rsid w:val="004B1D77"/>
    <w:rsid w:val="004C17C0"/>
    <w:rsid w:val="004C201F"/>
    <w:rsid w:val="004C2CED"/>
    <w:rsid w:val="004C3385"/>
    <w:rsid w:val="004C634A"/>
    <w:rsid w:val="004D09A6"/>
    <w:rsid w:val="004D2696"/>
    <w:rsid w:val="004D3308"/>
    <w:rsid w:val="004D3431"/>
    <w:rsid w:val="004D3581"/>
    <w:rsid w:val="004D4582"/>
    <w:rsid w:val="004D680A"/>
    <w:rsid w:val="004D6D86"/>
    <w:rsid w:val="004D7C20"/>
    <w:rsid w:val="004E115B"/>
    <w:rsid w:val="004E1442"/>
    <w:rsid w:val="004E1919"/>
    <w:rsid w:val="004E1F98"/>
    <w:rsid w:val="004E4E0D"/>
    <w:rsid w:val="004E594D"/>
    <w:rsid w:val="004E6250"/>
    <w:rsid w:val="004E73BC"/>
    <w:rsid w:val="004F072A"/>
    <w:rsid w:val="004F53A5"/>
    <w:rsid w:val="004F589A"/>
    <w:rsid w:val="004F6681"/>
    <w:rsid w:val="004F6953"/>
    <w:rsid w:val="004F6E93"/>
    <w:rsid w:val="004F7F4D"/>
    <w:rsid w:val="00501206"/>
    <w:rsid w:val="005017A8"/>
    <w:rsid w:val="00502E92"/>
    <w:rsid w:val="00505A81"/>
    <w:rsid w:val="005126C2"/>
    <w:rsid w:val="00512812"/>
    <w:rsid w:val="005160B9"/>
    <w:rsid w:val="0051669E"/>
    <w:rsid w:val="005207A0"/>
    <w:rsid w:val="00521D07"/>
    <w:rsid w:val="00523130"/>
    <w:rsid w:val="005242F8"/>
    <w:rsid w:val="0052504C"/>
    <w:rsid w:val="00527311"/>
    <w:rsid w:val="005307FA"/>
    <w:rsid w:val="0053124C"/>
    <w:rsid w:val="00531267"/>
    <w:rsid w:val="005322DB"/>
    <w:rsid w:val="005329A8"/>
    <w:rsid w:val="005332D3"/>
    <w:rsid w:val="00534A4B"/>
    <w:rsid w:val="00534A60"/>
    <w:rsid w:val="005354C7"/>
    <w:rsid w:val="00536937"/>
    <w:rsid w:val="0054155A"/>
    <w:rsid w:val="00541C00"/>
    <w:rsid w:val="005429ED"/>
    <w:rsid w:val="0054396E"/>
    <w:rsid w:val="00543E55"/>
    <w:rsid w:val="00544ED0"/>
    <w:rsid w:val="00545A9E"/>
    <w:rsid w:val="00545BDD"/>
    <w:rsid w:val="00545FDD"/>
    <w:rsid w:val="00546CA8"/>
    <w:rsid w:val="00552396"/>
    <w:rsid w:val="005540CC"/>
    <w:rsid w:val="00555082"/>
    <w:rsid w:val="005557DA"/>
    <w:rsid w:val="00556B5F"/>
    <w:rsid w:val="005570B7"/>
    <w:rsid w:val="0055729E"/>
    <w:rsid w:val="005600E6"/>
    <w:rsid w:val="00562F33"/>
    <w:rsid w:val="005636F4"/>
    <w:rsid w:val="00566A8C"/>
    <w:rsid w:val="005672F9"/>
    <w:rsid w:val="00567956"/>
    <w:rsid w:val="005708DA"/>
    <w:rsid w:val="0057250E"/>
    <w:rsid w:val="00572771"/>
    <w:rsid w:val="005734E3"/>
    <w:rsid w:val="00574BE9"/>
    <w:rsid w:val="00576963"/>
    <w:rsid w:val="00580AAD"/>
    <w:rsid w:val="005830E4"/>
    <w:rsid w:val="00587674"/>
    <w:rsid w:val="00592EA5"/>
    <w:rsid w:val="00593296"/>
    <w:rsid w:val="005949C5"/>
    <w:rsid w:val="00594F19"/>
    <w:rsid w:val="00596CFC"/>
    <w:rsid w:val="00596D2B"/>
    <w:rsid w:val="0059708B"/>
    <w:rsid w:val="005970D3"/>
    <w:rsid w:val="005A0BD8"/>
    <w:rsid w:val="005A3217"/>
    <w:rsid w:val="005A3BD4"/>
    <w:rsid w:val="005A3BE4"/>
    <w:rsid w:val="005B07A8"/>
    <w:rsid w:val="005B23E8"/>
    <w:rsid w:val="005B2ED0"/>
    <w:rsid w:val="005B4972"/>
    <w:rsid w:val="005B7AA5"/>
    <w:rsid w:val="005C04AB"/>
    <w:rsid w:val="005C0E6B"/>
    <w:rsid w:val="005C31C0"/>
    <w:rsid w:val="005C3617"/>
    <w:rsid w:val="005C38B4"/>
    <w:rsid w:val="005C3ED7"/>
    <w:rsid w:val="005C4960"/>
    <w:rsid w:val="005C5517"/>
    <w:rsid w:val="005C566B"/>
    <w:rsid w:val="005C6F7E"/>
    <w:rsid w:val="005C7360"/>
    <w:rsid w:val="005D0F01"/>
    <w:rsid w:val="005D1010"/>
    <w:rsid w:val="005D1973"/>
    <w:rsid w:val="005D1E05"/>
    <w:rsid w:val="005D49DE"/>
    <w:rsid w:val="005D4BE9"/>
    <w:rsid w:val="005D5406"/>
    <w:rsid w:val="005D62C2"/>
    <w:rsid w:val="005E0421"/>
    <w:rsid w:val="005E0672"/>
    <w:rsid w:val="005E0F60"/>
    <w:rsid w:val="005E49FF"/>
    <w:rsid w:val="005E4A08"/>
    <w:rsid w:val="005E61EF"/>
    <w:rsid w:val="005E71C6"/>
    <w:rsid w:val="005E7987"/>
    <w:rsid w:val="005F0F59"/>
    <w:rsid w:val="005F0F60"/>
    <w:rsid w:val="005F15AA"/>
    <w:rsid w:val="005F2EA0"/>
    <w:rsid w:val="005F4C21"/>
    <w:rsid w:val="005F76F6"/>
    <w:rsid w:val="006004AB"/>
    <w:rsid w:val="00600E53"/>
    <w:rsid w:val="0060334D"/>
    <w:rsid w:val="00603F6B"/>
    <w:rsid w:val="0060524A"/>
    <w:rsid w:val="0060785E"/>
    <w:rsid w:val="00607C8B"/>
    <w:rsid w:val="00607F66"/>
    <w:rsid w:val="006102EB"/>
    <w:rsid w:val="006116E0"/>
    <w:rsid w:val="0061201B"/>
    <w:rsid w:val="00613075"/>
    <w:rsid w:val="0061594C"/>
    <w:rsid w:val="00615F37"/>
    <w:rsid w:val="0062072A"/>
    <w:rsid w:val="00621220"/>
    <w:rsid w:val="00622F1D"/>
    <w:rsid w:val="0062490E"/>
    <w:rsid w:val="00624DC7"/>
    <w:rsid w:val="00626C9C"/>
    <w:rsid w:val="00631FE2"/>
    <w:rsid w:val="00634127"/>
    <w:rsid w:val="00634C66"/>
    <w:rsid w:val="0063616B"/>
    <w:rsid w:val="006361A5"/>
    <w:rsid w:val="006376EB"/>
    <w:rsid w:val="00637E11"/>
    <w:rsid w:val="006451C5"/>
    <w:rsid w:val="0065199D"/>
    <w:rsid w:val="006521B3"/>
    <w:rsid w:val="00654648"/>
    <w:rsid w:val="00654EBC"/>
    <w:rsid w:val="0065640A"/>
    <w:rsid w:val="006568A6"/>
    <w:rsid w:val="00660A2F"/>
    <w:rsid w:val="00660B5F"/>
    <w:rsid w:val="0066413C"/>
    <w:rsid w:val="006650A2"/>
    <w:rsid w:val="00672AFB"/>
    <w:rsid w:val="006739F3"/>
    <w:rsid w:val="006740EE"/>
    <w:rsid w:val="00676084"/>
    <w:rsid w:val="006777F5"/>
    <w:rsid w:val="00677C79"/>
    <w:rsid w:val="00680BCB"/>
    <w:rsid w:val="00682DAE"/>
    <w:rsid w:val="00693063"/>
    <w:rsid w:val="00693216"/>
    <w:rsid w:val="00694340"/>
    <w:rsid w:val="00697377"/>
    <w:rsid w:val="00697D80"/>
    <w:rsid w:val="006A014B"/>
    <w:rsid w:val="006A0A35"/>
    <w:rsid w:val="006A1CCC"/>
    <w:rsid w:val="006A24C2"/>
    <w:rsid w:val="006A6A68"/>
    <w:rsid w:val="006A6CC5"/>
    <w:rsid w:val="006A7579"/>
    <w:rsid w:val="006A7C8F"/>
    <w:rsid w:val="006B31D6"/>
    <w:rsid w:val="006B369D"/>
    <w:rsid w:val="006B3DF1"/>
    <w:rsid w:val="006B5CDD"/>
    <w:rsid w:val="006B6F11"/>
    <w:rsid w:val="006B797E"/>
    <w:rsid w:val="006C0940"/>
    <w:rsid w:val="006C0CD3"/>
    <w:rsid w:val="006C2DC5"/>
    <w:rsid w:val="006C2E89"/>
    <w:rsid w:val="006C348F"/>
    <w:rsid w:val="006C4080"/>
    <w:rsid w:val="006C557F"/>
    <w:rsid w:val="006C6499"/>
    <w:rsid w:val="006D01C6"/>
    <w:rsid w:val="006D020F"/>
    <w:rsid w:val="006D1600"/>
    <w:rsid w:val="006D1EC0"/>
    <w:rsid w:val="006D25F4"/>
    <w:rsid w:val="006D39CE"/>
    <w:rsid w:val="006D54FC"/>
    <w:rsid w:val="006D58FA"/>
    <w:rsid w:val="006E025E"/>
    <w:rsid w:val="006E08E9"/>
    <w:rsid w:val="006E3750"/>
    <w:rsid w:val="006E379D"/>
    <w:rsid w:val="006E3D73"/>
    <w:rsid w:val="006E508F"/>
    <w:rsid w:val="006E50B1"/>
    <w:rsid w:val="006E623B"/>
    <w:rsid w:val="006E6CA9"/>
    <w:rsid w:val="006E722F"/>
    <w:rsid w:val="006F0130"/>
    <w:rsid w:val="006F27F8"/>
    <w:rsid w:val="006F2A14"/>
    <w:rsid w:val="006F43F5"/>
    <w:rsid w:val="006F49D7"/>
    <w:rsid w:val="006F71B0"/>
    <w:rsid w:val="006F77A8"/>
    <w:rsid w:val="006F792D"/>
    <w:rsid w:val="006F7F82"/>
    <w:rsid w:val="00700C2D"/>
    <w:rsid w:val="0070202E"/>
    <w:rsid w:val="007066C9"/>
    <w:rsid w:val="007066CE"/>
    <w:rsid w:val="0070723F"/>
    <w:rsid w:val="00707A47"/>
    <w:rsid w:val="00710E32"/>
    <w:rsid w:val="00712F09"/>
    <w:rsid w:val="007155F4"/>
    <w:rsid w:val="00716330"/>
    <w:rsid w:val="007200F7"/>
    <w:rsid w:val="007202E1"/>
    <w:rsid w:val="00722128"/>
    <w:rsid w:val="00722F93"/>
    <w:rsid w:val="00723615"/>
    <w:rsid w:val="00725EA5"/>
    <w:rsid w:val="007270CF"/>
    <w:rsid w:val="007319EA"/>
    <w:rsid w:val="00731E5A"/>
    <w:rsid w:val="0073245A"/>
    <w:rsid w:val="007331A7"/>
    <w:rsid w:val="007342A1"/>
    <w:rsid w:val="007343E7"/>
    <w:rsid w:val="00735895"/>
    <w:rsid w:val="00735B9C"/>
    <w:rsid w:val="00736011"/>
    <w:rsid w:val="00737DD5"/>
    <w:rsid w:val="0074120A"/>
    <w:rsid w:val="00741422"/>
    <w:rsid w:val="00741469"/>
    <w:rsid w:val="00741691"/>
    <w:rsid w:val="00741A5A"/>
    <w:rsid w:val="00741FC2"/>
    <w:rsid w:val="007420EC"/>
    <w:rsid w:val="007427BE"/>
    <w:rsid w:val="00750679"/>
    <w:rsid w:val="007519F3"/>
    <w:rsid w:val="00753997"/>
    <w:rsid w:val="00753E54"/>
    <w:rsid w:val="00754357"/>
    <w:rsid w:val="0075648A"/>
    <w:rsid w:val="00756902"/>
    <w:rsid w:val="00757049"/>
    <w:rsid w:val="007575B3"/>
    <w:rsid w:val="007617A5"/>
    <w:rsid w:val="0076227D"/>
    <w:rsid w:val="0076487C"/>
    <w:rsid w:val="00765C86"/>
    <w:rsid w:val="0076610B"/>
    <w:rsid w:val="00766ED7"/>
    <w:rsid w:val="00770CF3"/>
    <w:rsid w:val="0077133B"/>
    <w:rsid w:val="00771533"/>
    <w:rsid w:val="007731E5"/>
    <w:rsid w:val="0077336D"/>
    <w:rsid w:val="007736A5"/>
    <w:rsid w:val="0077374E"/>
    <w:rsid w:val="00774CFF"/>
    <w:rsid w:val="00774E02"/>
    <w:rsid w:val="00774E9F"/>
    <w:rsid w:val="0077562F"/>
    <w:rsid w:val="00775B67"/>
    <w:rsid w:val="007763BE"/>
    <w:rsid w:val="007808E0"/>
    <w:rsid w:val="00780A6D"/>
    <w:rsid w:val="007812CC"/>
    <w:rsid w:val="00782D6B"/>
    <w:rsid w:val="00783921"/>
    <w:rsid w:val="0078712B"/>
    <w:rsid w:val="0079175F"/>
    <w:rsid w:val="00792701"/>
    <w:rsid w:val="00793A76"/>
    <w:rsid w:val="00794A4A"/>
    <w:rsid w:val="00795E52"/>
    <w:rsid w:val="00796412"/>
    <w:rsid w:val="00797518"/>
    <w:rsid w:val="007A0940"/>
    <w:rsid w:val="007A1A96"/>
    <w:rsid w:val="007A3A84"/>
    <w:rsid w:val="007A3F6E"/>
    <w:rsid w:val="007A6273"/>
    <w:rsid w:val="007A6886"/>
    <w:rsid w:val="007B1F64"/>
    <w:rsid w:val="007B22C9"/>
    <w:rsid w:val="007B490A"/>
    <w:rsid w:val="007B7222"/>
    <w:rsid w:val="007C0970"/>
    <w:rsid w:val="007C16EC"/>
    <w:rsid w:val="007C42EE"/>
    <w:rsid w:val="007C6225"/>
    <w:rsid w:val="007C648F"/>
    <w:rsid w:val="007C727E"/>
    <w:rsid w:val="007C7ECB"/>
    <w:rsid w:val="007D1518"/>
    <w:rsid w:val="007D265A"/>
    <w:rsid w:val="007D5B0F"/>
    <w:rsid w:val="007E037B"/>
    <w:rsid w:val="007E0E0A"/>
    <w:rsid w:val="007E3386"/>
    <w:rsid w:val="007E5DB3"/>
    <w:rsid w:val="007E62EE"/>
    <w:rsid w:val="007E6439"/>
    <w:rsid w:val="007E64EE"/>
    <w:rsid w:val="007E7ED6"/>
    <w:rsid w:val="007F061E"/>
    <w:rsid w:val="007F31E1"/>
    <w:rsid w:val="007F37A9"/>
    <w:rsid w:val="007F402A"/>
    <w:rsid w:val="007F5804"/>
    <w:rsid w:val="007F61A2"/>
    <w:rsid w:val="00800BCF"/>
    <w:rsid w:val="00802DF1"/>
    <w:rsid w:val="0080395F"/>
    <w:rsid w:val="00805321"/>
    <w:rsid w:val="00806032"/>
    <w:rsid w:val="00806626"/>
    <w:rsid w:val="00811103"/>
    <w:rsid w:val="00811746"/>
    <w:rsid w:val="00812BCE"/>
    <w:rsid w:val="00815B0C"/>
    <w:rsid w:val="0081655F"/>
    <w:rsid w:val="00820813"/>
    <w:rsid w:val="008208DF"/>
    <w:rsid w:val="00821A4C"/>
    <w:rsid w:val="00822DEB"/>
    <w:rsid w:val="00823DA9"/>
    <w:rsid w:val="00824015"/>
    <w:rsid w:val="0082486C"/>
    <w:rsid w:val="00826669"/>
    <w:rsid w:val="0083329A"/>
    <w:rsid w:val="0083332E"/>
    <w:rsid w:val="0083362D"/>
    <w:rsid w:val="0083388F"/>
    <w:rsid w:val="00833AD5"/>
    <w:rsid w:val="00833D34"/>
    <w:rsid w:val="0083569A"/>
    <w:rsid w:val="00840E44"/>
    <w:rsid w:val="00841D88"/>
    <w:rsid w:val="00842649"/>
    <w:rsid w:val="008439B5"/>
    <w:rsid w:val="00844626"/>
    <w:rsid w:val="00844BE4"/>
    <w:rsid w:val="00846319"/>
    <w:rsid w:val="008514E7"/>
    <w:rsid w:val="008530F7"/>
    <w:rsid w:val="00853BCD"/>
    <w:rsid w:val="00854268"/>
    <w:rsid w:val="00854E3A"/>
    <w:rsid w:val="008573B3"/>
    <w:rsid w:val="00857726"/>
    <w:rsid w:val="00863835"/>
    <w:rsid w:val="00864C19"/>
    <w:rsid w:val="008651F6"/>
    <w:rsid w:val="00870D18"/>
    <w:rsid w:val="00874959"/>
    <w:rsid w:val="00874CBD"/>
    <w:rsid w:val="00876FDC"/>
    <w:rsid w:val="0087793B"/>
    <w:rsid w:val="00880B18"/>
    <w:rsid w:val="00880BF1"/>
    <w:rsid w:val="0088213A"/>
    <w:rsid w:val="00882A57"/>
    <w:rsid w:val="0088303A"/>
    <w:rsid w:val="0088350C"/>
    <w:rsid w:val="00884842"/>
    <w:rsid w:val="00896630"/>
    <w:rsid w:val="00897B4E"/>
    <w:rsid w:val="008A11FA"/>
    <w:rsid w:val="008A135C"/>
    <w:rsid w:val="008A1B81"/>
    <w:rsid w:val="008A1E1F"/>
    <w:rsid w:val="008A24D4"/>
    <w:rsid w:val="008A2C63"/>
    <w:rsid w:val="008A2D48"/>
    <w:rsid w:val="008A38FF"/>
    <w:rsid w:val="008A7C0B"/>
    <w:rsid w:val="008B0B10"/>
    <w:rsid w:val="008B1C1D"/>
    <w:rsid w:val="008B2A59"/>
    <w:rsid w:val="008C1822"/>
    <w:rsid w:val="008C2C9C"/>
    <w:rsid w:val="008C3DD5"/>
    <w:rsid w:val="008C5536"/>
    <w:rsid w:val="008D0825"/>
    <w:rsid w:val="008D0E65"/>
    <w:rsid w:val="008D19A4"/>
    <w:rsid w:val="008D7D9F"/>
    <w:rsid w:val="008E02C6"/>
    <w:rsid w:val="008E1968"/>
    <w:rsid w:val="008E1BA4"/>
    <w:rsid w:val="008E1D30"/>
    <w:rsid w:val="008E1D41"/>
    <w:rsid w:val="008E3CBD"/>
    <w:rsid w:val="008E40A8"/>
    <w:rsid w:val="008E5A45"/>
    <w:rsid w:val="008E5C91"/>
    <w:rsid w:val="008E7FB7"/>
    <w:rsid w:val="008F19D5"/>
    <w:rsid w:val="008F20CD"/>
    <w:rsid w:val="008F6EC0"/>
    <w:rsid w:val="00900B7F"/>
    <w:rsid w:val="009014C1"/>
    <w:rsid w:val="00904966"/>
    <w:rsid w:val="009065AF"/>
    <w:rsid w:val="00906D91"/>
    <w:rsid w:val="009072B9"/>
    <w:rsid w:val="0090758C"/>
    <w:rsid w:val="009079C7"/>
    <w:rsid w:val="00910715"/>
    <w:rsid w:val="009139A9"/>
    <w:rsid w:val="00915AC1"/>
    <w:rsid w:val="0091633F"/>
    <w:rsid w:val="00916D2B"/>
    <w:rsid w:val="00916DE8"/>
    <w:rsid w:val="0092001F"/>
    <w:rsid w:val="00920076"/>
    <w:rsid w:val="009237EB"/>
    <w:rsid w:val="009248A3"/>
    <w:rsid w:val="0092530A"/>
    <w:rsid w:val="009255AA"/>
    <w:rsid w:val="00926256"/>
    <w:rsid w:val="00926732"/>
    <w:rsid w:val="009275DC"/>
    <w:rsid w:val="00927F83"/>
    <w:rsid w:val="00930997"/>
    <w:rsid w:val="00930DD1"/>
    <w:rsid w:val="00933210"/>
    <w:rsid w:val="00933A11"/>
    <w:rsid w:val="009342C5"/>
    <w:rsid w:val="00934317"/>
    <w:rsid w:val="00934CD6"/>
    <w:rsid w:val="00935804"/>
    <w:rsid w:val="00937ED0"/>
    <w:rsid w:val="0094428D"/>
    <w:rsid w:val="00945BAA"/>
    <w:rsid w:val="00946FC6"/>
    <w:rsid w:val="00952217"/>
    <w:rsid w:val="009543C1"/>
    <w:rsid w:val="009548EA"/>
    <w:rsid w:val="009550D0"/>
    <w:rsid w:val="009569B0"/>
    <w:rsid w:val="009570BD"/>
    <w:rsid w:val="00957B04"/>
    <w:rsid w:val="00960761"/>
    <w:rsid w:val="00960F45"/>
    <w:rsid w:val="00963F1F"/>
    <w:rsid w:val="009716E5"/>
    <w:rsid w:val="00971FE7"/>
    <w:rsid w:val="00972DA1"/>
    <w:rsid w:val="00977523"/>
    <w:rsid w:val="009817A5"/>
    <w:rsid w:val="00981F49"/>
    <w:rsid w:val="00982773"/>
    <w:rsid w:val="00985B60"/>
    <w:rsid w:val="0098768E"/>
    <w:rsid w:val="00990546"/>
    <w:rsid w:val="00990685"/>
    <w:rsid w:val="009918B6"/>
    <w:rsid w:val="0099193C"/>
    <w:rsid w:val="00991ADA"/>
    <w:rsid w:val="00995C81"/>
    <w:rsid w:val="009A1ACF"/>
    <w:rsid w:val="009A2CA2"/>
    <w:rsid w:val="009A4ED7"/>
    <w:rsid w:val="009A53AA"/>
    <w:rsid w:val="009B11D0"/>
    <w:rsid w:val="009B1FAD"/>
    <w:rsid w:val="009B224B"/>
    <w:rsid w:val="009B7181"/>
    <w:rsid w:val="009B7F52"/>
    <w:rsid w:val="009C26B8"/>
    <w:rsid w:val="009C6245"/>
    <w:rsid w:val="009C6777"/>
    <w:rsid w:val="009C7359"/>
    <w:rsid w:val="009C7EFB"/>
    <w:rsid w:val="009D4E7A"/>
    <w:rsid w:val="009D5ADC"/>
    <w:rsid w:val="009D6596"/>
    <w:rsid w:val="009D6E3E"/>
    <w:rsid w:val="009E15E1"/>
    <w:rsid w:val="009E30F4"/>
    <w:rsid w:val="009F0A48"/>
    <w:rsid w:val="009F11FD"/>
    <w:rsid w:val="009F2D15"/>
    <w:rsid w:val="009F46EC"/>
    <w:rsid w:val="009F4E12"/>
    <w:rsid w:val="009F64AB"/>
    <w:rsid w:val="00A01FC7"/>
    <w:rsid w:val="00A032A0"/>
    <w:rsid w:val="00A04849"/>
    <w:rsid w:val="00A049E7"/>
    <w:rsid w:val="00A05743"/>
    <w:rsid w:val="00A0658E"/>
    <w:rsid w:val="00A06D08"/>
    <w:rsid w:val="00A10F4A"/>
    <w:rsid w:val="00A11FAD"/>
    <w:rsid w:val="00A13990"/>
    <w:rsid w:val="00A13EFB"/>
    <w:rsid w:val="00A16514"/>
    <w:rsid w:val="00A16D0C"/>
    <w:rsid w:val="00A17C01"/>
    <w:rsid w:val="00A20058"/>
    <w:rsid w:val="00A2367C"/>
    <w:rsid w:val="00A273B5"/>
    <w:rsid w:val="00A273B7"/>
    <w:rsid w:val="00A27C93"/>
    <w:rsid w:val="00A27D99"/>
    <w:rsid w:val="00A31B53"/>
    <w:rsid w:val="00A31CED"/>
    <w:rsid w:val="00A31E34"/>
    <w:rsid w:val="00A327D3"/>
    <w:rsid w:val="00A3349D"/>
    <w:rsid w:val="00A34926"/>
    <w:rsid w:val="00A35589"/>
    <w:rsid w:val="00A360B2"/>
    <w:rsid w:val="00A40953"/>
    <w:rsid w:val="00A409C3"/>
    <w:rsid w:val="00A4110A"/>
    <w:rsid w:val="00A4641B"/>
    <w:rsid w:val="00A47D14"/>
    <w:rsid w:val="00A527B6"/>
    <w:rsid w:val="00A52B06"/>
    <w:rsid w:val="00A54EDB"/>
    <w:rsid w:val="00A5560E"/>
    <w:rsid w:val="00A57BE5"/>
    <w:rsid w:val="00A57D72"/>
    <w:rsid w:val="00A60EF0"/>
    <w:rsid w:val="00A61BE0"/>
    <w:rsid w:val="00A61C19"/>
    <w:rsid w:val="00A61FD9"/>
    <w:rsid w:val="00A62964"/>
    <w:rsid w:val="00A62D38"/>
    <w:rsid w:val="00A633B0"/>
    <w:rsid w:val="00A64582"/>
    <w:rsid w:val="00A67B23"/>
    <w:rsid w:val="00A72DE3"/>
    <w:rsid w:val="00A74825"/>
    <w:rsid w:val="00A80170"/>
    <w:rsid w:val="00A8087C"/>
    <w:rsid w:val="00A80C81"/>
    <w:rsid w:val="00A84F20"/>
    <w:rsid w:val="00A85EAE"/>
    <w:rsid w:val="00A86153"/>
    <w:rsid w:val="00A87AD7"/>
    <w:rsid w:val="00A93075"/>
    <w:rsid w:val="00A935B4"/>
    <w:rsid w:val="00A93A5C"/>
    <w:rsid w:val="00A9495A"/>
    <w:rsid w:val="00A96819"/>
    <w:rsid w:val="00A979BE"/>
    <w:rsid w:val="00AA05A4"/>
    <w:rsid w:val="00AA1808"/>
    <w:rsid w:val="00AA1839"/>
    <w:rsid w:val="00AA23D5"/>
    <w:rsid w:val="00AA4B55"/>
    <w:rsid w:val="00AA587E"/>
    <w:rsid w:val="00AA5984"/>
    <w:rsid w:val="00AA74D5"/>
    <w:rsid w:val="00AA7C0E"/>
    <w:rsid w:val="00AB6761"/>
    <w:rsid w:val="00AC04F2"/>
    <w:rsid w:val="00AC2235"/>
    <w:rsid w:val="00AC22DE"/>
    <w:rsid w:val="00AC2C44"/>
    <w:rsid w:val="00AC2D33"/>
    <w:rsid w:val="00AC2EFD"/>
    <w:rsid w:val="00AC3108"/>
    <w:rsid w:val="00AC35D4"/>
    <w:rsid w:val="00AC36F8"/>
    <w:rsid w:val="00AC4C49"/>
    <w:rsid w:val="00AC6538"/>
    <w:rsid w:val="00AC7F20"/>
    <w:rsid w:val="00AD066A"/>
    <w:rsid w:val="00AD0CC5"/>
    <w:rsid w:val="00AD27DA"/>
    <w:rsid w:val="00AD588A"/>
    <w:rsid w:val="00AD6A75"/>
    <w:rsid w:val="00AE12D1"/>
    <w:rsid w:val="00AE3FB5"/>
    <w:rsid w:val="00AE478A"/>
    <w:rsid w:val="00AE6EDC"/>
    <w:rsid w:val="00AE708D"/>
    <w:rsid w:val="00AE754E"/>
    <w:rsid w:val="00AF0C71"/>
    <w:rsid w:val="00B00752"/>
    <w:rsid w:val="00B014EA"/>
    <w:rsid w:val="00B02289"/>
    <w:rsid w:val="00B0420C"/>
    <w:rsid w:val="00B04AF1"/>
    <w:rsid w:val="00B05331"/>
    <w:rsid w:val="00B06FD3"/>
    <w:rsid w:val="00B10253"/>
    <w:rsid w:val="00B11100"/>
    <w:rsid w:val="00B131F9"/>
    <w:rsid w:val="00B1355B"/>
    <w:rsid w:val="00B149C3"/>
    <w:rsid w:val="00B14CB3"/>
    <w:rsid w:val="00B15166"/>
    <w:rsid w:val="00B15E96"/>
    <w:rsid w:val="00B16337"/>
    <w:rsid w:val="00B165D5"/>
    <w:rsid w:val="00B17013"/>
    <w:rsid w:val="00B221B8"/>
    <w:rsid w:val="00B22567"/>
    <w:rsid w:val="00B23E9A"/>
    <w:rsid w:val="00B24914"/>
    <w:rsid w:val="00B271A2"/>
    <w:rsid w:val="00B27F0E"/>
    <w:rsid w:val="00B33E8D"/>
    <w:rsid w:val="00B35510"/>
    <w:rsid w:val="00B36AF2"/>
    <w:rsid w:val="00B42908"/>
    <w:rsid w:val="00B42CCA"/>
    <w:rsid w:val="00B42F26"/>
    <w:rsid w:val="00B4381F"/>
    <w:rsid w:val="00B43B0C"/>
    <w:rsid w:val="00B43C3A"/>
    <w:rsid w:val="00B43D70"/>
    <w:rsid w:val="00B45C4A"/>
    <w:rsid w:val="00B461F3"/>
    <w:rsid w:val="00B46DC8"/>
    <w:rsid w:val="00B5205A"/>
    <w:rsid w:val="00B56110"/>
    <w:rsid w:val="00B639EA"/>
    <w:rsid w:val="00B6637F"/>
    <w:rsid w:val="00B6682C"/>
    <w:rsid w:val="00B73DB0"/>
    <w:rsid w:val="00B77036"/>
    <w:rsid w:val="00B80AA8"/>
    <w:rsid w:val="00B8224D"/>
    <w:rsid w:val="00B83E4A"/>
    <w:rsid w:val="00B85F6D"/>
    <w:rsid w:val="00B94041"/>
    <w:rsid w:val="00B95E05"/>
    <w:rsid w:val="00B97FE9"/>
    <w:rsid w:val="00BA04D7"/>
    <w:rsid w:val="00BA1127"/>
    <w:rsid w:val="00BA2129"/>
    <w:rsid w:val="00BA4327"/>
    <w:rsid w:val="00BA4340"/>
    <w:rsid w:val="00BA5F32"/>
    <w:rsid w:val="00BA5FB3"/>
    <w:rsid w:val="00BB2EFC"/>
    <w:rsid w:val="00BB2F30"/>
    <w:rsid w:val="00BB388B"/>
    <w:rsid w:val="00BB5B49"/>
    <w:rsid w:val="00BB70A9"/>
    <w:rsid w:val="00BB7463"/>
    <w:rsid w:val="00BB7BAC"/>
    <w:rsid w:val="00BC0715"/>
    <w:rsid w:val="00BC31B3"/>
    <w:rsid w:val="00BC35A1"/>
    <w:rsid w:val="00BC596A"/>
    <w:rsid w:val="00BC6435"/>
    <w:rsid w:val="00BC7342"/>
    <w:rsid w:val="00BD0D4E"/>
    <w:rsid w:val="00BD262E"/>
    <w:rsid w:val="00BD36E7"/>
    <w:rsid w:val="00BD39D3"/>
    <w:rsid w:val="00BE036F"/>
    <w:rsid w:val="00BE169C"/>
    <w:rsid w:val="00BE16F3"/>
    <w:rsid w:val="00BE2EC7"/>
    <w:rsid w:val="00BE3EE5"/>
    <w:rsid w:val="00BE3F61"/>
    <w:rsid w:val="00BE402D"/>
    <w:rsid w:val="00BE5DFD"/>
    <w:rsid w:val="00BF12BC"/>
    <w:rsid w:val="00BF4E7A"/>
    <w:rsid w:val="00BF5FF6"/>
    <w:rsid w:val="00C00141"/>
    <w:rsid w:val="00C00F40"/>
    <w:rsid w:val="00C035E7"/>
    <w:rsid w:val="00C04192"/>
    <w:rsid w:val="00C042AC"/>
    <w:rsid w:val="00C051E1"/>
    <w:rsid w:val="00C1065C"/>
    <w:rsid w:val="00C110C9"/>
    <w:rsid w:val="00C122F9"/>
    <w:rsid w:val="00C17EBB"/>
    <w:rsid w:val="00C20281"/>
    <w:rsid w:val="00C20414"/>
    <w:rsid w:val="00C20C5E"/>
    <w:rsid w:val="00C225FE"/>
    <w:rsid w:val="00C2510D"/>
    <w:rsid w:val="00C302E4"/>
    <w:rsid w:val="00C31931"/>
    <w:rsid w:val="00C32EC7"/>
    <w:rsid w:val="00C32F96"/>
    <w:rsid w:val="00C3355C"/>
    <w:rsid w:val="00C34411"/>
    <w:rsid w:val="00C34F67"/>
    <w:rsid w:val="00C36345"/>
    <w:rsid w:val="00C3700B"/>
    <w:rsid w:val="00C405C2"/>
    <w:rsid w:val="00C43AF4"/>
    <w:rsid w:val="00C44120"/>
    <w:rsid w:val="00C4507E"/>
    <w:rsid w:val="00C50CFC"/>
    <w:rsid w:val="00C5133F"/>
    <w:rsid w:val="00C51782"/>
    <w:rsid w:val="00C52D50"/>
    <w:rsid w:val="00C54B4D"/>
    <w:rsid w:val="00C55611"/>
    <w:rsid w:val="00C57AD8"/>
    <w:rsid w:val="00C607A2"/>
    <w:rsid w:val="00C60EB0"/>
    <w:rsid w:val="00C62066"/>
    <w:rsid w:val="00C63B6C"/>
    <w:rsid w:val="00C64122"/>
    <w:rsid w:val="00C656D6"/>
    <w:rsid w:val="00C671E5"/>
    <w:rsid w:val="00C701C0"/>
    <w:rsid w:val="00C711ED"/>
    <w:rsid w:val="00C76307"/>
    <w:rsid w:val="00C82079"/>
    <w:rsid w:val="00C825AC"/>
    <w:rsid w:val="00C85E16"/>
    <w:rsid w:val="00C86461"/>
    <w:rsid w:val="00C87A9D"/>
    <w:rsid w:val="00C907D2"/>
    <w:rsid w:val="00C912EB"/>
    <w:rsid w:val="00C92163"/>
    <w:rsid w:val="00C944AF"/>
    <w:rsid w:val="00C95796"/>
    <w:rsid w:val="00C9661D"/>
    <w:rsid w:val="00C97099"/>
    <w:rsid w:val="00C97335"/>
    <w:rsid w:val="00CA0499"/>
    <w:rsid w:val="00CA2664"/>
    <w:rsid w:val="00CA27F7"/>
    <w:rsid w:val="00CA316D"/>
    <w:rsid w:val="00CA3333"/>
    <w:rsid w:val="00CA55E0"/>
    <w:rsid w:val="00CA69FF"/>
    <w:rsid w:val="00CA6C9A"/>
    <w:rsid w:val="00CB0940"/>
    <w:rsid w:val="00CB209C"/>
    <w:rsid w:val="00CB3B9B"/>
    <w:rsid w:val="00CB4959"/>
    <w:rsid w:val="00CB7A37"/>
    <w:rsid w:val="00CC09F2"/>
    <w:rsid w:val="00CC2E2A"/>
    <w:rsid w:val="00CC3437"/>
    <w:rsid w:val="00CC3A56"/>
    <w:rsid w:val="00CC50D6"/>
    <w:rsid w:val="00CC6E30"/>
    <w:rsid w:val="00CC7164"/>
    <w:rsid w:val="00CD0274"/>
    <w:rsid w:val="00CD04C9"/>
    <w:rsid w:val="00CD0D6C"/>
    <w:rsid w:val="00CD171A"/>
    <w:rsid w:val="00CD2D73"/>
    <w:rsid w:val="00CD3773"/>
    <w:rsid w:val="00CD3942"/>
    <w:rsid w:val="00CD4F64"/>
    <w:rsid w:val="00CD5C83"/>
    <w:rsid w:val="00CD6903"/>
    <w:rsid w:val="00CE0FBF"/>
    <w:rsid w:val="00CE29B9"/>
    <w:rsid w:val="00CE52C7"/>
    <w:rsid w:val="00CE6315"/>
    <w:rsid w:val="00CE644F"/>
    <w:rsid w:val="00CE77AC"/>
    <w:rsid w:val="00CF35D3"/>
    <w:rsid w:val="00CF37E0"/>
    <w:rsid w:val="00CF4784"/>
    <w:rsid w:val="00CF4FD5"/>
    <w:rsid w:val="00CF5CD0"/>
    <w:rsid w:val="00CF6326"/>
    <w:rsid w:val="00D00189"/>
    <w:rsid w:val="00D00C2A"/>
    <w:rsid w:val="00D026F6"/>
    <w:rsid w:val="00D02F4D"/>
    <w:rsid w:val="00D031EB"/>
    <w:rsid w:val="00D03CDF"/>
    <w:rsid w:val="00D06F26"/>
    <w:rsid w:val="00D11499"/>
    <w:rsid w:val="00D119B8"/>
    <w:rsid w:val="00D178C8"/>
    <w:rsid w:val="00D17941"/>
    <w:rsid w:val="00D17F98"/>
    <w:rsid w:val="00D2395C"/>
    <w:rsid w:val="00D24479"/>
    <w:rsid w:val="00D252E9"/>
    <w:rsid w:val="00D25806"/>
    <w:rsid w:val="00D269CD"/>
    <w:rsid w:val="00D27176"/>
    <w:rsid w:val="00D27C09"/>
    <w:rsid w:val="00D30EF3"/>
    <w:rsid w:val="00D31EFF"/>
    <w:rsid w:val="00D3322E"/>
    <w:rsid w:val="00D348A3"/>
    <w:rsid w:val="00D350D8"/>
    <w:rsid w:val="00D35DDB"/>
    <w:rsid w:val="00D37325"/>
    <w:rsid w:val="00D41198"/>
    <w:rsid w:val="00D42683"/>
    <w:rsid w:val="00D43149"/>
    <w:rsid w:val="00D44FA9"/>
    <w:rsid w:val="00D45FFD"/>
    <w:rsid w:val="00D464D0"/>
    <w:rsid w:val="00D528D1"/>
    <w:rsid w:val="00D53A3B"/>
    <w:rsid w:val="00D53D81"/>
    <w:rsid w:val="00D54B1D"/>
    <w:rsid w:val="00D572C2"/>
    <w:rsid w:val="00D5792E"/>
    <w:rsid w:val="00D60A94"/>
    <w:rsid w:val="00D60E53"/>
    <w:rsid w:val="00D61E70"/>
    <w:rsid w:val="00D625D2"/>
    <w:rsid w:val="00D6515E"/>
    <w:rsid w:val="00D66015"/>
    <w:rsid w:val="00D678BB"/>
    <w:rsid w:val="00D7079A"/>
    <w:rsid w:val="00D70ADB"/>
    <w:rsid w:val="00D73CFC"/>
    <w:rsid w:val="00D74DA7"/>
    <w:rsid w:val="00D75AFA"/>
    <w:rsid w:val="00D75CB6"/>
    <w:rsid w:val="00D761E8"/>
    <w:rsid w:val="00D77D09"/>
    <w:rsid w:val="00D805B0"/>
    <w:rsid w:val="00D81DBD"/>
    <w:rsid w:val="00D82610"/>
    <w:rsid w:val="00D833E7"/>
    <w:rsid w:val="00D8431B"/>
    <w:rsid w:val="00D85041"/>
    <w:rsid w:val="00D85825"/>
    <w:rsid w:val="00D86553"/>
    <w:rsid w:val="00D90C8B"/>
    <w:rsid w:val="00D9180D"/>
    <w:rsid w:val="00D940DE"/>
    <w:rsid w:val="00D95054"/>
    <w:rsid w:val="00D95264"/>
    <w:rsid w:val="00DA083F"/>
    <w:rsid w:val="00DA1007"/>
    <w:rsid w:val="00DA1207"/>
    <w:rsid w:val="00DA2089"/>
    <w:rsid w:val="00DA2B9E"/>
    <w:rsid w:val="00DA413C"/>
    <w:rsid w:val="00DA44A7"/>
    <w:rsid w:val="00DA4F96"/>
    <w:rsid w:val="00DA5BD3"/>
    <w:rsid w:val="00DA5F6B"/>
    <w:rsid w:val="00DB097C"/>
    <w:rsid w:val="00DB2000"/>
    <w:rsid w:val="00DB4995"/>
    <w:rsid w:val="00DB507B"/>
    <w:rsid w:val="00DB5904"/>
    <w:rsid w:val="00DB5AD1"/>
    <w:rsid w:val="00DB6915"/>
    <w:rsid w:val="00DB7F27"/>
    <w:rsid w:val="00DC0C7C"/>
    <w:rsid w:val="00DC1596"/>
    <w:rsid w:val="00DC29F0"/>
    <w:rsid w:val="00DC2B33"/>
    <w:rsid w:val="00DC2C10"/>
    <w:rsid w:val="00DC451A"/>
    <w:rsid w:val="00DD1C03"/>
    <w:rsid w:val="00DD43D9"/>
    <w:rsid w:val="00DD6AA1"/>
    <w:rsid w:val="00DD7C3D"/>
    <w:rsid w:val="00DE1053"/>
    <w:rsid w:val="00DE24E9"/>
    <w:rsid w:val="00DE26E6"/>
    <w:rsid w:val="00DF17AF"/>
    <w:rsid w:val="00DF1BFD"/>
    <w:rsid w:val="00DF4CCC"/>
    <w:rsid w:val="00DF64DE"/>
    <w:rsid w:val="00DF6BAB"/>
    <w:rsid w:val="00DF7595"/>
    <w:rsid w:val="00DF7651"/>
    <w:rsid w:val="00DF7DB6"/>
    <w:rsid w:val="00E012C6"/>
    <w:rsid w:val="00E021CF"/>
    <w:rsid w:val="00E021D5"/>
    <w:rsid w:val="00E027E3"/>
    <w:rsid w:val="00E04532"/>
    <w:rsid w:val="00E04931"/>
    <w:rsid w:val="00E050F1"/>
    <w:rsid w:val="00E06AB1"/>
    <w:rsid w:val="00E07C27"/>
    <w:rsid w:val="00E13BC7"/>
    <w:rsid w:val="00E155FB"/>
    <w:rsid w:val="00E1726A"/>
    <w:rsid w:val="00E2032B"/>
    <w:rsid w:val="00E2038B"/>
    <w:rsid w:val="00E22075"/>
    <w:rsid w:val="00E242B9"/>
    <w:rsid w:val="00E24BA5"/>
    <w:rsid w:val="00E254E0"/>
    <w:rsid w:val="00E25FB9"/>
    <w:rsid w:val="00E3475C"/>
    <w:rsid w:val="00E36258"/>
    <w:rsid w:val="00E3705D"/>
    <w:rsid w:val="00E41A55"/>
    <w:rsid w:val="00E4741C"/>
    <w:rsid w:val="00E50C87"/>
    <w:rsid w:val="00E5149F"/>
    <w:rsid w:val="00E51DB4"/>
    <w:rsid w:val="00E52FB9"/>
    <w:rsid w:val="00E53162"/>
    <w:rsid w:val="00E53A49"/>
    <w:rsid w:val="00E53F3F"/>
    <w:rsid w:val="00E547C3"/>
    <w:rsid w:val="00E563A2"/>
    <w:rsid w:val="00E5692D"/>
    <w:rsid w:val="00E57CB7"/>
    <w:rsid w:val="00E623D1"/>
    <w:rsid w:val="00E632BB"/>
    <w:rsid w:val="00E63AC2"/>
    <w:rsid w:val="00E64514"/>
    <w:rsid w:val="00E65306"/>
    <w:rsid w:val="00E66C9B"/>
    <w:rsid w:val="00E671F0"/>
    <w:rsid w:val="00E679BB"/>
    <w:rsid w:val="00E67D29"/>
    <w:rsid w:val="00E70A63"/>
    <w:rsid w:val="00E71AD8"/>
    <w:rsid w:val="00E72934"/>
    <w:rsid w:val="00E73AA7"/>
    <w:rsid w:val="00E73E67"/>
    <w:rsid w:val="00E7734F"/>
    <w:rsid w:val="00E77457"/>
    <w:rsid w:val="00E7754A"/>
    <w:rsid w:val="00E8105E"/>
    <w:rsid w:val="00E81AF8"/>
    <w:rsid w:val="00E81FB7"/>
    <w:rsid w:val="00E83A3E"/>
    <w:rsid w:val="00E83FE9"/>
    <w:rsid w:val="00E85DEB"/>
    <w:rsid w:val="00E86D3E"/>
    <w:rsid w:val="00E90881"/>
    <w:rsid w:val="00E9166C"/>
    <w:rsid w:val="00E918EF"/>
    <w:rsid w:val="00E934FC"/>
    <w:rsid w:val="00E9407A"/>
    <w:rsid w:val="00E94AFE"/>
    <w:rsid w:val="00E955AA"/>
    <w:rsid w:val="00E95BFE"/>
    <w:rsid w:val="00EA0211"/>
    <w:rsid w:val="00EA1300"/>
    <w:rsid w:val="00EA3401"/>
    <w:rsid w:val="00EA3DE5"/>
    <w:rsid w:val="00EA55FC"/>
    <w:rsid w:val="00EB0E85"/>
    <w:rsid w:val="00EB541A"/>
    <w:rsid w:val="00EB5D6B"/>
    <w:rsid w:val="00EB7430"/>
    <w:rsid w:val="00EB758C"/>
    <w:rsid w:val="00EB7FE2"/>
    <w:rsid w:val="00EC14E0"/>
    <w:rsid w:val="00EC477D"/>
    <w:rsid w:val="00EC560C"/>
    <w:rsid w:val="00ED1B16"/>
    <w:rsid w:val="00ED2C8D"/>
    <w:rsid w:val="00ED3B18"/>
    <w:rsid w:val="00ED6696"/>
    <w:rsid w:val="00ED7946"/>
    <w:rsid w:val="00EE0C1E"/>
    <w:rsid w:val="00EE0F13"/>
    <w:rsid w:val="00EE121C"/>
    <w:rsid w:val="00EE30DF"/>
    <w:rsid w:val="00EE40ED"/>
    <w:rsid w:val="00EE4F3C"/>
    <w:rsid w:val="00EE7C7E"/>
    <w:rsid w:val="00EF0A6B"/>
    <w:rsid w:val="00EF197D"/>
    <w:rsid w:val="00EF24A6"/>
    <w:rsid w:val="00EF2F72"/>
    <w:rsid w:val="00EF6632"/>
    <w:rsid w:val="00F0208E"/>
    <w:rsid w:val="00F03850"/>
    <w:rsid w:val="00F03B38"/>
    <w:rsid w:val="00F04393"/>
    <w:rsid w:val="00F0486B"/>
    <w:rsid w:val="00F065C8"/>
    <w:rsid w:val="00F06AA0"/>
    <w:rsid w:val="00F147FD"/>
    <w:rsid w:val="00F1597A"/>
    <w:rsid w:val="00F16CC9"/>
    <w:rsid w:val="00F22B5B"/>
    <w:rsid w:val="00F233A1"/>
    <w:rsid w:val="00F258D6"/>
    <w:rsid w:val="00F3185A"/>
    <w:rsid w:val="00F320BF"/>
    <w:rsid w:val="00F321A2"/>
    <w:rsid w:val="00F33458"/>
    <w:rsid w:val="00F336BD"/>
    <w:rsid w:val="00F34C0E"/>
    <w:rsid w:val="00F371AE"/>
    <w:rsid w:val="00F372EB"/>
    <w:rsid w:val="00F37B0E"/>
    <w:rsid w:val="00F4118F"/>
    <w:rsid w:val="00F430C2"/>
    <w:rsid w:val="00F45738"/>
    <w:rsid w:val="00F516A9"/>
    <w:rsid w:val="00F51C94"/>
    <w:rsid w:val="00F52D12"/>
    <w:rsid w:val="00F572E2"/>
    <w:rsid w:val="00F6018A"/>
    <w:rsid w:val="00F6084D"/>
    <w:rsid w:val="00F6088E"/>
    <w:rsid w:val="00F63013"/>
    <w:rsid w:val="00F64285"/>
    <w:rsid w:val="00F66585"/>
    <w:rsid w:val="00F66C9A"/>
    <w:rsid w:val="00F7022F"/>
    <w:rsid w:val="00F73AD2"/>
    <w:rsid w:val="00F7596E"/>
    <w:rsid w:val="00F821AD"/>
    <w:rsid w:val="00F83F56"/>
    <w:rsid w:val="00F83FB8"/>
    <w:rsid w:val="00F86129"/>
    <w:rsid w:val="00F92E07"/>
    <w:rsid w:val="00F932BA"/>
    <w:rsid w:val="00F9405D"/>
    <w:rsid w:val="00F95165"/>
    <w:rsid w:val="00F96E92"/>
    <w:rsid w:val="00F9768E"/>
    <w:rsid w:val="00FA5141"/>
    <w:rsid w:val="00FA54B2"/>
    <w:rsid w:val="00FA5E9D"/>
    <w:rsid w:val="00FA63E9"/>
    <w:rsid w:val="00FA6A4F"/>
    <w:rsid w:val="00FA6D49"/>
    <w:rsid w:val="00FB03B6"/>
    <w:rsid w:val="00FB0AA4"/>
    <w:rsid w:val="00FB1435"/>
    <w:rsid w:val="00FB4AE8"/>
    <w:rsid w:val="00FB59B0"/>
    <w:rsid w:val="00FB6679"/>
    <w:rsid w:val="00FC08CE"/>
    <w:rsid w:val="00FC5186"/>
    <w:rsid w:val="00FD069E"/>
    <w:rsid w:val="00FD09CA"/>
    <w:rsid w:val="00FD2E09"/>
    <w:rsid w:val="00FD3442"/>
    <w:rsid w:val="00FD3727"/>
    <w:rsid w:val="00FD3FDB"/>
    <w:rsid w:val="00FD4744"/>
    <w:rsid w:val="00FD5443"/>
    <w:rsid w:val="00FE3370"/>
    <w:rsid w:val="00FE3BC1"/>
    <w:rsid w:val="00FE54B6"/>
    <w:rsid w:val="00FF3569"/>
    <w:rsid w:val="00FF5114"/>
    <w:rsid w:val="00FF63DC"/>
    <w:rsid w:val="00FF7EA2"/>
    <w:rsid w:val="09201E1D"/>
    <w:rsid w:val="0D8860CE"/>
    <w:rsid w:val="0FD4130E"/>
    <w:rsid w:val="2BE72B77"/>
    <w:rsid w:val="36092C0E"/>
    <w:rsid w:val="46092269"/>
    <w:rsid w:val="4BDE6E5F"/>
    <w:rsid w:val="74BF2618"/>
    <w:rsid w:val="760C465D"/>
    <w:rsid w:val="78B63A0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uiPriority="99"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63003"/>
    <w:pPr>
      <w:widowControl w:val="0"/>
      <w:jc w:val="both"/>
    </w:pPr>
    <w:rPr>
      <w:kern w:val="2"/>
      <w:sz w:val="21"/>
    </w:rPr>
  </w:style>
  <w:style w:type="paragraph" w:styleId="1">
    <w:name w:val="heading 1"/>
    <w:basedOn w:val="a"/>
    <w:next w:val="a"/>
    <w:link w:val="1Char"/>
    <w:uiPriority w:val="9"/>
    <w:qFormat/>
    <w:rsid w:val="000630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6300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063003"/>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063003"/>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qFormat/>
    <w:rsid w:val="00063003"/>
    <w:rPr>
      <w:sz w:val="18"/>
      <w:szCs w:val="18"/>
    </w:rPr>
  </w:style>
  <w:style w:type="paragraph" w:styleId="a4">
    <w:name w:val="Document Map"/>
    <w:basedOn w:val="a"/>
    <w:qFormat/>
    <w:rsid w:val="00063003"/>
    <w:pPr>
      <w:shd w:val="clear" w:color="auto" w:fill="000080"/>
    </w:pPr>
  </w:style>
  <w:style w:type="paragraph" w:styleId="a5">
    <w:name w:val="annotation text"/>
    <w:basedOn w:val="a"/>
    <w:link w:val="Char0"/>
    <w:qFormat/>
    <w:rsid w:val="00063003"/>
    <w:pPr>
      <w:jc w:val="left"/>
    </w:pPr>
  </w:style>
  <w:style w:type="paragraph" w:styleId="a6">
    <w:name w:val="Date"/>
    <w:basedOn w:val="a"/>
    <w:next w:val="a"/>
    <w:qFormat/>
    <w:rsid w:val="00063003"/>
    <w:rPr>
      <w:sz w:val="24"/>
    </w:rPr>
  </w:style>
  <w:style w:type="paragraph" w:styleId="a7">
    <w:name w:val="footer"/>
    <w:basedOn w:val="a"/>
    <w:link w:val="Char1"/>
    <w:qFormat/>
    <w:rsid w:val="00063003"/>
    <w:pPr>
      <w:tabs>
        <w:tab w:val="center" w:pos="4153"/>
        <w:tab w:val="right" w:pos="8306"/>
      </w:tabs>
      <w:snapToGrid w:val="0"/>
      <w:jc w:val="left"/>
    </w:pPr>
    <w:rPr>
      <w:sz w:val="18"/>
    </w:rPr>
  </w:style>
  <w:style w:type="paragraph" w:styleId="a8">
    <w:name w:val="header"/>
    <w:basedOn w:val="a"/>
    <w:link w:val="Char2"/>
    <w:uiPriority w:val="99"/>
    <w:qFormat/>
    <w:rsid w:val="00063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63003"/>
    <w:rPr>
      <w:b/>
    </w:rPr>
  </w:style>
  <w:style w:type="paragraph" w:styleId="a9">
    <w:name w:val="Subtitle"/>
    <w:basedOn w:val="2"/>
    <w:next w:val="3"/>
    <w:link w:val="Char3"/>
    <w:qFormat/>
    <w:rsid w:val="00063003"/>
    <w:pPr>
      <w:spacing w:before="240" w:after="60" w:line="312" w:lineRule="auto"/>
      <w:jc w:val="left"/>
    </w:pPr>
    <w:rPr>
      <w:bCs w:val="0"/>
      <w:kern w:val="28"/>
      <w:sz w:val="24"/>
    </w:rPr>
  </w:style>
  <w:style w:type="paragraph" w:styleId="aa">
    <w:name w:val="footnote text"/>
    <w:basedOn w:val="a"/>
    <w:qFormat/>
    <w:rsid w:val="00063003"/>
    <w:pPr>
      <w:snapToGrid w:val="0"/>
      <w:jc w:val="left"/>
    </w:pPr>
    <w:rPr>
      <w:sz w:val="18"/>
    </w:rPr>
  </w:style>
  <w:style w:type="paragraph" w:styleId="20">
    <w:name w:val="toc 2"/>
    <w:basedOn w:val="a"/>
    <w:next w:val="a"/>
    <w:uiPriority w:val="39"/>
    <w:qFormat/>
    <w:rsid w:val="00063003"/>
    <w:pPr>
      <w:ind w:leftChars="200" w:left="420"/>
    </w:pPr>
  </w:style>
  <w:style w:type="paragraph" w:styleId="ab">
    <w:name w:val="Normal (Web)"/>
    <w:basedOn w:val="a"/>
    <w:qFormat/>
    <w:rsid w:val="00063003"/>
    <w:pPr>
      <w:widowControl/>
      <w:spacing w:before="100" w:beforeAutospacing="1" w:after="100" w:afterAutospacing="1"/>
      <w:jc w:val="left"/>
    </w:pPr>
    <w:rPr>
      <w:rFonts w:ascii="宋体" w:hAnsi="宋体"/>
      <w:kern w:val="0"/>
      <w:sz w:val="24"/>
    </w:rPr>
  </w:style>
  <w:style w:type="paragraph" w:styleId="ac">
    <w:name w:val="annotation subject"/>
    <w:basedOn w:val="a5"/>
    <w:next w:val="a5"/>
    <w:link w:val="Char4"/>
    <w:qFormat/>
    <w:rsid w:val="00063003"/>
    <w:rPr>
      <w:b/>
      <w:bCs/>
    </w:rPr>
  </w:style>
  <w:style w:type="character" w:styleId="ad">
    <w:name w:val="page number"/>
    <w:basedOn w:val="a1"/>
    <w:qFormat/>
    <w:rsid w:val="00063003"/>
  </w:style>
  <w:style w:type="character" w:styleId="ae">
    <w:name w:val="Hyperlink"/>
    <w:uiPriority w:val="99"/>
    <w:qFormat/>
    <w:rsid w:val="00063003"/>
    <w:rPr>
      <w:color w:val="0000FF"/>
      <w:u w:val="single"/>
    </w:rPr>
  </w:style>
  <w:style w:type="character" w:styleId="af">
    <w:name w:val="annotation reference"/>
    <w:qFormat/>
    <w:rsid w:val="00063003"/>
    <w:rPr>
      <w:sz w:val="21"/>
      <w:szCs w:val="21"/>
    </w:rPr>
  </w:style>
  <w:style w:type="character" w:styleId="af0">
    <w:name w:val="footnote reference"/>
    <w:qFormat/>
    <w:rsid w:val="00063003"/>
    <w:rPr>
      <w:vertAlign w:val="superscript"/>
    </w:rPr>
  </w:style>
  <w:style w:type="character" w:customStyle="1" w:styleId="1Char0">
    <w:name w:val="样式1 Char"/>
    <w:link w:val="11"/>
    <w:qFormat/>
    <w:rsid w:val="00063003"/>
    <w:rPr>
      <w:rFonts w:ascii="宋体" w:hAnsi="宋体"/>
      <w:b/>
      <w:kern w:val="2"/>
      <w:sz w:val="24"/>
      <w:szCs w:val="24"/>
    </w:rPr>
  </w:style>
  <w:style w:type="paragraph" w:customStyle="1" w:styleId="11">
    <w:name w:val="样式1"/>
    <w:basedOn w:val="a"/>
    <w:link w:val="1Char0"/>
    <w:qFormat/>
    <w:rsid w:val="00063003"/>
    <w:rPr>
      <w:rFonts w:ascii="宋体" w:hAnsi="宋体"/>
      <w:b/>
      <w:sz w:val="24"/>
      <w:szCs w:val="24"/>
    </w:rPr>
  </w:style>
  <w:style w:type="character" w:customStyle="1" w:styleId="2Char">
    <w:name w:val="标题 2 Char"/>
    <w:link w:val="2"/>
    <w:uiPriority w:val="9"/>
    <w:qFormat/>
    <w:rsid w:val="00063003"/>
    <w:rPr>
      <w:rFonts w:ascii="Cambria" w:eastAsia="宋体" w:hAnsi="Cambria" w:cs="Times New Roman"/>
      <w:b/>
      <w:bCs/>
      <w:sz w:val="32"/>
      <w:szCs w:val="32"/>
    </w:rPr>
  </w:style>
  <w:style w:type="character" w:customStyle="1" w:styleId="Char2">
    <w:name w:val="页眉 Char"/>
    <w:link w:val="a8"/>
    <w:uiPriority w:val="99"/>
    <w:qFormat/>
    <w:rsid w:val="00063003"/>
    <w:rPr>
      <w:kern w:val="2"/>
      <w:sz w:val="18"/>
      <w:szCs w:val="18"/>
    </w:rPr>
  </w:style>
  <w:style w:type="character" w:customStyle="1" w:styleId="Char1">
    <w:name w:val="页脚 Char"/>
    <w:link w:val="a7"/>
    <w:qFormat/>
    <w:rsid w:val="00063003"/>
    <w:rPr>
      <w:rFonts w:eastAsia="宋体"/>
      <w:kern w:val="2"/>
      <w:sz w:val="18"/>
      <w:lang w:val="en-US" w:eastAsia="zh-CN" w:bidi="ar-SA"/>
    </w:rPr>
  </w:style>
  <w:style w:type="character" w:customStyle="1" w:styleId="Char">
    <w:name w:val="批注框文本 Char"/>
    <w:link w:val="a0"/>
    <w:qFormat/>
    <w:rsid w:val="00063003"/>
    <w:rPr>
      <w:kern w:val="2"/>
      <w:sz w:val="18"/>
      <w:szCs w:val="18"/>
    </w:rPr>
  </w:style>
  <w:style w:type="paragraph" w:customStyle="1" w:styleId="xl33">
    <w:name w:val="xl33"/>
    <w:basedOn w:val="a"/>
    <w:qFormat/>
    <w:rsid w:val="0006300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063003"/>
    <w:pPr>
      <w:widowControl/>
      <w:spacing w:after="160" w:line="240" w:lineRule="exact"/>
      <w:jc w:val="left"/>
    </w:pPr>
    <w:rPr>
      <w:rFonts w:ascii="Verdana" w:eastAsia="Times New Roman" w:hAnsi="Verdana"/>
      <w:kern w:val="0"/>
      <w:sz w:val="20"/>
      <w:lang w:eastAsia="en-US"/>
    </w:rPr>
  </w:style>
  <w:style w:type="paragraph" w:customStyle="1" w:styleId="CharCharCharCharCharChar1CharCharChar">
    <w:name w:val="Char Char Char Char Char Char1 Char Char Char"/>
    <w:basedOn w:val="a"/>
    <w:qFormat/>
    <w:rsid w:val="00063003"/>
    <w:pPr>
      <w:autoSpaceDE w:val="0"/>
      <w:autoSpaceDN w:val="0"/>
      <w:adjustRightInd w:val="0"/>
      <w:jc w:val="left"/>
      <w:textAlignment w:val="baseline"/>
    </w:pPr>
  </w:style>
  <w:style w:type="paragraph" w:customStyle="1" w:styleId="FormLabel">
    <w:name w:val="Form Label"/>
    <w:basedOn w:val="a"/>
    <w:qFormat/>
    <w:rsid w:val="00063003"/>
    <w:pPr>
      <w:widowControl/>
      <w:spacing w:line="280" w:lineRule="exact"/>
      <w:jc w:val="left"/>
    </w:pPr>
    <w:rPr>
      <w:kern w:val="0"/>
      <w:sz w:val="18"/>
      <w:lang w:val="en-GB" w:eastAsia="en-US"/>
    </w:rPr>
  </w:style>
  <w:style w:type="paragraph" w:customStyle="1" w:styleId="7878">
    <w:name w:val="样式 宋体 小四 加粗 段前: 7.8 磅 段后: 7.8 磅"/>
    <w:basedOn w:val="a"/>
    <w:qFormat/>
    <w:rsid w:val="00063003"/>
    <w:pPr>
      <w:spacing w:before="156" w:after="156"/>
    </w:pPr>
    <w:rPr>
      <w:rFonts w:cs="宋体"/>
      <w:b/>
      <w:bCs/>
      <w:sz w:val="24"/>
    </w:rPr>
  </w:style>
  <w:style w:type="paragraph" w:customStyle="1" w:styleId="af1">
    <w:name w:val="样式 普通(网站) + 五号"/>
    <w:basedOn w:val="ab"/>
    <w:qFormat/>
    <w:rsid w:val="00063003"/>
    <w:rPr>
      <w:rFonts w:ascii="Times New Roman" w:hAnsi="Times New Roman"/>
      <w:kern w:val="2"/>
      <w:sz w:val="21"/>
    </w:rPr>
  </w:style>
  <w:style w:type="character" w:customStyle="1" w:styleId="1Char">
    <w:name w:val="标题 1 Char"/>
    <w:link w:val="1"/>
    <w:uiPriority w:val="9"/>
    <w:qFormat/>
    <w:rsid w:val="00063003"/>
    <w:rPr>
      <w:b/>
      <w:bCs/>
      <w:kern w:val="44"/>
      <w:sz w:val="44"/>
      <w:szCs w:val="44"/>
    </w:rPr>
  </w:style>
  <w:style w:type="character" w:customStyle="1" w:styleId="3Char">
    <w:name w:val="标题 3 Char"/>
    <w:link w:val="3"/>
    <w:uiPriority w:val="9"/>
    <w:semiHidden/>
    <w:qFormat/>
    <w:rsid w:val="00063003"/>
    <w:rPr>
      <w:b/>
      <w:bCs/>
      <w:sz w:val="32"/>
      <w:szCs w:val="32"/>
    </w:rPr>
  </w:style>
  <w:style w:type="character" w:customStyle="1" w:styleId="4Char">
    <w:name w:val="标题 4 Char"/>
    <w:link w:val="4"/>
    <w:semiHidden/>
    <w:qFormat/>
    <w:rsid w:val="00063003"/>
    <w:rPr>
      <w:rFonts w:ascii="Cambria" w:eastAsia="宋体" w:hAnsi="Cambria" w:cs="Times New Roman"/>
      <w:b/>
      <w:bCs/>
      <w:sz w:val="28"/>
      <w:szCs w:val="28"/>
    </w:rPr>
  </w:style>
  <w:style w:type="character" w:customStyle="1" w:styleId="Char3">
    <w:name w:val="副标题 Char"/>
    <w:link w:val="a9"/>
    <w:qFormat/>
    <w:rsid w:val="00063003"/>
    <w:rPr>
      <w:rFonts w:ascii="Cambria" w:eastAsia="宋体" w:hAnsi="Cambria" w:cs="Times New Roman"/>
      <w:b/>
      <w:kern w:val="28"/>
      <w:sz w:val="24"/>
      <w:szCs w:val="32"/>
    </w:rPr>
  </w:style>
  <w:style w:type="paragraph" w:customStyle="1" w:styleId="XBRL1">
    <w:name w:val="XBRL标题1"/>
    <w:basedOn w:val="1"/>
    <w:next w:val="2"/>
    <w:qFormat/>
    <w:rsid w:val="00063003"/>
    <w:pPr>
      <w:spacing w:beforeLines="50" w:afterLines="50" w:line="240" w:lineRule="auto"/>
      <w:jc w:val="center"/>
    </w:pPr>
    <w:rPr>
      <w:rFonts w:ascii="Cambria" w:hAnsi="Cambria"/>
      <w:sz w:val="28"/>
    </w:rPr>
  </w:style>
  <w:style w:type="paragraph" w:customStyle="1" w:styleId="XBRL2">
    <w:name w:val="XBRL标题2"/>
    <w:basedOn w:val="a9"/>
    <w:next w:val="4"/>
    <w:qFormat/>
    <w:rsid w:val="00063003"/>
    <w:pPr>
      <w:spacing w:beforeLines="50" w:afterLines="50" w:line="240" w:lineRule="auto"/>
    </w:pPr>
    <w:rPr>
      <w:bCs/>
    </w:rPr>
  </w:style>
  <w:style w:type="paragraph" w:customStyle="1" w:styleId="XBRL3">
    <w:name w:val="XBRL标题3"/>
    <w:basedOn w:val="a9"/>
    <w:next w:val="4"/>
    <w:qFormat/>
    <w:rsid w:val="00063003"/>
    <w:pPr>
      <w:spacing w:beforeLines="50" w:afterLines="50" w:line="240" w:lineRule="auto"/>
      <w:outlineLvl w:val="9"/>
    </w:pPr>
    <w:rPr>
      <w:bCs/>
    </w:rPr>
  </w:style>
  <w:style w:type="paragraph" w:customStyle="1" w:styleId="XBRL4">
    <w:name w:val="XBRL标题4"/>
    <w:basedOn w:val="a9"/>
    <w:next w:val="4"/>
    <w:qFormat/>
    <w:rsid w:val="00063003"/>
    <w:pPr>
      <w:spacing w:beforeLines="50" w:afterLines="50" w:line="240" w:lineRule="auto"/>
      <w:outlineLvl w:val="9"/>
    </w:pPr>
    <w:rPr>
      <w:bCs/>
    </w:rPr>
  </w:style>
  <w:style w:type="paragraph" w:customStyle="1" w:styleId="XBRL5">
    <w:name w:val="XBRL标题5"/>
    <w:basedOn w:val="a9"/>
    <w:next w:val="4"/>
    <w:qFormat/>
    <w:rsid w:val="00063003"/>
    <w:pPr>
      <w:spacing w:beforeLines="50" w:afterLines="50" w:line="240" w:lineRule="auto"/>
      <w:outlineLvl w:val="9"/>
    </w:pPr>
    <w:rPr>
      <w:bCs/>
    </w:rPr>
  </w:style>
  <w:style w:type="paragraph" w:customStyle="1" w:styleId="XBRL6">
    <w:name w:val="XBRL标题6"/>
    <w:basedOn w:val="a9"/>
    <w:next w:val="4"/>
    <w:qFormat/>
    <w:rsid w:val="00063003"/>
    <w:pPr>
      <w:spacing w:beforeLines="50" w:afterLines="50" w:line="240" w:lineRule="auto"/>
      <w:outlineLvl w:val="9"/>
    </w:pPr>
    <w:rPr>
      <w:bCs/>
    </w:rPr>
  </w:style>
  <w:style w:type="paragraph" w:customStyle="1" w:styleId="XBRLTitle1">
    <w:name w:val="XBRLTitle1"/>
    <w:basedOn w:val="1"/>
    <w:next w:val="2"/>
    <w:qFormat/>
    <w:rsid w:val="00063003"/>
    <w:pPr>
      <w:numPr>
        <w:numId w:val="1"/>
      </w:numPr>
      <w:spacing w:beforeLines="50" w:afterLines="50" w:line="240" w:lineRule="auto"/>
      <w:jc w:val="center"/>
    </w:pPr>
    <w:rPr>
      <w:rFonts w:ascii="Cambria" w:hAnsi="Cambria"/>
      <w:sz w:val="28"/>
    </w:rPr>
  </w:style>
  <w:style w:type="paragraph" w:customStyle="1" w:styleId="XBRLTitle2">
    <w:name w:val="XBRLTitle2"/>
    <w:basedOn w:val="a9"/>
    <w:next w:val="4"/>
    <w:qFormat/>
    <w:rsid w:val="00063003"/>
    <w:pPr>
      <w:numPr>
        <w:ilvl w:val="1"/>
        <w:numId w:val="1"/>
      </w:numPr>
      <w:spacing w:beforeLines="50" w:afterLines="50" w:line="240" w:lineRule="auto"/>
    </w:pPr>
    <w:rPr>
      <w:bCs/>
    </w:rPr>
  </w:style>
  <w:style w:type="paragraph" w:customStyle="1" w:styleId="XBRLTitle3">
    <w:name w:val="XBRLTitle3"/>
    <w:basedOn w:val="a9"/>
    <w:next w:val="4"/>
    <w:qFormat/>
    <w:rsid w:val="00063003"/>
    <w:pPr>
      <w:numPr>
        <w:ilvl w:val="2"/>
        <w:numId w:val="1"/>
      </w:numPr>
      <w:spacing w:beforeLines="50" w:afterLines="50" w:line="240" w:lineRule="auto"/>
      <w:outlineLvl w:val="9"/>
    </w:pPr>
    <w:rPr>
      <w:bCs/>
    </w:rPr>
  </w:style>
  <w:style w:type="paragraph" w:customStyle="1" w:styleId="XBRLTitle4">
    <w:name w:val="XBRLTitle4"/>
    <w:basedOn w:val="a9"/>
    <w:next w:val="4"/>
    <w:qFormat/>
    <w:rsid w:val="00063003"/>
    <w:pPr>
      <w:numPr>
        <w:ilvl w:val="3"/>
        <w:numId w:val="1"/>
      </w:numPr>
      <w:spacing w:beforeLines="50" w:afterLines="50" w:line="240" w:lineRule="auto"/>
      <w:outlineLvl w:val="9"/>
    </w:pPr>
    <w:rPr>
      <w:bCs/>
    </w:rPr>
  </w:style>
  <w:style w:type="paragraph" w:customStyle="1" w:styleId="XBRLTitle5">
    <w:name w:val="XBRLTitle5"/>
    <w:basedOn w:val="a9"/>
    <w:next w:val="4"/>
    <w:qFormat/>
    <w:rsid w:val="00063003"/>
    <w:pPr>
      <w:numPr>
        <w:ilvl w:val="4"/>
        <w:numId w:val="1"/>
      </w:numPr>
      <w:spacing w:beforeLines="50" w:afterLines="50" w:line="240" w:lineRule="auto"/>
      <w:ind w:left="1021"/>
      <w:outlineLvl w:val="9"/>
    </w:pPr>
    <w:rPr>
      <w:bCs/>
    </w:rPr>
  </w:style>
  <w:style w:type="paragraph" w:customStyle="1" w:styleId="XBRLTitle6">
    <w:name w:val="XBRLTitle6"/>
    <w:basedOn w:val="a9"/>
    <w:next w:val="4"/>
    <w:qFormat/>
    <w:rsid w:val="00063003"/>
    <w:pPr>
      <w:numPr>
        <w:ilvl w:val="5"/>
        <w:numId w:val="1"/>
      </w:numPr>
      <w:spacing w:beforeLines="50" w:afterLines="50" w:line="240" w:lineRule="auto"/>
      <w:outlineLvl w:val="9"/>
    </w:pPr>
    <w:rPr>
      <w:bCs/>
    </w:rPr>
  </w:style>
  <w:style w:type="character" w:customStyle="1" w:styleId="af2">
    <w:name w:val="样式 宋体"/>
    <w:qFormat/>
    <w:rsid w:val="00063003"/>
    <w:rPr>
      <w:rFonts w:ascii="Times New Roman" w:eastAsia="宋体" w:hAnsi="Times New Roman"/>
    </w:rPr>
  </w:style>
  <w:style w:type="paragraph" w:customStyle="1" w:styleId="af3">
    <w:name w:val="样式 宋体 居中"/>
    <w:basedOn w:val="a"/>
    <w:qFormat/>
    <w:rsid w:val="00063003"/>
    <w:pPr>
      <w:jc w:val="center"/>
    </w:pPr>
    <w:rPr>
      <w:rFonts w:cs="宋体"/>
    </w:rPr>
  </w:style>
  <w:style w:type="character" w:customStyle="1" w:styleId="Char0">
    <w:name w:val="批注文字 Char"/>
    <w:link w:val="a5"/>
    <w:qFormat/>
    <w:rsid w:val="00063003"/>
    <w:rPr>
      <w:kern w:val="2"/>
      <w:sz w:val="21"/>
    </w:rPr>
  </w:style>
  <w:style w:type="character" w:customStyle="1" w:styleId="Char4">
    <w:name w:val="批注主题 Char"/>
    <w:link w:val="ac"/>
    <w:qFormat/>
    <w:rsid w:val="00063003"/>
    <w:rPr>
      <w:b/>
      <w:bCs/>
      <w:kern w:val="2"/>
      <w:sz w:val="21"/>
    </w:rPr>
  </w:style>
  <w:style w:type="paragraph" w:styleId="af4">
    <w:name w:val="List Paragraph"/>
    <w:basedOn w:val="a"/>
    <w:uiPriority w:val="99"/>
    <w:qFormat/>
    <w:rsid w:val="00063003"/>
    <w:pPr>
      <w:ind w:firstLineChars="200" w:firstLine="420"/>
    </w:pPr>
    <w:rPr>
      <w:szCs w:val="24"/>
    </w:rPr>
  </w:style>
  <w:style w:type="paragraph" w:customStyle="1" w:styleId="12">
    <w:name w:val="修订1"/>
    <w:hidden/>
    <w:uiPriority w:val="99"/>
    <w:semiHidden/>
    <w:qFormat/>
    <w:rsid w:val="00063003"/>
    <w:rPr>
      <w:kern w:val="2"/>
      <w:sz w:val="21"/>
    </w:rPr>
  </w:style>
  <w:style w:type="paragraph" w:customStyle="1" w:styleId="Default">
    <w:name w:val="Default"/>
    <w:qFormat/>
    <w:rsid w:val="00063003"/>
    <w:pPr>
      <w:widowControl w:val="0"/>
      <w:autoSpaceDE w:val="0"/>
      <w:autoSpaceDN w:val="0"/>
      <w:adjustRightInd w:val="0"/>
    </w:pPr>
    <w:rPr>
      <w:rFonts w:ascii="宋体" w:cs="宋体"/>
      <w:color w:val="000000"/>
      <w:sz w:val="24"/>
      <w:szCs w:val="24"/>
    </w:rPr>
  </w:style>
  <w:style w:type="paragraph" w:customStyle="1" w:styleId="neirong">
    <w:name w:val="neirong"/>
    <w:basedOn w:val="a"/>
    <w:qFormat/>
    <w:rsid w:val="00063003"/>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21">
    <w:name w:val="修订2"/>
    <w:hidden/>
    <w:uiPriority w:val="99"/>
    <w:unhideWhenUsed/>
    <w:qFormat/>
    <w:rsid w:val="00063003"/>
    <w:rPr>
      <w:kern w:val="2"/>
      <w:sz w:val="21"/>
    </w:rPr>
  </w:style>
  <w:style w:type="paragraph" w:customStyle="1" w:styleId="biaogeleft">
    <w:name w:val="biaoge_left"/>
    <w:basedOn w:val="a"/>
    <w:qFormat/>
    <w:rsid w:val="00063003"/>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05A00-3CB2-48E6-B0B9-01E6E9D7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5947</Characters>
  <Application>Microsoft Office Word</Application>
  <DocSecurity>4</DocSecurity>
  <Lines>49</Lines>
  <Paragraphs>13</Paragraphs>
  <ScaleCrop>false</ScaleCrop>
  <Company>Sky123.Org</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c:creator>
  <cp:lastModifiedBy>ZHONGM</cp:lastModifiedBy>
  <cp:revision>2</cp:revision>
  <cp:lastPrinted>2018-08-16T02:11:00Z</cp:lastPrinted>
  <dcterms:created xsi:type="dcterms:W3CDTF">2022-12-23T16:01:00Z</dcterms:created>
  <dcterms:modified xsi:type="dcterms:W3CDTF">2022-12-23T16:01:00Z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8D6E4AEE7BB849ACB8A4BFF1BC6C5C3F</vt:lpwstr>
  </property>
  <property fmtid="{D5CDD505-2E9C-101B-9397-08002B2CF9AE}" pid="4" name="skgMailInfo000">
    <vt:lpwstr>eyAibWFpbEZyb20iOiAiZmVuZ3J1bnlpbmdAenJmdW5kcy5jb20uY24iLCAicmNwdFRvIjogInpoYW5nbGFuQGhpd2F5c2xhdy5jb207eHV4aW5AaGl3YXlzbGF3LmNvbSIsICJuYW1lIjogIuS4reiejemHj+WMluaZuumAiea3t+WQiOWei+ivgeWIuOaKlei1hOWfuumHkS3muIXnrpfmiqXlkYrlrprnqL8uZG9jeCIsICJkYXRlIjogIjI</vt:lpwstr>
  </property>
  <property fmtid="{D5CDD505-2E9C-101B-9397-08002B2CF9AE}" pid="5" name="skgMailInfo001">
    <vt:lpwstr>eyAibWFpbEZyb20iOiAiemhhbmdqaW5nYW9AenJmdW5kcy5jb20uY24iLCAicmNwdFRvIjogImxrbEBzc25ld3MuY29tLmNuIiwgIm5hbWUiOiAi5Lit6J6N6YeP5YyW5pm66YCJ5re35ZCI5Z6L6K+B5Yi45oqV6LWE5Z+66YeR5riF566X5oql5ZGKLmRvY3giLCAiZGF0ZSI6ICIyMDIyLTEyLTIzVDE3OjI1OjQyLjc3NTU3OSswODAwIiw</vt:lpwstr>
  </property>
  <property fmtid="{D5CDD505-2E9C-101B-9397-08002B2CF9AE}" pid="6" name="skgMailId">
    <vt:lpwstr>2</vt:lpwstr>
  </property>
</Properties>
</file>