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BFE" w:rsidRDefault="008F2BFE" w:rsidP="008F2BFE">
      <w:pPr>
        <w:widowControl/>
        <w:shd w:val="clear" w:color="auto" w:fill="FFFFFF"/>
        <w:spacing w:before="345" w:after="100" w:afterAutospacing="1"/>
        <w:jc w:val="center"/>
        <w:outlineLvl w:val="1"/>
      </w:pPr>
      <w:r w:rsidRPr="008F2BFE">
        <w:rPr>
          <w:rFonts w:ascii="Verdana" w:eastAsia="宋体" w:hAnsi="Verdana" w:cs="宋体" w:hint="eastAsia"/>
          <w:b/>
          <w:bCs/>
          <w:kern w:val="36"/>
          <w:sz w:val="39"/>
          <w:szCs w:val="39"/>
        </w:rPr>
        <w:t>富荣基金管理有限公司关于旗下部分基金新增</w:t>
      </w:r>
      <w:r w:rsidR="00DD5C7E">
        <w:rPr>
          <w:rFonts w:ascii="Verdana" w:eastAsia="宋体" w:hAnsi="Verdana" w:cs="宋体" w:hint="eastAsia"/>
          <w:b/>
          <w:bCs/>
          <w:kern w:val="36"/>
          <w:sz w:val="39"/>
          <w:szCs w:val="39"/>
        </w:rPr>
        <w:t>金元证券股份有限公司</w:t>
      </w:r>
      <w:r w:rsidRPr="008F2BFE">
        <w:rPr>
          <w:rFonts w:ascii="Verdana" w:eastAsia="宋体" w:hAnsi="Verdana" w:cs="宋体" w:hint="eastAsia"/>
          <w:b/>
          <w:bCs/>
          <w:kern w:val="36"/>
          <w:sz w:val="39"/>
          <w:szCs w:val="39"/>
        </w:rPr>
        <w:t>为销售机构、开通基金定期定额投资业务和基金转换业务并参加申购及定期定额投资申购费率优惠活动的公告</w:t>
      </w:r>
    </w:p>
    <w:p w:rsidR="008F2BFE" w:rsidRDefault="008F2BFE" w:rsidP="008F2BFE">
      <w:pPr>
        <w:widowControl/>
        <w:shd w:val="clear" w:color="auto" w:fill="FFFFFF"/>
        <w:spacing w:line="360" w:lineRule="auto"/>
        <w:ind w:firstLine="420"/>
        <w:jc w:val="left"/>
      </w:pPr>
      <w:r w:rsidRPr="008F2BFE">
        <w:rPr>
          <w:rFonts w:ascii="宋体" w:eastAsia="宋体" w:hAnsi="宋体" w:cs="Calibri" w:hint="eastAsia"/>
          <w:color w:val="000000"/>
          <w:kern w:val="0"/>
          <w:szCs w:val="21"/>
        </w:rPr>
        <w:t>为更好地满足广大投资者的理财需求，根据富荣基金管理有限公司（以下简称“本公司”）与</w:t>
      </w:r>
      <w:r w:rsidR="00DD5C7E">
        <w:rPr>
          <w:rFonts w:ascii="宋体" w:eastAsia="宋体" w:hAnsi="宋体" w:cs="Calibri" w:hint="eastAsia"/>
          <w:color w:val="000000"/>
          <w:kern w:val="0"/>
          <w:szCs w:val="21"/>
        </w:rPr>
        <w:t>金元证券股份有限公司</w:t>
      </w:r>
      <w:r w:rsidRPr="008F2BFE">
        <w:rPr>
          <w:rFonts w:ascii="宋体" w:eastAsia="宋体" w:hAnsi="宋体" w:cs="Calibri" w:hint="eastAsia"/>
          <w:color w:val="000000"/>
          <w:kern w:val="0"/>
          <w:szCs w:val="21"/>
        </w:rPr>
        <w:t>（以下简称“</w:t>
      </w:r>
      <w:r w:rsidR="00DD5C7E">
        <w:rPr>
          <w:rFonts w:ascii="宋体" w:eastAsia="宋体" w:hAnsi="宋体" w:cs="Calibri" w:hint="eastAsia"/>
          <w:color w:val="000000"/>
          <w:kern w:val="0"/>
          <w:szCs w:val="21"/>
        </w:rPr>
        <w:t>金元证券</w:t>
      </w:r>
      <w:r w:rsidRPr="008F2BFE">
        <w:rPr>
          <w:rFonts w:ascii="宋体" w:eastAsia="宋体" w:hAnsi="宋体" w:cs="Calibri" w:hint="eastAsia"/>
          <w:color w:val="000000"/>
          <w:kern w:val="0"/>
          <w:szCs w:val="21"/>
        </w:rPr>
        <w:t>”）签署的委托销售协议，自</w:t>
      </w:r>
      <w:r w:rsidRPr="008F2BFE">
        <w:rPr>
          <w:rFonts w:ascii="宋体" w:eastAsia="宋体" w:hAnsi="宋体" w:cs="Calibri"/>
          <w:color w:val="000000"/>
          <w:kern w:val="0"/>
          <w:szCs w:val="21"/>
        </w:rPr>
        <w:t>2022年</w:t>
      </w:r>
      <w:r w:rsidR="00DD5C7E">
        <w:rPr>
          <w:rFonts w:ascii="宋体" w:eastAsia="宋体" w:hAnsi="宋体" w:cs="Calibri"/>
          <w:color w:val="000000"/>
          <w:kern w:val="0"/>
          <w:szCs w:val="21"/>
        </w:rPr>
        <w:t>12</w:t>
      </w:r>
      <w:r w:rsidRPr="008F2BFE">
        <w:rPr>
          <w:rFonts w:ascii="宋体" w:eastAsia="宋体" w:hAnsi="宋体" w:cs="Calibri"/>
          <w:color w:val="000000"/>
          <w:kern w:val="0"/>
          <w:szCs w:val="21"/>
        </w:rPr>
        <w:t>月</w:t>
      </w:r>
      <w:r w:rsidR="00AE11A4">
        <w:rPr>
          <w:rFonts w:ascii="宋体" w:eastAsia="宋体" w:hAnsi="宋体" w:cs="Calibri" w:hint="eastAsia"/>
          <w:color w:val="000000"/>
          <w:kern w:val="0"/>
          <w:szCs w:val="21"/>
        </w:rPr>
        <w:t>2</w:t>
      </w:r>
      <w:r w:rsidR="00AE11A4">
        <w:rPr>
          <w:rFonts w:ascii="宋体" w:eastAsia="宋体" w:hAnsi="宋体" w:cs="Calibri"/>
          <w:color w:val="000000"/>
          <w:kern w:val="0"/>
          <w:szCs w:val="21"/>
        </w:rPr>
        <w:t>3</w:t>
      </w:r>
      <w:r w:rsidRPr="008F2BFE">
        <w:rPr>
          <w:rFonts w:ascii="宋体" w:eastAsia="宋体" w:hAnsi="宋体" w:cs="Calibri"/>
          <w:color w:val="000000"/>
          <w:kern w:val="0"/>
          <w:szCs w:val="21"/>
        </w:rPr>
        <w:t>日起本公司旗下部分基金新增委托</w:t>
      </w:r>
      <w:r w:rsidR="00DD5C7E">
        <w:rPr>
          <w:rFonts w:ascii="宋体" w:eastAsia="宋体" w:hAnsi="宋体" w:cs="Calibri" w:hint="eastAsia"/>
          <w:color w:val="000000"/>
          <w:kern w:val="0"/>
          <w:szCs w:val="21"/>
        </w:rPr>
        <w:t>金元证券</w:t>
      </w:r>
      <w:r w:rsidRPr="008F2BFE">
        <w:rPr>
          <w:rFonts w:ascii="宋体" w:eastAsia="宋体" w:hAnsi="宋体" w:cs="Calibri"/>
          <w:color w:val="000000"/>
          <w:kern w:val="0"/>
          <w:szCs w:val="21"/>
        </w:rPr>
        <w:t>为销售机构并开通基金“定期定额投资业务”和基金“转换业务”，具体的业务流程、办理时间和办理方式以</w:t>
      </w:r>
      <w:r w:rsidR="00DD5C7E">
        <w:rPr>
          <w:rFonts w:ascii="宋体" w:eastAsia="宋体" w:hAnsi="宋体" w:cs="Calibri" w:hint="eastAsia"/>
          <w:color w:val="000000"/>
          <w:kern w:val="0"/>
          <w:szCs w:val="21"/>
        </w:rPr>
        <w:t>金元证券</w:t>
      </w:r>
      <w:r w:rsidRPr="008F2BFE">
        <w:rPr>
          <w:rFonts w:ascii="宋体" w:eastAsia="宋体" w:hAnsi="宋体" w:cs="Calibri"/>
          <w:color w:val="000000"/>
          <w:kern w:val="0"/>
          <w:szCs w:val="21"/>
        </w:rPr>
        <w:t>的规定为准。同时，本公司旗下部分基金参加</w:t>
      </w:r>
      <w:r w:rsidR="00DD5C7E">
        <w:rPr>
          <w:rFonts w:ascii="宋体" w:eastAsia="宋体" w:hAnsi="宋体" w:cs="Calibri" w:hint="eastAsia"/>
          <w:color w:val="000000"/>
          <w:kern w:val="0"/>
          <w:szCs w:val="21"/>
        </w:rPr>
        <w:t>金元证券</w:t>
      </w:r>
      <w:r w:rsidRPr="008F2BFE">
        <w:rPr>
          <w:rFonts w:ascii="宋体" w:eastAsia="宋体" w:hAnsi="宋体" w:cs="Calibri"/>
          <w:color w:val="000000"/>
          <w:kern w:val="0"/>
          <w:szCs w:val="21"/>
        </w:rPr>
        <w:t>开展的基金申购及定期定额投资申购费率优惠活动，具体的活动时间、优惠费率以</w:t>
      </w:r>
      <w:r w:rsidR="00DD5C7E">
        <w:rPr>
          <w:rFonts w:ascii="宋体" w:eastAsia="宋体" w:hAnsi="宋体" w:cs="Calibri" w:hint="eastAsia"/>
          <w:color w:val="000000"/>
          <w:kern w:val="0"/>
          <w:szCs w:val="21"/>
        </w:rPr>
        <w:t>金元证券</w:t>
      </w:r>
      <w:r w:rsidRPr="008F2BFE">
        <w:rPr>
          <w:rFonts w:ascii="宋体" w:eastAsia="宋体" w:hAnsi="宋体" w:cs="Calibri"/>
          <w:color w:val="000000"/>
          <w:kern w:val="0"/>
          <w:szCs w:val="21"/>
        </w:rPr>
        <w:t>的规定为准。现将相关事项公告如下：</w:t>
      </w:r>
    </w:p>
    <w:p w:rsidR="008F2BFE" w:rsidRDefault="008F2BFE" w:rsidP="008F2BFE"/>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一、适用基金</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Pr="008F2BFE">
        <w:rPr>
          <w:rFonts w:ascii="宋体" w:eastAsia="宋体" w:hAnsi="宋体" w:cs="Calibri"/>
          <w:color w:val="000000"/>
          <w:kern w:val="0"/>
          <w:szCs w:val="21"/>
        </w:rPr>
        <w:t>1）富荣沪深300指数增强型证券投资基金（基金代码：A类004788、C类004789）；</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Pr="008F2BFE">
        <w:rPr>
          <w:rFonts w:ascii="宋体" w:eastAsia="宋体" w:hAnsi="宋体" w:cs="Calibri"/>
          <w:color w:val="000000"/>
          <w:kern w:val="0"/>
          <w:szCs w:val="21"/>
        </w:rPr>
        <w:t>2）富荣中证500指数增强型证券投资基金（基金代码：A类004790、C类004791）；</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00B576AE">
        <w:rPr>
          <w:rFonts w:ascii="宋体" w:eastAsia="宋体" w:hAnsi="宋体" w:cs="Calibri"/>
          <w:color w:val="000000"/>
          <w:kern w:val="0"/>
          <w:szCs w:val="21"/>
        </w:rPr>
        <w:t>3</w:t>
      </w:r>
      <w:r w:rsidRPr="008F2BFE">
        <w:rPr>
          <w:rFonts w:ascii="宋体" w:eastAsia="宋体" w:hAnsi="宋体" w:cs="Calibri"/>
          <w:color w:val="000000"/>
          <w:kern w:val="0"/>
          <w:szCs w:val="21"/>
        </w:rPr>
        <w:t>）富荣福鑫灵活配置混合型证券投资基金（基金代码：A类004794、C类004795）；</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00B576AE">
        <w:rPr>
          <w:rFonts w:ascii="宋体" w:eastAsia="宋体" w:hAnsi="宋体" w:cs="Calibri"/>
          <w:color w:val="000000"/>
          <w:kern w:val="0"/>
          <w:szCs w:val="21"/>
        </w:rPr>
        <w:t>4</w:t>
      </w:r>
      <w:r w:rsidRPr="008F2BFE">
        <w:rPr>
          <w:rFonts w:ascii="宋体" w:eastAsia="宋体" w:hAnsi="宋体" w:cs="Calibri"/>
          <w:color w:val="000000"/>
          <w:kern w:val="0"/>
          <w:szCs w:val="21"/>
        </w:rPr>
        <w:t>）富荣福锦混合型证券投资基金（基金代码：A类005164、C类005165）；</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00B576AE">
        <w:rPr>
          <w:rFonts w:ascii="宋体" w:eastAsia="宋体" w:hAnsi="宋体" w:cs="Calibri"/>
          <w:color w:val="000000"/>
          <w:kern w:val="0"/>
          <w:szCs w:val="21"/>
        </w:rPr>
        <w:t>5</w:t>
      </w:r>
      <w:r w:rsidRPr="008F2BFE">
        <w:rPr>
          <w:rFonts w:ascii="宋体" w:eastAsia="宋体" w:hAnsi="宋体" w:cs="Calibri"/>
          <w:color w:val="000000"/>
          <w:kern w:val="0"/>
          <w:szCs w:val="21"/>
        </w:rPr>
        <w:t>）富荣价值精选灵活配置混合型发起式证券投资基金（基金代码：A类006109、C类006110）；</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00B576AE">
        <w:rPr>
          <w:rFonts w:ascii="宋体" w:eastAsia="宋体" w:hAnsi="宋体" w:cs="Calibri"/>
          <w:color w:val="000000"/>
          <w:kern w:val="0"/>
          <w:szCs w:val="21"/>
        </w:rPr>
        <w:t>6</w:t>
      </w:r>
      <w:r w:rsidRPr="008F2BFE">
        <w:rPr>
          <w:rFonts w:ascii="宋体" w:eastAsia="宋体" w:hAnsi="宋体" w:cs="Calibri"/>
          <w:color w:val="000000"/>
          <w:kern w:val="0"/>
          <w:szCs w:val="21"/>
        </w:rPr>
        <w:t>）富荣福银混合型证券投资基金（基金代码：A类012545、C类012546）；</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00B576AE">
        <w:rPr>
          <w:rFonts w:ascii="宋体" w:eastAsia="宋体" w:hAnsi="宋体" w:cs="Calibri"/>
          <w:color w:val="000000"/>
          <w:kern w:val="0"/>
          <w:szCs w:val="21"/>
        </w:rPr>
        <w:t>7</w:t>
      </w:r>
      <w:r w:rsidRPr="008F2BFE">
        <w:rPr>
          <w:rFonts w:ascii="宋体" w:eastAsia="宋体" w:hAnsi="宋体" w:cs="Calibri"/>
          <w:color w:val="000000"/>
          <w:kern w:val="0"/>
          <w:szCs w:val="21"/>
        </w:rPr>
        <w:t>）富荣信息技术混合型证券投资基金（基金代码：A类013345、C类013346）；</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00B576AE">
        <w:rPr>
          <w:rFonts w:ascii="宋体" w:eastAsia="宋体" w:hAnsi="宋体" w:cs="Calibri"/>
          <w:color w:val="000000"/>
          <w:kern w:val="0"/>
          <w:szCs w:val="21"/>
        </w:rPr>
        <w:t>8</w:t>
      </w:r>
      <w:r w:rsidRPr="008F2BFE">
        <w:rPr>
          <w:rFonts w:ascii="宋体" w:eastAsia="宋体" w:hAnsi="宋体" w:cs="Calibri"/>
          <w:color w:val="000000"/>
          <w:kern w:val="0"/>
          <w:szCs w:val="21"/>
        </w:rPr>
        <w:t>）富荣福耀混合型证券投资基金（基金代码：A类012876、C类012877）；</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00B576AE">
        <w:rPr>
          <w:rFonts w:ascii="宋体" w:eastAsia="宋体" w:hAnsi="宋体" w:cs="Calibri"/>
          <w:color w:val="000000"/>
          <w:kern w:val="0"/>
          <w:szCs w:val="21"/>
        </w:rPr>
        <w:t>9</w:t>
      </w:r>
      <w:r w:rsidRPr="008F2BFE">
        <w:rPr>
          <w:rFonts w:ascii="宋体" w:eastAsia="宋体" w:hAnsi="宋体" w:cs="Calibri"/>
          <w:color w:val="000000"/>
          <w:kern w:val="0"/>
          <w:szCs w:val="21"/>
        </w:rPr>
        <w:t>）富荣量化精选混合型发起式证券投资基金（基金代码：A类014556、C类014557）；</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00B576AE">
        <w:rPr>
          <w:rFonts w:ascii="宋体" w:eastAsia="宋体" w:hAnsi="宋体" w:cs="Calibri"/>
          <w:color w:val="000000"/>
          <w:kern w:val="0"/>
          <w:szCs w:val="21"/>
        </w:rPr>
        <w:t>10</w:t>
      </w:r>
      <w:r w:rsidRPr="008F2BFE">
        <w:rPr>
          <w:rFonts w:ascii="宋体" w:eastAsia="宋体" w:hAnsi="宋体" w:cs="Calibri"/>
          <w:color w:val="000000"/>
          <w:kern w:val="0"/>
          <w:szCs w:val="21"/>
        </w:rPr>
        <w:t>）富荣富乾债券型证券投资基金（基金代码：A类004792、C类004793）；</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Pr="008F2BFE">
        <w:rPr>
          <w:rFonts w:ascii="宋体" w:eastAsia="宋体" w:hAnsi="宋体" w:cs="Calibri"/>
          <w:color w:val="000000"/>
          <w:kern w:val="0"/>
          <w:szCs w:val="21"/>
        </w:rPr>
        <w:t>1</w:t>
      </w:r>
      <w:r w:rsidR="00B576AE">
        <w:rPr>
          <w:rFonts w:ascii="宋体" w:eastAsia="宋体" w:hAnsi="宋体" w:cs="Calibri"/>
          <w:color w:val="000000"/>
          <w:kern w:val="0"/>
          <w:szCs w:val="21"/>
        </w:rPr>
        <w:t>1</w:t>
      </w:r>
      <w:r w:rsidRPr="008F2BFE">
        <w:rPr>
          <w:rFonts w:ascii="宋体" w:eastAsia="宋体" w:hAnsi="宋体" w:cs="Calibri"/>
          <w:color w:val="000000"/>
          <w:kern w:val="0"/>
          <w:szCs w:val="21"/>
        </w:rPr>
        <w:t>）富荣富祥纯债债券型证券投资基金（基金代码：003999）；</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Pr="008F2BFE">
        <w:rPr>
          <w:rFonts w:ascii="宋体" w:eastAsia="宋体" w:hAnsi="宋体" w:cs="Calibri"/>
          <w:color w:val="000000"/>
          <w:kern w:val="0"/>
          <w:szCs w:val="21"/>
        </w:rPr>
        <w:t>1</w:t>
      </w:r>
      <w:r w:rsidR="00B576AE">
        <w:rPr>
          <w:rFonts w:ascii="宋体" w:eastAsia="宋体" w:hAnsi="宋体" w:cs="Calibri"/>
          <w:color w:val="000000"/>
          <w:kern w:val="0"/>
          <w:szCs w:val="21"/>
        </w:rPr>
        <w:t>2</w:t>
      </w:r>
      <w:r w:rsidRPr="008F2BFE">
        <w:rPr>
          <w:rFonts w:ascii="宋体" w:eastAsia="宋体" w:hAnsi="宋体" w:cs="Calibri"/>
          <w:color w:val="000000"/>
          <w:kern w:val="0"/>
          <w:szCs w:val="21"/>
        </w:rPr>
        <w:t>）富荣富兴纯债债券型证券投资基金（基金代码：004441）；</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Pr="008F2BFE">
        <w:rPr>
          <w:rFonts w:ascii="宋体" w:eastAsia="宋体" w:hAnsi="宋体" w:cs="Calibri"/>
          <w:color w:val="000000"/>
          <w:kern w:val="0"/>
          <w:szCs w:val="21"/>
        </w:rPr>
        <w:t>1</w:t>
      </w:r>
      <w:r w:rsidR="00B576AE">
        <w:rPr>
          <w:rFonts w:ascii="宋体" w:eastAsia="宋体" w:hAnsi="宋体" w:cs="Calibri"/>
          <w:color w:val="000000"/>
          <w:kern w:val="0"/>
          <w:szCs w:val="21"/>
        </w:rPr>
        <w:t>3</w:t>
      </w:r>
      <w:r w:rsidRPr="008F2BFE">
        <w:rPr>
          <w:rFonts w:ascii="宋体" w:eastAsia="宋体" w:hAnsi="宋体" w:cs="Calibri"/>
          <w:color w:val="000000"/>
          <w:kern w:val="0"/>
          <w:szCs w:val="21"/>
        </w:rPr>
        <w:t>）富荣富开1-3年国开债纯债债券型证券投资基金（基金代码：A类006488、C类007907）；</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lastRenderedPageBreak/>
        <w:t>（</w:t>
      </w:r>
      <w:r w:rsidRPr="008F2BFE">
        <w:rPr>
          <w:rFonts w:ascii="宋体" w:eastAsia="宋体" w:hAnsi="宋体" w:cs="Calibri"/>
          <w:color w:val="000000"/>
          <w:kern w:val="0"/>
          <w:szCs w:val="21"/>
        </w:rPr>
        <w:t>1</w:t>
      </w:r>
      <w:r w:rsidR="00B576AE">
        <w:rPr>
          <w:rFonts w:ascii="宋体" w:eastAsia="宋体" w:hAnsi="宋体" w:cs="Calibri"/>
          <w:color w:val="000000"/>
          <w:kern w:val="0"/>
          <w:szCs w:val="21"/>
        </w:rPr>
        <w:t>4</w:t>
      </w:r>
      <w:r w:rsidRPr="008F2BFE">
        <w:rPr>
          <w:rFonts w:ascii="宋体" w:eastAsia="宋体" w:hAnsi="宋体" w:cs="Calibri"/>
          <w:color w:val="000000"/>
          <w:kern w:val="0"/>
          <w:szCs w:val="21"/>
        </w:rPr>
        <w:t>）富荣富恒两年定期开放债券型证券投资基金（基金代码：009506）；</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Pr="008F2BFE">
        <w:rPr>
          <w:rFonts w:ascii="宋体" w:eastAsia="宋体" w:hAnsi="宋体" w:cs="Calibri"/>
          <w:color w:val="000000"/>
          <w:kern w:val="0"/>
          <w:szCs w:val="21"/>
        </w:rPr>
        <w:t>1</w:t>
      </w:r>
      <w:r w:rsidR="00B576AE">
        <w:rPr>
          <w:rFonts w:ascii="宋体" w:eastAsia="宋体" w:hAnsi="宋体" w:cs="Calibri"/>
          <w:color w:val="000000"/>
          <w:kern w:val="0"/>
          <w:szCs w:val="21"/>
        </w:rPr>
        <w:t>5</w:t>
      </w:r>
      <w:r w:rsidRPr="008F2BFE">
        <w:rPr>
          <w:rFonts w:ascii="宋体" w:eastAsia="宋体" w:hAnsi="宋体" w:cs="Calibri"/>
          <w:color w:val="000000"/>
          <w:kern w:val="0"/>
          <w:szCs w:val="21"/>
        </w:rPr>
        <w:t>）富荣医药健康混合型发起式证券投资基金（基金代码：A类015655、C类015656）；</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w:t>
      </w:r>
      <w:r w:rsidRPr="008F2BFE">
        <w:rPr>
          <w:rFonts w:ascii="宋体" w:eastAsia="宋体" w:hAnsi="宋体" w:cs="Calibri"/>
          <w:color w:val="000000"/>
          <w:kern w:val="0"/>
          <w:szCs w:val="21"/>
        </w:rPr>
        <w:t>1</w:t>
      </w:r>
      <w:r w:rsidR="00B576AE">
        <w:rPr>
          <w:rFonts w:ascii="宋体" w:eastAsia="宋体" w:hAnsi="宋体" w:cs="Calibri"/>
          <w:color w:val="000000"/>
          <w:kern w:val="0"/>
          <w:szCs w:val="21"/>
        </w:rPr>
        <w:t>6</w:t>
      </w:r>
      <w:r w:rsidRPr="008F2BFE">
        <w:rPr>
          <w:rFonts w:ascii="宋体" w:eastAsia="宋体" w:hAnsi="宋体" w:cs="Calibri"/>
          <w:color w:val="000000"/>
          <w:kern w:val="0"/>
          <w:szCs w:val="21"/>
        </w:rPr>
        <w:t>）富荣中短债债券型证券投资基金（基金代码：A类013520、C类013521）；</w:t>
      </w:r>
    </w:p>
    <w:p w:rsidR="008F2BFE" w:rsidRDefault="008F2BFE" w:rsidP="008F2BFE">
      <w:pPr>
        <w:widowControl/>
        <w:shd w:val="clear" w:color="auto" w:fill="FFFFFF"/>
        <w:spacing w:line="360" w:lineRule="auto"/>
        <w:ind w:firstLine="420"/>
        <w:jc w:val="left"/>
      </w:pPr>
      <w:r w:rsidRPr="008F2BFE">
        <w:rPr>
          <w:rFonts w:ascii="宋体" w:eastAsia="宋体" w:hAnsi="宋体" w:cs="Calibri" w:hint="eastAsia"/>
          <w:color w:val="000000"/>
          <w:kern w:val="0"/>
          <w:szCs w:val="21"/>
        </w:rPr>
        <w:t>（</w:t>
      </w:r>
      <w:r w:rsidRPr="008F2BFE">
        <w:rPr>
          <w:rFonts w:ascii="宋体" w:eastAsia="宋体" w:hAnsi="宋体" w:cs="Calibri"/>
          <w:color w:val="000000"/>
          <w:kern w:val="0"/>
          <w:szCs w:val="21"/>
        </w:rPr>
        <w:t>1</w:t>
      </w:r>
      <w:r w:rsidR="00B576AE">
        <w:rPr>
          <w:rFonts w:ascii="宋体" w:eastAsia="宋体" w:hAnsi="宋体" w:cs="Calibri"/>
          <w:color w:val="000000"/>
          <w:kern w:val="0"/>
          <w:szCs w:val="21"/>
        </w:rPr>
        <w:t>7</w:t>
      </w:r>
      <w:r w:rsidRPr="008F2BFE">
        <w:rPr>
          <w:rFonts w:ascii="宋体" w:eastAsia="宋体" w:hAnsi="宋体" w:cs="Calibri"/>
          <w:color w:val="000000"/>
          <w:kern w:val="0"/>
          <w:szCs w:val="21"/>
        </w:rPr>
        <w:t>）富荣货币市场基金（基金代码：A类003467、B类003468）。</w:t>
      </w:r>
    </w:p>
    <w:p w:rsidR="008F2BFE" w:rsidRDefault="008F2BFE" w:rsidP="008F2BFE"/>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二、业务咨询</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color w:val="000000"/>
          <w:kern w:val="0"/>
          <w:szCs w:val="21"/>
        </w:rPr>
        <w:t>1、富荣基金管理有限公司</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客户服务电话：</w:t>
      </w:r>
      <w:r w:rsidRPr="008F2BFE">
        <w:rPr>
          <w:rFonts w:ascii="宋体" w:eastAsia="宋体" w:hAnsi="宋体" w:cs="Calibri"/>
          <w:color w:val="000000"/>
          <w:kern w:val="0"/>
          <w:szCs w:val="21"/>
        </w:rPr>
        <w:t>400-685-5600</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网址：</w:t>
      </w:r>
      <w:r w:rsidRPr="008F2BFE">
        <w:rPr>
          <w:rFonts w:ascii="宋体" w:eastAsia="宋体" w:hAnsi="宋体" w:cs="Calibri"/>
          <w:color w:val="000000"/>
          <w:kern w:val="0"/>
          <w:szCs w:val="21"/>
        </w:rPr>
        <w:t>www.furamc.com.cn</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color w:val="000000"/>
          <w:kern w:val="0"/>
          <w:szCs w:val="21"/>
        </w:rPr>
        <w:t>2、</w:t>
      </w:r>
      <w:r w:rsidR="00DD5C7E">
        <w:rPr>
          <w:rFonts w:ascii="宋体" w:eastAsia="宋体" w:hAnsi="宋体" w:cs="Calibri"/>
          <w:color w:val="000000"/>
          <w:kern w:val="0"/>
          <w:szCs w:val="21"/>
        </w:rPr>
        <w:t>金元证券股份有限公司</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客服电话：</w:t>
      </w:r>
      <w:r w:rsidR="00DD5C7E" w:rsidRPr="00811094">
        <w:rPr>
          <w:rFonts w:ascii="宋体" w:eastAsia="宋体" w:hAnsi="宋体" w:cs="Calibri"/>
          <w:kern w:val="0"/>
          <w:szCs w:val="21"/>
        </w:rPr>
        <w:t>95372</w:t>
      </w:r>
    </w:p>
    <w:p w:rsidR="008F2BFE" w:rsidRDefault="008F2BFE" w:rsidP="008F2BFE">
      <w:pPr>
        <w:widowControl/>
        <w:shd w:val="clear" w:color="auto" w:fill="FFFFFF"/>
        <w:spacing w:line="360" w:lineRule="auto"/>
        <w:ind w:firstLine="420"/>
        <w:jc w:val="left"/>
      </w:pPr>
      <w:r w:rsidRPr="008F2BFE">
        <w:rPr>
          <w:rFonts w:ascii="宋体" w:eastAsia="宋体" w:hAnsi="宋体" w:cs="Calibri" w:hint="eastAsia"/>
          <w:color w:val="000000"/>
          <w:kern w:val="0"/>
          <w:szCs w:val="21"/>
        </w:rPr>
        <w:t>公司网站：</w:t>
      </w:r>
      <w:r w:rsidR="00DD5C7E" w:rsidRPr="00811094">
        <w:rPr>
          <w:rFonts w:ascii="宋体" w:eastAsia="宋体" w:hAnsi="宋体" w:cs="Calibri"/>
          <w:kern w:val="0"/>
          <w:szCs w:val="21"/>
        </w:rPr>
        <w:t>www.jyzq.cn</w:t>
      </w:r>
    </w:p>
    <w:p w:rsidR="008F2BFE" w:rsidRDefault="008F2BFE" w:rsidP="008F2BFE"/>
    <w:p w:rsidR="008F2BFE" w:rsidRDefault="008F2BFE" w:rsidP="008F2BFE">
      <w:pPr>
        <w:widowControl/>
        <w:spacing w:line="360" w:lineRule="auto"/>
        <w:ind w:firstLineChars="200" w:firstLine="420"/>
        <w:jc w:val="left"/>
      </w:pPr>
      <w:r w:rsidRPr="008F2BFE">
        <w:rPr>
          <w:rFonts w:ascii="宋体" w:eastAsia="宋体" w:hAnsi="宋体" w:cs="Calibri" w:hint="eastAsia"/>
          <w:color w:val="000000"/>
          <w:kern w:val="0"/>
          <w:szCs w:val="21"/>
        </w:rPr>
        <w:t>投资者可以通过上述销售机构办理相关基金的申购、赎回、转换及定投业务。业务办理的具体程序，以销售机构相关规定为准。同时，投资者办理相关基金转换业务适用转换范围，请参考本公司相关公告及业务规则。</w:t>
      </w:r>
    </w:p>
    <w:p w:rsidR="008F2BFE" w:rsidRDefault="008F2BFE" w:rsidP="008F2BFE"/>
    <w:p w:rsidR="008F2BFE" w:rsidRPr="008F2BFE" w:rsidRDefault="008F2BFE" w:rsidP="008F2BFE">
      <w:pPr>
        <w:spacing w:line="360" w:lineRule="auto"/>
        <w:ind w:firstLineChars="200"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三、优惠活动内容</w:t>
      </w:r>
    </w:p>
    <w:p w:rsidR="008F2BFE" w:rsidRDefault="008F2BFE" w:rsidP="008F2BFE">
      <w:pPr>
        <w:spacing w:line="360" w:lineRule="auto"/>
        <w:ind w:firstLineChars="200" w:firstLine="420"/>
        <w:jc w:val="left"/>
      </w:pPr>
      <w:r w:rsidRPr="008F2BFE">
        <w:rPr>
          <w:rFonts w:ascii="宋体" w:eastAsia="宋体" w:hAnsi="宋体" w:cs="Calibri" w:hint="eastAsia"/>
          <w:color w:val="000000"/>
          <w:kern w:val="0"/>
          <w:szCs w:val="21"/>
        </w:rPr>
        <w:t>活动期间，投资者通过</w:t>
      </w:r>
      <w:r w:rsidR="00DD5C7E">
        <w:rPr>
          <w:rFonts w:ascii="宋体" w:eastAsia="宋体" w:hAnsi="宋体" w:cs="Calibri" w:hint="eastAsia"/>
          <w:color w:val="000000"/>
          <w:kern w:val="0"/>
          <w:szCs w:val="21"/>
        </w:rPr>
        <w:t>金元证券</w:t>
      </w:r>
      <w:r w:rsidRPr="008F2BFE">
        <w:rPr>
          <w:rFonts w:ascii="宋体" w:eastAsia="宋体" w:hAnsi="宋体" w:cs="Calibri" w:hint="eastAsia"/>
          <w:color w:val="000000"/>
          <w:kern w:val="0"/>
          <w:szCs w:val="21"/>
        </w:rPr>
        <w:t>一次性申购或定期定额投资申购本公司上述基金（限前端收费模式），享有费率折扣优惠。本次费率优惠活动如有展期、终止或调整，费率优惠规则如有变更，均以销售机构的安排和规定为准。</w:t>
      </w:r>
    </w:p>
    <w:p w:rsidR="008F2BFE" w:rsidRDefault="008F2BFE" w:rsidP="008F2BFE"/>
    <w:p w:rsidR="008F2BFE" w:rsidRPr="008F2BFE" w:rsidRDefault="008F2BFE" w:rsidP="008F2BFE">
      <w:pPr>
        <w:spacing w:line="360" w:lineRule="auto"/>
        <w:ind w:firstLineChars="200"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四、重要提示</w:t>
      </w:r>
    </w:p>
    <w:p w:rsidR="008F2BFE" w:rsidRPr="008F2BFE" w:rsidRDefault="008F2BFE" w:rsidP="008F2BFE">
      <w:pPr>
        <w:spacing w:line="360" w:lineRule="auto"/>
        <w:ind w:firstLineChars="200" w:firstLine="420"/>
        <w:jc w:val="left"/>
        <w:rPr>
          <w:rFonts w:ascii="宋体" w:eastAsia="宋体" w:hAnsi="宋体" w:cs="Calibri"/>
          <w:color w:val="000000"/>
          <w:kern w:val="0"/>
          <w:szCs w:val="21"/>
        </w:rPr>
      </w:pPr>
      <w:r w:rsidRPr="008F2BFE">
        <w:rPr>
          <w:rFonts w:ascii="宋体" w:eastAsia="宋体" w:hAnsi="宋体" w:cs="Calibri"/>
          <w:color w:val="000000"/>
          <w:kern w:val="0"/>
          <w:szCs w:val="21"/>
        </w:rPr>
        <w:t>1、本优惠活动仅适用于正常申购期基金的一次性申购手续费和定期定额投资申购手续费，不包括上述基金的后端收费模式的申购手续费，对于大额申购采用固定费用方式收费的基金不参与折扣活动。</w:t>
      </w:r>
    </w:p>
    <w:p w:rsidR="008F2BFE" w:rsidRPr="008F2BFE" w:rsidRDefault="008F2BFE" w:rsidP="008F2BFE">
      <w:pPr>
        <w:spacing w:line="360" w:lineRule="auto"/>
        <w:ind w:firstLineChars="200" w:firstLine="420"/>
        <w:jc w:val="left"/>
        <w:rPr>
          <w:rFonts w:ascii="宋体" w:eastAsia="宋体" w:hAnsi="宋体" w:cs="Calibri"/>
          <w:color w:val="000000"/>
          <w:kern w:val="0"/>
          <w:szCs w:val="21"/>
        </w:rPr>
      </w:pPr>
      <w:r w:rsidRPr="008F2BFE">
        <w:rPr>
          <w:rFonts w:ascii="宋体" w:eastAsia="宋体" w:hAnsi="宋体" w:cs="Calibri"/>
          <w:color w:val="000000"/>
          <w:kern w:val="0"/>
          <w:szCs w:val="21"/>
        </w:rPr>
        <w:t>2、上述基金原申购费率标准请详见上述基金相关法律文件及本公司发布的最新业务公告。</w:t>
      </w:r>
    </w:p>
    <w:p w:rsidR="008F2BFE" w:rsidRPr="008F2BFE" w:rsidRDefault="008F2BFE" w:rsidP="008F2BFE">
      <w:pPr>
        <w:spacing w:line="360" w:lineRule="auto"/>
        <w:ind w:firstLineChars="200" w:firstLine="420"/>
        <w:jc w:val="left"/>
        <w:rPr>
          <w:rFonts w:ascii="宋体" w:eastAsia="宋体" w:hAnsi="宋体" w:cs="Calibri"/>
          <w:color w:val="000000"/>
          <w:kern w:val="0"/>
          <w:szCs w:val="21"/>
        </w:rPr>
      </w:pPr>
      <w:r w:rsidRPr="008F2BFE">
        <w:rPr>
          <w:rFonts w:ascii="宋体" w:eastAsia="宋体" w:hAnsi="宋体" w:cs="Calibri"/>
          <w:color w:val="000000"/>
          <w:kern w:val="0"/>
          <w:szCs w:val="21"/>
        </w:rPr>
        <w:lastRenderedPageBreak/>
        <w:t>3、该活动解释权归本公司及代销机构所有。有关本次活动的具体规定如有变化，敬请投资者留意本公司及代销机构的相关公告。</w:t>
      </w:r>
    </w:p>
    <w:p w:rsidR="008F2BFE" w:rsidRDefault="008F2BFE" w:rsidP="008F2BFE"/>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风险提示：</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8F2BFE" w:rsidRPr="008F2BFE"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8F2BFE">
        <w:rPr>
          <w:rFonts w:ascii="宋体" w:eastAsia="宋体" w:hAnsi="宋体" w:cs="Calibri" w:hint="eastAsia"/>
          <w:color w:val="000000"/>
          <w:kern w:val="0"/>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敬请投资者留意投资风险。</w:t>
      </w:r>
    </w:p>
    <w:p w:rsidR="008F2BFE" w:rsidRDefault="008F2BFE" w:rsidP="008F2BFE">
      <w:pPr>
        <w:widowControl/>
        <w:shd w:val="clear" w:color="auto" w:fill="FFFFFF"/>
        <w:spacing w:line="360" w:lineRule="auto"/>
        <w:ind w:firstLine="420"/>
        <w:jc w:val="left"/>
      </w:pPr>
      <w:r w:rsidRPr="008F2BFE">
        <w:rPr>
          <w:rFonts w:ascii="宋体" w:eastAsia="宋体" w:hAnsi="宋体" w:cs="Calibri" w:hint="eastAsia"/>
          <w:color w:val="000000"/>
          <w:kern w:val="0"/>
          <w:szCs w:val="21"/>
        </w:rPr>
        <w:t>特此公告。</w:t>
      </w:r>
    </w:p>
    <w:p w:rsidR="008F2BFE" w:rsidRDefault="008F2BFE" w:rsidP="008F2BFE"/>
    <w:p w:rsidR="008F2BFE" w:rsidRPr="008F2BFE" w:rsidRDefault="008F2BFE" w:rsidP="008F2BFE">
      <w:pPr>
        <w:widowControl/>
        <w:shd w:val="clear" w:color="auto" w:fill="FFFFFF"/>
        <w:spacing w:line="360" w:lineRule="auto"/>
        <w:ind w:firstLine="420"/>
        <w:jc w:val="right"/>
        <w:rPr>
          <w:rFonts w:ascii="宋体" w:eastAsia="宋体" w:hAnsi="宋体" w:cs="Calibri"/>
          <w:color w:val="000000"/>
          <w:kern w:val="0"/>
          <w:szCs w:val="21"/>
        </w:rPr>
      </w:pPr>
      <w:r w:rsidRPr="008F2BFE">
        <w:rPr>
          <w:rFonts w:ascii="宋体" w:eastAsia="宋体" w:hAnsi="宋体" w:cs="Calibri" w:hint="eastAsia"/>
          <w:color w:val="000000"/>
          <w:kern w:val="0"/>
          <w:szCs w:val="21"/>
        </w:rPr>
        <w:t>富荣基金管理有限公司</w:t>
      </w:r>
    </w:p>
    <w:p w:rsidR="00D83005" w:rsidRPr="008F2BFE" w:rsidRDefault="008F2BFE" w:rsidP="008F2BFE">
      <w:pPr>
        <w:widowControl/>
        <w:shd w:val="clear" w:color="auto" w:fill="FFFFFF"/>
        <w:spacing w:line="360" w:lineRule="auto"/>
        <w:ind w:firstLine="420"/>
        <w:jc w:val="right"/>
        <w:rPr>
          <w:rFonts w:ascii="宋体" w:eastAsia="宋体" w:hAnsi="宋体" w:cs="Calibri"/>
          <w:color w:val="000000"/>
          <w:kern w:val="0"/>
          <w:szCs w:val="21"/>
        </w:rPr>
      </w:pPr>
      <w:r w:rsidRPr="008F2BFE">
        <w:rPr>
          <w:rFonts w:ascii="宋体" w:eastAsia="宋体" w:hAnsi="宋体" w:cs="Calibri" w:hint="eastAsia"/>
          <w:color w:val="000000"/>
          <w:kern w:val="0"/>
          <w:szCs w:val="21"/>
        </w:rPr>
        <w:t>二○二二年</w:t>
      </w:r>
      <w:r w:rsidR="00DD5C7E">
        <w:rPr>
          <w:rFonts w:ascii="宋体" w:eastAsia="宋体" w:hAnsi="宋体" w:cs="Calibri" w:hint="eastAsia"/>
          <w:color w:val="000000"/>
          <w:kern w:val="0"/>
          <w:szCs w:val="21"/>
        </w:rPr>
        <w:t>十二</w:t>
      </w:r>
      <w:r w:rsidRPr="008F2BFE">
        <w:rPr>
          <w:rFonts w:ascii="宋体" w:eastAsia="宋体" w:hAnsi="宋体" w:cs="Calibri" w:hint="eastAsia"/>
          <w:color w:val="000000"/>
          <w:kern w:val="0"/>
          <w:szCs w:val="21"/>
        </w:rPr>
        <w:t>月</w:t>
      </w:r>
      <w:r w:rsidR="00AE11A4">
        <w:rPr>
          <w:rFonts w:ascii="宋体" w:eastAsia="宋体" w:hAnsi="宋体" w:cs="Calibri" w:hint="eastAsia"/>
          <w:color w:val="000000"/>
          <w:kern w:val="0"/>
          <w:szCs w:val="21"/>
        </w:rPr>
        <w:t>二</w:t>
      </w:r>
      <w:r w:rsidRPr="008F2BFE">
        <w:rPr>
          <w:rFonts w:ascii="宋体" w:eastAsia="宋体" w:hAnsi="宋体" w:cs="Calibri" w:hint="eastAsia"/>
          <w:color w:val="000000"/>
          <w:kern w:val="0"/>
          <w:szCs w:val="21"/>
        </w:rPr>
        <w:t>十</w:t>
      </w:r>
      <w:r w:rsidR="00AE11A4">
        <w:rPr>
          <w:rFonts w:ascii="宋体" w:eastAsia="宋体" w:hAnsi="宋体" w:cs="Calibri" w:hint="eastAsia"/>
          <w:color w:val="000000"/>
          <w:kern w:val="0"/>
          <w:szCs w:val="21"/>
        </w:rPr>
        <w:t>三</w:t>
      </w:r>
      <w:r w:rsidRPr="008F2BFE">
        <w:rPr>
          <w:rFonts w:ascii="宋体" w:eastAsia="宋体" w:hAnsi="宋体" w:cs="Calibri" w:hint="eastAsia"/>
          <w:color w:val="000000"/>
          <w:kern w:val="0"/>
          <w:szCs w:val="21"/>
        </w:rPr>
        <w:t>日</w:t>
      </w:r>
    </w:p>
    <w:sectPr w:rsidR="00D83005" w:rsidRPr="008F2BFE" w:rsidSect="00A457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C7E" w:rsidRDefault="00DD5C7E" w:rsidP="00DD5C7E">
      <w:r>
        <w:separator/>
      </w:r>
    </w:p>
  </w:endnote>
  <w:endnote w:type="continuationSeparator" w:id="0">
    <w:p w:rsidR="00DD5C7E" w:rsidRDefault="00DD5C7E" w:rsidP="00DD5C7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C7E" w:rsidRDefault="00DD5C7E" w:rsidP="00DD5C7E">
      <w:r>
        <w:separator/>
      </w:r>
    </w:p>
  </w:footnote>
  <w:footnote w:type="continuationSeparator" w:id="0">
    <w:p w:rsidR="00DD5C7E" w:rsidRDefault="00DD5C7E" w:rsidP="00DD5C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7ACE"/>
    <w:rsid w:val="000E31A3"/>
    <w:rsid w:val="008F2BFE"/>
    <w:rsid w:val="00A4571E"/>
    <w:rsid w:val="00AE11A4"/>
    <w:rsid w:val="00B576AE"/>
    <w:rsid w:val="00C57ACE"/>
    <w:rsid w:val="00D05832"/>
    <w:rsid w:val="00D83005"/>
    <w:rsid w:val="00DD5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7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C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C7E"/>
    <w:rPr>
      <w:sz w:val="18"/>
      <w:szCs w:val="18"/>
    </w:rPr>
  </w:style>
  <w:style w:type="paragraph" w:styleId="a4">
    <w:name w:val="footer"/>
    <w:basedOn w:val="a"/>
    <w:link w:val="Char0"/>
    <w:uiPriority w:val="99"/>
    <w:unhideWhenUsed/>
    <w:rsid w:val="00DD5C7E"/>
    <w:pPr>
      <w:tabs>
        <w:tab w:val="center" w:pos="4153"/>
        <w:tab w:val="right" w:pos="8306"/>
      </w:tabs>
      <w:snapToGrid w:val="0"/>
      <w:jc w:val="left"/>
    </w:pPr>
    <w:rPr>
      <w:sz w:val="18"/>
      <w:szCs w:val="18"/>
    </w:rPr>
  </w:style>
  <w:style w:type="character" w:customStyle="1" w:styleId="Char0">
    <w:name w:val="页脚 Char"/>
    <w:basedOn w:val="a0"/>
    <w:link w:val="a4"/>
    <w:uiPriority w:val="99"/>
    <w:rsid w:val="00DD5C7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1676</Characters>
  <Application>Microsoft Office Word</Application>
  <DocSecurity>4</DocSecurity>
  <Lines>13</Lines>
  <Paragraphs>3</Paragraphs>
  <ScaleCrop>false</ScaleCrop>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黄一峻</dc:creator>
  <cp:keywords/>
  <dc:description/>
  <cp:lastModifiedBy>ZHONGM</cp:lastModifiedBy>
  <cp:revision>2</cp:revision>
  <dcterms:created xsi:type="dcterms:W3CDTF">2022-12-22T16:00:00Z</dcterms:created>
  <dcterms:modified xsi:type="dcterms:W3CDTF">2022-12-22T16:00:00Z</dcterms:modified>
</cp:coreProperties>
</file>