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2F" w:rsidRDefault="00F51681">
      <w:pPr>
        <w:autoSpaceDE w:val="0"/>
        <w:autoSpaceDN w:val="0"/>
        <w:adjustRightInd w:val="0"/>
        <w:spacing w:before="30" w:line="360" w:lineRule="auto"/>
        <w:jc w:val="center"/>
        <w:rPr>
          <w:rFonts w:ascii="宋体" w:hAnsi="宋体" w:cs="宋体"/>
          <w:b/>
          <w:color w:val="000000"/>
          <w:kern w:val="0"/>
          <w:sz w:val="32"/>
        </w:rPr>
      </w:pPr>
      <w:bookmarkStart w:id="0" w:name="_GoBack"/>
      <w:bookmarkEnd w:id="0"/>
      <w:r>
        <w:rPr>
          <w:rFonts w:ascii="宋体" w:hAnsi="宋体" w:cs="宋体" w:hint="eastAsia"/>
          <w:b/>
          <w:color w:val="000000"/>
          <w:kern w:val="0"/>
          <w:sz w:val="32"/>
        </w:rPr>
        <w:t>创金合信</w:t>
      </w:r>
      <w:r>
        <w:rPr>
          <w:rFonts w:ascii="宋体" w:hAnsi="宋体" w:cs="宋体" w:hint="eastAsia"/>
          <w:b/>
          <w:bCs/>
          <w:color w:val="000000"/>
          <w:kern w:val="0"/>
          <w:sz w:val="32"/>
          <w:szCs w:val="32"/>
        </w:rPr>
        <w:t>泰盈双季红6个月定期开放债券型证券投资</w:t>
      </w:r>
      <w:r>
        <w:rPr>
          <w:rFonts w:ascii="宋体" w:hAnsi="宋体" w:cs="宋体" w:hint="eastAsia"/>
          <w:b/>
          <w:color w:val="000000"/>
          <w:kern w:val="0"/>
          <w:sz w:val="32"/>
        </w:rPr>
        <w:t>基金开放申购、赎回</w:t>
      </w:r>
      <w:r>
        <w:rPr>
          <w:rFonts w:ascii="宋体" w:hAnsi="宋体" w:cs="宋体" w:hint="eastAsia"/>
          <w:b/>
          <w:bCs/>
          <w:color w:val="000000"/>
          <w:kern w:val="0"/>
          <w:sz w:val="32"/>
          <w:szCs w:val="32"/>
        </w:rPr>
        <w:t>及</w:t>
      </w:r>
      <w:r>
        <w:rPr>
          <w:rFonts w:ascii="宋体" w:hAnsi="宋体" w:cs="宋体" w:hint="eastAsia"/>
          <w:b/>
          <w:color w:val="000000"/>
          <w:kern w:val="0"/>
          <w:sz w:val="32"/>
        </w:rPr>
        <w:t>转换业务的公告</w:t>
      </w:r>
    </w:p>
    <w:p w:rsidR="00054C2F" w:rsidRDefault="00054C2F">
      <w:pPr>
        <w:autoSpaceDE w:val="0"/>
        <w:autoSpaceDN w:val="0"/>
        <w:adjustRightInd w:val="0"/>
        <w:spacing w:line="360" w:lineRule="auto"/>
        <w:jc w:val="left"/>
        <w:rPr>
          <w:rFonts w:ascii="宋体" w:hAnsi="宋体" w:cs="宋体"/>
          <w:color w:val="000000"/>
          <w:kern w:val="0"/>
          <w:sz w:val="24"/>
          <w:szCs w:val="24"/>
        </w:rPr>
      </w:pPr>
    </w:p>
    <w:p w:rsidR="00054C2F" w:rsidRDefault="00F51681">
      <w:pPr>
        <w:autoSpaceDE w:val="0"/>
        <w:autoSpaceDN w:val="0"/>
        <w:adjustRightInd w:val="0"/>
        <w:spacing w:before="30"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公告披露日期：2022年</w:t>
      </w:r>
      <w:r w:rsidR="00712BE0">
        <w:rPr>
          <w:rFonts w:ascii="宋体" w:hAnsi="宋体" w:cs="宋体"/>
          <w:color w:val="000000"/>
          <w:kern w:val="0"/>
          <w:sz w:val="24"/>
          <w:szCs w:val="24"/>
        </w:rPr>
        <w:t>12</w:t>
      </w:r>
      <w:r>
        <w:rPr>
          <w:rFonts w:ascii="宋体" w:hAnsi="宋体" w:cs="宋体" w:hint="eastAsia"/>
          <w:color w:val="000000"/>
          <w:kern w:val="0"/>
          <w:sz w:val="24"/>
          <w:szCs w:val="24"/>
        </w:rPr>
        <w:t>月</w:t>
      </w:r>
      <w:r w:rsidR="00712BE0">
        <w:rPr>
          <w:rFonts w:ascii="宋体" w:hAnsi="宋体" w:cs="宋体"/>
          <w:color w:val="000000"/>
          <w:kern w:val="0"/>
          <w:sz w:val="24"/>
          <w:szCs w:val="24"/>
        </w:rPr>
        <w:t>23</w:t>
      </w:r>
      <w:r>
        <w:rPr>
          <w:rFonts w:ascii="宋体" w:hAnsi="宋体" w:cs="宋体" w:hint="eastAsia"/>
          <w:color w:val="000000"/>
          <w:kern w:val="0"/>
          <w:sz w:val="24"/>
          <w:szCs w:val="24"/>
        </w:rPr>
        <w:t>日</w:t>
      </w:r>
    </w:p>
    <w:p w:rsidR="00054C2F" w:rsidRDefault="00F51681">
      <w:pPr>
        <w:numPr>
          <w:ilvl w:val="0"/>
          <w:numId w:val="1"/>
        </w:numPr>
        <w:autoSpaceDE w:val="0"/>
        <w:autoSpaceDN w:val="0"/>
        <w:adjustRightInd w:val="0"/>
        <w:spacing w:before="30" w:line="360" w:lineRule="auto"/>
        <w:jc w:val="left"/>
        <w:outlineLvl w:val="0"/>
        <w:rPr>
          <w:rFonts w:ascii="宋体" w:hAnsi="宋体" w:cs="宋体"/>
          <w:b/>
          <w:color w:val="000000"/>
          <w:kern w:val="0"/>
          <w:sz w:val="24"/>
        </w:rPr>
      </w:pPr>
      <w:r>
        <w:rPr>
          <w:rFonts w:ascii="宋体" w:hAnsi="宋体" w:cs="宋体" w:hint="eastAsia"/>
          <w:b/>
          <w:bCs/>
          <w:color w:val="000000"/>
          <w:kern w:val="0"/>
          <w:sz w:val="24"/>
          <w:szCs w:val="24"/>
        </w:rPr>
        <w:t>公告基本信息</w:t>
      </w:r>
    </w:p>
    <w:tbl>
      <w:tblPr>
        <w:tblW w:w="4824" w:type="pct"/>
        <w:tblInd w:w="108" w:type="dxa"/>
        <w:tblLayout w:type="fixed"/>
        <w:tblLook w:val="04A0"/>
      </w:tblPr>
      <w:tblGrid>
        <w:gridCol w:w="2623"/>
        <w:gridCol w:w="3175"/>
        <w:gridCol w:w="3177"/>
      </w:tblGrid>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djustRightInd w:val="0"/>
              <w:snapToGrid w:val="0"/>
              <w:rPr>
                <w:rFonts w:ascii="宋体" w:hAnsi="宋体" w:cs="宋体"/>
                <w:color w:val="000000"/>
                <w:sz w:val="24"/>
              </w:rPr>
            </w:pPr>
            <w:r>
              <w:rPr>
                <w:rFonts w:ascii="宋体" w:hAnsi="宋体" w:cs="宋体" w:hint="eastAsia"/>
                <w:color w:val="000000"/>
                <w:sz w:val="24"/>
              </w:rPr>
              <w:t>创金合信泰盈双季红6个月定期开放债券型证券投资基金</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基金简称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djustRightInd w:val="0"/>
              <w:snapToGrid w:val="0"/>
              <w:rPr>
                <w:rFonts w:ascii="宋体" w:hAnsi="宋体" w:cs="宋体"/>
                <w:color w:val="000000"/>
                <w:sz w:val="24"/>
              </w:rPr>
            </w:pPr>
            <w:r>
              <w:rPr>
                <w:rFonts w:ascii="宋体" w:hAnsi="宋体" w:cs="宋体" w:hint="eastAsia"/>
                <w:color w:val="000000"/>
                <w:sz w:val="24"/>
              </w:rPr>
              <w:t>创金合信泰盈双季红定开债券</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基金主代码</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rPr>
                <w:rFonts w:ascii="宋体" w:hAnsi="宋体" w:cs="宋体"/>
                <w:color w:val="000000"/>
                <w:kern w:val="0"/>
                <w:sz w:val="24"/>
                <w:szCs w:val="24"/>
              </w:rPr>
            </w:pPr>
            <w:r>
              <w:rPr>
                <w:rFonts w:ascii="宋体" w:hAnsi="宋体" w:cs="宋体" w:hint="eastAsia"/>
                <w:color w:val="000000"/>
                <w:sz w:val="24"/>
              </w:rPr>
              <w:t>005836</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基金运作方式</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契约型定期开放式</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基金合同生效日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2019年10月16日</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基金管理人名称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创金合信基金管理有限公司</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基金托管人名称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宁波银行股份有限公司</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rPr>
              <w:t>基金注册登记机构名称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创金合信基金管理有限公司</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公告依据</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sz w:val="24"/>
              </w:rPr>
              <w:t>创金合信泰盈双季红6个月定期开放债券型证券投资基金</w:t>
            </w:r>
            <w:r>
              <w:rPr>
                <w:rFonts w:ascii="宋体" w:hAnsi="宋体" w:cs="宋体" w:hint="eastAsia"/>
                <w:color w:val="000000"/>
                <w:kern w:val="0"/>
                <w:sz w:val="24"/>
                <w:szCs w:val="24"/>
              </w:rPr>
              <w:t>基金合同》（以下简称“《基金合同》”）、《</w:t>
            </w:r>
            <w:r>
              <w:rPr>
                <w:rFonts w:ascii="宋体" w:hAnsi="宋体" w:cs="宋体" w:hint="eastAsia"/>
                <w:color w:val="000000"/>
                <w:sz w:val="24"/>
              </w:rPr>
              <w:t>创金合信泰盈双季红6个月定期开放债券型证券投资基金</w:t>
            </w:r>
            <w:r>
              <w:rPr>
                <w:rFonts w:ascii="宋体" w:hAnsi="宋体" w:cs="宋体" w:hint="eastAsia"/>
                <w:color w:val="000000"/>
                <w:kern w:val="0"/>
                <w:sz w:val="24"/>
                <w:szCs w:val="24"/>
              </w:rPr>
              <w:t>招募说明书》（以下简称“《招募说明书》”）等</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申购起始日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rsidP="00712BE0">
            <w:pPr>
              <w:autoSpaceDE w:val="0"/>
              <w:autoSpaceDN w:val="0"/>
              <w:adjustRightInd w:val="0"/>
              <w:snapToGrid w:val="0"/>
              <w:ind w:left="15"/>
              <w:rPr>
                <w:rFonts w:ascii="宋体" w:hAnsi="宋体" w:cs="宋体"/>
                <w:color w:val="000000"/>
                <w:kern w:val="0"/>
                <w:sz w:val="24"/>
                <w:highlight w:val="yellow"/>
              </w:rPr>
            </w:pPr>
            <w:r>
              <w:rPr>
                <w:rFonts w:ascii="宋体" w:hAnsi="宋体" w:cs="宋体" w:hint="eastAsia"/>
                <w:color w:val="000000"/>
                <w:kern w:val="0"/>
                <w:sz w:val="24"/>
                <w:szCs w:val="24"/>
              </w:rPr>
              <w:t>2022年</w:t>
            </w:r>
            <w:r w:rsidR="00712BE0">
              <w:rPr>
                <w:rFonts w:ascii="宋体" w:hAnsi="宋体" w:cs="宋体"/>
                <w:color w:val="000000"/>
                <w:kern w:val="0"/>
                <w:sz w:val="24"/>
                <w:szCs w:val="24"/>
              </w:rPr>
              <w:t>12</w:t>
            </w:r>
            <w:r>
              <w:rPr>
                <w:rFonts w:ascii="宋体" w:hAnsi="宋体" w:cs="宋体" w:hint="eastAsia"/>
                <w:color w:val="000000"/>
                <w:kern w:val="0"/>
                <w:sz w:val="24"/>
                <w:szCs w:val="24"/>
              </w:rPr>
              <w:t>月</w:t>
            </w:r>
            <w:r w:rsidR="00712BE0">
              <w:rPr>
                <w:rFonts w:ascii="宋体" w:hAnsi="宋体" w:cs="宋体"/>
                <w:color w:val="000000"/>
                <w:kern w:val="0"/>
                <w:sz w:val="24"/>
                <w:szCs w:val="24"/>
              </w:rPr>
              <w:t>26</w:t>
            </w:r>
            <w:r>
              <w:rPr>
                <w:rFonts w:ascii="宋体" w:hAnsi="宋体" w:cs="宋体" w:hint="eastAsia"/>
                <w:color w:val="000000"/>
                <w:kern w:val="0"/>
                <w:sz w:val="24"/>
                <w:szCs w:val="24"/>
              </w:rPr>
              <w:t>日</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赎回起始日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rsidP="00712BE0">
            <w:pPr>
              <w:autoSpaceDE w:val="0"/>
              <w:autoSpaceDN w:val="0"/>
              <w:adjustRightInd w:val="0"/>
              <w:snapToGrid w:val="0"/>
              <w:ind w:left="15"/>
              <w:rPr>
                <w:rFonts w:ascii="宋体" w:hAnsi="宋体" w:cs="宋体"/>
                <w:color w:val="000000"/>
                <w:kern w:val="0"/>
                <w:sz w:val="24"/>
                <w:highlight w:val="yellow"/>
              </w:rPr>
            </w:pPr>
            <w:r>
              <w:rPr>
                <w:rFonts w:ascii="宋体" w:hAnsi="宋体" w:cs="宋体" w:hint="eastAsia"/>
                <w:color w:val="000000"/>
                <w:kern w:val="0"/>
                <w:sz w:val="24"/>
                <w:szCs w:val="24"/>
              </w:rPr>
              <w:t>2022年</w:t>
            </w:r>
            <w:r w:rsidR="00712BE0">
              <w:rPr>
                <w:rFonts w:ascii="宋体" w:hAnsi="宋体" w:cs="宋体"/>
                <w:color w:val="000000"/>
                <w:kern w:val="0"/>
                <w:sz w:val="24"/>
                <w:szCs w:val="24"/>
              </w:rPr>
              <w:t>12</w:t>
            </w:r>
            <w:r>
              <w:rPr>
                <w:rFonts w:ascii="宋体" w:hAnsi="宋体" w:cs="宋体" w:hint="eastAsia"/>
                <w:color w:val="000000"/>
                <w:kern w:val="0"/>
                <w:sz w:val="24"/>
                <w:szCs w:val="24"/>
              </w:rPr>
              <w:t>月</w:t>
            </w:r>
            <w:r w:rsidR="00712BE0">
              <w:rPr>
                <w:rFonts w:ascii="宋体" w:hAnsi="宋体" w:cs="宋体"/>
                <w:color w:val="000000"/>
                <w:kern w:val="0"/>
                <w:sz w:val="24"/>
                <w:szCs w:val="24"/>
              </w:rPr>
              <w:t>26</w:t>
            </w:r>
            <w:r>
              <w:rPr>
                <w:rFonts w:ascii="宋体" w:hAnsi="宋体" w:cs="宋体" w:hint="eastAsia"/>
                <w:color w:val="000000"/>
                <w:kern w:val="0"/>
                <w:sz w:val="24"/>
                <w:szCs w:val="24"/>
              </w:rPr>
              <w:t>日</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kern w:val="0"/>
                <w:sz w:val="24"/>
                <w:szCs w:val="24"/>
              </w:rPr>
              <w:t>转换转入起始日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rsidP="00712BE0">
            <w:pPr>
              <w:autoSpaceDE w:val="0"/>
              <w:autoSpaceDN w:val="0"/>
              <w:adjustRightInd w:val="0"/>
              <w:snapToGrid w:val="0"/>
              <w:ind w:left="15"/>
              <w:rPr>
                <w:rFonts w:ascii="宋体" w:hAnsi="宋体" w:cs="宋体"/>
                <w:color w:val="000000"/>
                <w:kern w:val="0"/>
                <w:sz w:val="24"/>
              </w:rPr>
            </w:pPr>
            <w:r>
              <w:rPr>
                <w:rFonts w:ascii="宋体" w:hAnsi="宋体" w:cs="宋体" w:hint="eastAsia"/>
                <w:color w:val="000000"/>
                <w:kern w:val="0"/>
                <w:sz w:val="24"/>
                <w:szCs w:val="24"/>
              </w:rPr>
              <w:t>2022年</w:t>
            </w:r>
            <w:r w:rsidR="00712BE0">
              <w:rPr>
                <w:rFonts w:ascii="宋体" w:hAnsi="宋体" w:cs="宋体"/>
                <w:color w:val="000000"/>
                <w:kern w:val="0"/>
                <w:sz w:val="24"/>
                <w:szCs w:val="24"/>
              </w:rPr>
              <w:t>12</w:t>
            </w:r>
            <w:r>
              <w:rPr>
                <w:rFonts w:ascii="宋体" w:hAnsi="宋体" w:cs="宋体" w:hint="eastAsia"/>
                <w:color w:val="000000"/>
                <w:kern w:val="0"/>
                <w:sz w:val="24"/>
                <w:szCs w:val="24"/>
              </w:rPr>
              <w:t>月</w:t>
            </w:r>
            <w:r w:rsidR="00712BE0">
              <w:rPr>
                <w:rFonts w:ascii="宋体" w:hAnsi="宋体" w:cs="宋体"/>
                <w:color w:val="000000"/>
                <w:kern w:val="0"/>
                <w:sz w:val="24"/>
                <w:szCs w:val="24"/>
              </w:rPr>
              <w:t>26</w:t>
            </w:r>
            <w:r>
              <w:rPr>
                <w:rFonts w:ascii="宋体" w:hAnsi="宋体" w:cs="宋体" w:hint="eastAsia"/>
                <w:color w:val="000000"/>
                <w:kern w:val="0"/>
                <w:sz w:val="24"/>
                <w:szCs w:val="24"/>
              </w:rPr>
              <w:t>日</w:t>
            </w:r>
          </w:p>
        </w:tc>
      </w:tr>
      <w:tr w:rsidR="00054C2F">
        <w:tc>
          <w:tcPr>
            <w:tcW w:w="1461" w:type="pct"/>
            <w:tcBorders>
              <w:top w:val="single" w:sz="8" w:space="0" w:color="000000"/>
              <w:left w:val="single" w:sz="8" w:space="0" w:color="000000"/>
              <w:bottom w:val="single" w:sz="6"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kern w:val="0"/>
                <w:sz w:val="24"/>
                <w:szCs w:val="24"/>
              </w:rPr>
              <w:t>转换转出起始日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054C2F" w:rsidRDefault="00F51681" w:rsidP="00712BE0">
            <w:pPr>
              <w:autoSpaceDE w:val="0"/>
              <w:autoSpaceDN w:val="0"/>
              <w:adjustRightInd w:val="0"/>
              <w:snapToGrid w:val="0"/>
              <w:ind w:left="15"/>
              <w:rPr>
                <w:rFonts w:ascii="宋体" w:hAnsi="宋体" w:cs="宋体"/>
                <w:color w:val="000000"/>
                <w:kern w:val="0"/>
                <w:sz w:val="24"/>
              </w:rPr>
            </w:pPr>
            <w:r>
              <w:rPr>
                <w:rFonts w:ascii="宋体" w:hAnsi="宋体" w:cs="宋体" w:hint="eastAsia"/>
                <w:color w:val="000000"/>
                <w:kern w:val="0"/>
                <w:sz w:val="24"/>
                <w:szCs w:val="24"/>
              </w:rPr>
              <w:t>2022年</w:t>
            </w:r>
            <w:r w:rsidR="00712BE0">
              <w:rPr>
                <w:rFonts w:ascii="宋体" w:hAnsi="宋体" w:cs="宋体"/>
                <w:color w:val="000000"/>
                <w:kern w:val="0"/>
                <w:sz w:val="24"/>
                <w:szCs w:val="24"/>
              </w:rPr>
              <w:t>12</w:t>
            </w:r>
            <w:r>
              <w:rPr>
                <w:rFonts w:ascii="宋体" w:hAnsi="宋体" w:cs="宋体" w:hint="eastAsia"/>
                <w:color w:val="000000"/>
                <w:kern w:val="0"/>
                <w:sz w:val="24"/>
                <w:szCs w:val="24"/>
              </w:rPr>
              <w:t>月</w:t>
            </w:r>
            <w:r w:rsidR="00712BE0">
              <w:rPr>
                <w:rFonts w:ascii="宋体" w:hAnsi="宋体" w:cs="宋体"/>
                <w:color w:val="000000"/>
                <w:kern w:val="0"/>
                <w:sz w:val="24"/>
                <w:szCs w:val="24"/>
              </w:rPr>
              <w:t>26</w:t>
            </w:r>
            <w:r>
              <w:rPr>
                <w:rFonts w:ascii="宋体" w:hAnsi="宋体" w:cs="宋体" w:hint="eastAsia"/>
                <w:color w:val="000000"/>
                <w:kern w:val="0"/>
                <w:sz w:val="24"/>
                <w:szCs w:val="24"/>
              </w:rPr>
              <w:t>日</w:t>
            </w:r>
          </w:p>
        </w:tc>
      </w:tr>
      <w:tr w:rsidR="00054C2F">
        <w:trPr>
          <w:trHeight w:val="397"/>
        </w:trPr>
        <w:tc>
          <w:tcPr>
            <w:tcW w:w="1461" w:type="pct"/>
            <w:tcBorders>
              <w:top w:val="single" w:sz="8" w:space="0" w:color="000000"/>
              <w:left w:val="single" w:sz="8" w:space="0" w:color="000000"/>
              <w:bottom w:val="single" w:sz="8" w:space="0" w:color="000000"/>
              <w:right w:val="single" w:sz="8" w:space="0" w:color="000000"/>
            </w:tcBorders>
          </w:tcPr>
          <w:p w:rsidR="00054C2F" w:rsidRDefault="00F51681">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sz w:val="24"/>
              </w:rPr>
              <w:t>下属分级基金的基金简称</w:t>
            </w:r>
          </w:p>
        </w:tc>
        <w:tc>
          <w:tcPr>
            <w:tcW w:w="1768" w:type="pct"/>
            <w:tcBorders>
              <w:top w:val="single" w:sz="8" w:space="0" w:color="000000"/>
              <w:left w:val="single" w:sz="8" w:space="0" w:color="000000"/>
              <w:bottom w:val="single" w:sz="8" w:space="0" w:color="000000"/>
              <w:right w:val="single" w:sz="8" w:space="0" w:color="000000"/>
            </w:tcBorders>
            <w:vAlign w:val="center"/>
          </w:tcPr>
          <w:p w:rsidR="00054C2F" w:rsidRDefault="00F51681">
            <w:pPr>
              <w:pStyle w:val="biaogeleft"/>
              <w:wordWrap w:val="0"/>
            </w:pPr>
            <w:r>
              <w:rPr>
                <w:rFonts w:hint="eastAsia"/>
              </w:rPr>
              <w:t>创金合信泰盈双季红定开债券A</w:t>
            </w:r>
          </w:p>
        </w:tc>
        <w:tc>
          <w:tcPr>
            <w:tcW w:w="1769" w:type="pct"/>
            <w:tcBorders>
              <w:top w:val="single" w:sz="8" w:space="0" w:color="000000"/>
              <w:left w:val="single" w:sz="8" w:space="0" w:color="000000"/>
              <w:bottom w:val="single" w:sz="8" w:space="0" w:color="000000"/>
              <w:right w:val="single" w:sz="8" w:space="0" w:color="000000"/>
            </w:tcBorders>
            <w:vAlign w:val="center"/>
          </w:tcPr>
          <w:p w:rsidR="00054C2F" w:rsidRDefault="00F51681">
            <w:pPr>
              <w:pStyle w:val="biaogeleft"/>
              <w:wordWrap w:val="0"/>
            </w:pPr>
            <w:r>
              <w:rPr>
                <w:rFonts w:hint="eastAsia"/>
              </w:rPr>
              <w:t>创金合信泰盈双季红定开债券C</w:t>
            </w:r>
          </w:p>
        </w:tc>
      </w:tr>
      <w:tr w:rsidR="00054C2F">
        <w:trPr>
          <w:trHeight w:val="397"/>
        </w:trPr>
        <w:tc>
          <w:tcPr>
            <w:tcW w:w="1461" w:type="pct"/>
            <w:tcBorders>
              <w:top w:val="single" w:sz="8" w:space="0" w:color="000000"/>
              <w:left w:val="single" w:sz="8" w:space="0" w:color="000000"/>
              <w:bottom w:val="single" w:sz="8"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sz w:val="24"/>
              </w:rPr>
              <w:t>下属分级基金的交易代码</w:t>
            </w:r>
          </w:p>
        </w:tc>
        <w:tc>
          <w:tcPr>
            <w:tcW w:w="1768" w:type="pct"/>
            <w:tcBorders>
              <w:top w:val="single" w:sz="8" w:space="0" w:color="000000"/>
              <w:left w:val="single" w:sz="8" w:space="0" w:color="000000"/>
              <w:bottom w:val="single" w:sz="8" w:space="0" w:color="000000"/>
              <w:right w:val="single" w:sz="8" w:space="0" w:color="000000"/>
            </w:tcBorders>
            <w:vAlign w:val="center"/>
          </w:tcPr>
          <w:p w:rsidR="00054C2F" w:rsidRDefault="00F51681">
            <w:pPr>
              <w:pStyle w:val="biaogeleft"/>
              <w:wordWrap w:val="0"/>
            </w:pPr>
            <w:r>
              <w:rPr>
                <w:rFonts w:hint="eastAsia"/>
              </w:rPr>
              <w:t>005836</w:t>
            </w:r>
          </w:p>
        </w:tc>
        <w:tc>
          <w:tcPr>
            <w:tcW w:w="1769" w:type="pct"/>
            <w:tcBorders>
              <w:top w:val="single" w:sz="8" w:space="0" w:color="000000"/>
              <w:left w:val="single" w:sz="8" w:space="0" w:color="000000"/>
              <w:bottom w:val="single" w:sz="8" w:space="0" w:color="000000"/>
              <w:right w:val="single" w:sz="8" w:space="0" w:color="000000"/>
            </w:tcBorders>
            <w:vAlign w:val="center"/>
          </w:tcPr>
          <w:p w:rsidR="00054C2F" w:rsidRDefault="00F51681">
            <w:pPr>
              <w:pStyle w:val="biaogeleft"/>
              <w:wordWrap w:val="0"/>
            </w:pPr>
            <w:r>
              <w:rPr>
                <w:rFonts w:hint="eastAsia"/>
              </w:rPr>
              <w:t>005837</w:t>
            </w:r>
          </w:p>
        </w:tc>
      </w:tr>
      <w:tr w:rsidR="00054C2F">
        <w:trPr>
          <w:trHeight w:val="397"/>
        </w:trPr>
        <w:tc>
          <w:tcPr>
            <w:tcW w:w="1461" w:type="pct"/>
            <w:tcBorders>
              <w:top w:val="single" w:sz="8" w:space="0" w:color="000000"/>
              <w:left w:val="single" w:sz="8" w:space="0" w:color="000000"/>
              <w:bottom w:val="single" w:sz="8" w:space="0" w:color="000000"/>
              <w:right w:val="single" w:sz="8" w:space="0" w:color="000000"/>
            </w:tcBorders>
            <w:vAlign w:val="center"/>
          </w:tcPr>
          <w:p w:rsidR="00054C2F" w:rsidRDefault="00F51681">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sz w:val="24"/>
              </w:rPr>
              <w:t>该分级基金是否开放申购、赎回（转换、定期定额投资）</w:t>
            </w:r>
          </w:p>
        </w:tc>
        <w:tc>
          <w:tcPr>
            <w:tcW w:w="1768" w:type="pct"/>
            <w:tcBorders>
              <w:top w:val="single" w:sz="8" w:space="0" w:color="000000"/>
              <w:left w:val="single" w:sz="8" w:space="0" w:color="000000"/>
              <w:bottom w:val="single" w:sz="8" w:space="0" w:color="000000"/>
              <w:right w:val="single" w:sz="8" w:space="0" w:color="000000"/>
            </w:tcBorders>
            <w:vAlign w:val="center"/>
          </w:tcPr>
          <w:p w:rsidR="00054C2F" w:rsidRDefault="00F51681">
            <w:pPr>
              <w:pStyle w:val="biaogeleft"/>
              <w:wordWrap w:val="0"/>
            </w:pPr>
            <w:r>
              <w:rPr>
                <w:rFonts w:hint="eastAsia"/>
              </w:rPr>
              <w:t>是</w:t>
            </w:r>
          </w:p>
        </w:tc>
        <w:tc>
          <w:tcPr>
            <w:tcW w:w="1769" w:type="pct"/>
            <w:tcBorders>
              <w:top w:val="single" w:sz="8" w:space="0" w:color="000000"/>
              <w:left w:val="single" w:sz="8" w:space="0" w:color="000000"/>
              <w:bottom w:val="single" w:sz="8" w:space="0" w:color="000000"/>
              <w:right w:val="single" w:sz="8" w:space="0" w:color="000000"/>
            </w:tcBorders>
            <w:vAlign w:val="center"/>
          </w:tcPr>
          <w:p w:rsidR="00054C2F" w:rsidRDefault="00F51681">
            <w:pPr>
              <w:pStyle w:val="biaogeleft"/>
              <w:wordWrap w:val="0"/>
            </w:pPr>
            <w:r>
              <w:rPr>
                <w:rFonts w:hint="eastAsia"/>
              </w:rPr>
              <w:t>是</w:t>
            </w:r>
          </w:p>
        </w:tc>
      </w:tr>
    </w:tbl>
    <w:p w:rsidR="00054C2F" w:rsidRDefault="00F51681" w:rsidP="00682083">
      <w:pPr>
        <w:autoSpaceDE w:val="0"/>
        <w:autoSpaceDN w:val="0"/>
        <w:adjustRightInd w:val="0"/>
        <w:snapToGrid w:val="0"/>
        <w:spacing w:beforeLines="5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注：本基金为定期开放基金，本次为第</w:t>
      </w:r>
      <w:r w:rsidR="0003607C">
        <w:rPr>
          <w:rFonts w:ascii="宋体" w:hAnsi="宋体" w:cs="宋体" w:hint="eastAsia"/>
          <w:color w:val="000000"/>
          <w:kern w:val="0"/>
          <w:sz w:val="24"/>
          <w:szCs w:val="24"/>
        </w:rPr>
        <w:t>六</w:t>
      </w:r>
      <w:r>
        <w:rPr>
          <w:rFonts w:ascii="宋体" w:hAnsi="宋体" w:cs="宋体" w:hint="eastAsia"/>
          <w:color w:val="000000"/>
          <w:kern w:val="0"/>
          <w:sz w:val="24"/>
          <w:szCs w:val="24"/>
        </w:rPr>
        <w:t>个开放期，开放期间为2022年</w:t>
      </w:r>
      <w:r w:rsidR="00712BE0">
        <w:rPr>
          <w:rFonts w:ascii="宋体" w:hAnsi="宋体" w:cs="宋体"/>
          <w:color w:val="000000"/>
          <w:kern w:val="0"/>
          <w:sz w:val="24"/>
          <w:szCs w:val="24"/>
        </w:rPr>
        <w:t>12</w:t>
      </w:r>
      <w:r>
        <w:rPr>
          <w:rFonts w:ascii="宋体" w:hAnsi="宋体" w:cs="宋体" w:hint="eastAsia"/>
          <w:color w:val="000000"/>
          <w:kern w:val="0"/>
          <w:sz w:val="24"/>
          <w:szCs w:val="24"/>
        </w:rPr>
        <w:t>月2</w:t>
      </w:r>
      <w:r w:rsidR="00712BE0">
        <w:rPr>
          <w:rFonts w:ascii="宋体" w:hAnsi="宋体" w:cs="宋体"/>
          <w:color w:val="000000"/>
          <w:kern w:val="0"/>
          <w:sz w:val="24"/>
          <w:szCs w:val="24"/>
        </w:rPr>
        <w:t>6</w:t>
      </w:r>
      <w:r>
        <w:rPr>
          <w:rFonts w:ascii="宋体" w:hAnsi="宋体" w:cs="宋体" w:hint="eastAsia"/>
          <w:color w:val="000000"/>
          <w:kern w:val="0"/>
          <w:sz w:val="24"/>
          <w:szCs w:val="24"/>
        </w:rPr>
        <w:t>日至2022年</w:t>
      </w:r>
      <w:r w:rsidR="00712BE0">
        <w:rPr>
          <w:rFonts w:ascii="宋体" w:hAnsi="宋体" w:cs="宋体"/>
          <w:color w:val="000000"/>
          <w:kern w:val="0"/>
          <w:sz w:val="24"/>
          <w:szCs w:val="24"/>
        </w:rPr>
        <w:t>12</w:t>
      </w:r>
      <w:r>
        <w:rPr>
          <w:rFonts w:ascii="宋体" w:hAnsi="宋体" w:cs="宋体" w:hint="eastAsia"/>
          <w:color w:val="000000"/>
          <w:kern w:val="0"/>
          <w:sz w:val="24"/>
          <w:szCs w:val="24"/>
        </w:rPr>
        <w:t>月</w:t>
      </w:r>
      <w:r w:rsidR="00712BE0">
        <w:rPr>
          <w:rFonts w:ascii="宋体" w:hAnsi="宋体" w:cs="宋体"/>
          <w:color w:val="000000"/>
          <w:kern w:val="0"/>
          <w:sz w:val="24"/>
          <w:szCs w:val="24"/>
        </w:rPr>
        <w:t>30</w:t>
      </w:r>
      <w:r>
        <w:rPr>
          <w:rFonts w:ascii="宋体" w:hAnsi="宋体" w:cs="宋体" w:hint="eastAsia"/>
          <w:color w:val="000000"/>
          <w:kern w:val="0"/>
          <w:sz w:val="24"/>
          <w:szCs w:val="24"/>
        </w:rPr>
        <w:t>日。</w:t>
      </w:r>
    </w:p>
    <w:p w:rsidR="00054C2F" w:rsidRDefault="00054C2F">
      <w:pPr>
        <w:autoSpaceDE w:val="0"/>
        <w:autoSpaceDN w:val="0"/>
        <w:adjustRightInd w:val="0"/>
        <w:spacing w:line="360" w:lineRule="auto"/>
        <w:jc w:val="left"/>
        <w:rPr>
          <w:rFonts w:ascii="宋体" w:hAnsi="宋体" w:cs="宋体"/>
          <w:color w:val="000000"/>
          <w:kern w:val="0"/>
          <w:sz w:val="24"/>
          <w:szCs w:val="24"/>
        </w:rPr>
      </w:pPr>
    </w:p>
    <w:p w:rsidR="00054C2F" w:rsidRDefault="00F51681">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2</w:t>
      </w:r>
      <w:r>
        <w:rPr>
          <w:rFonts w:ascii="宋体" w:hAnsi="宋体" w:cs="宋体" w:hint="eastAsia"/>
          <w:b/>
          <w:color w:val="000000"/>
          <w:kern w:val="0"/>
          <w:sz w:val="24"/>
        </w:rPr>
        <w:t>.</w:t>
      </w:r>
      <w:r>
        <w:rPr>
          <w:rFonts w:ascii="宋体" w:hAnsi="宋体" w:cs="宋体" w:hint="eastAsia"/>
          <w:b/>
          <w:bCs/>
          <w:color w:val="000000"/>
          <w:kern w:val="0"/>
          <w:sz w:val="24"/>
          <w:szCs w:val="24"/>
        </w:rPr>
        <w:t>日常申购、赎回和转换业务的办理时间</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（1）基金的运作方式</w:t>
      </w:r>
    </w:p>
    <w:p w:rsidR="00054C2F" w:rsidRDefault="00F51681">
      <w:pPr>
        <w:spacing w:line="360" w:lineRule="auto"/>
        <w:ind w:firstLineChars="200" w:firstLine="480"/>
        <w:rPr>
          <w:rFonts w:ascii="宋体" w:hAnsi="宋体" w:cs="宋体"/>
          <w:bCs/>
          <w:sz w:val="24"/>
        </w:rPr>
      </w:pPr>
      <w:r>
        <w:rPr>
          <w:rFonts w:ascii="宋体" w:hAnsi="宋体" w:cs="宋体" w:hint="eastAsia"/>
          <w:color w:val="000000"/>
          <w:kern w:val="0"/>
          <w:sz w:val="24"/>
          <w:szCs w:val="24"/>
        </w:rPr>
        <w:t>根据</w:t>
      </w:r>
      <w:r>
        <w:rPr>
          <w:rFonts w:ascii="宋体" w:hAnsi="宋体" w:cs="宋体" w:hint="eastAsia"/>
          <w:color w:val="000000"/>
          <w:sz w:val="24"/>
        </w:rPr>
        <w:t>创金合信泰盈双季红6个月定期开放债券型证券投资基金</w:t>
      </w:r>
      <w:r>
        <w:rPr>
          <w:rFonts w:ascii="宋体" w:hAnsi="宋体" w:cs="宋体" w:hint="eastAsia"/>
          <w:color w:val="000000"/>
          <w:kern w:val="0"/>
          <w:sz w:val="24"/>
          <w:szCs w:val="24"/>
        </w:rPr>
        <w:t>（以下简称“本基金”）《基金合同》、《招募说明书》的规定，</w:t>
      </w:r>
      <w:r>
        <w:rPr>
          <w:rFonts w:ascii="宋体" w:hAnsi="宋体" w:cs="宋体" w:hint="eastAsia"/>
          <w:bCs/>
          <w:sz w:val="24"/>
        </w:rPr>
        <w:t>本基金采取封闭期与开放期间隔运作的方式。每个封闭期起始日为基金合同生效日（含该日）或其前一个开放期结束日的次日（含该</w:t>
      </w:r>
      <w:r>
        <w:rPr>
          <w:rFonts w:ascii="宋体" w:hAnsi="宋体" w:cs="宋体" w:hint="eastAsia"/>
          <w:bCs/>
          <w:sz w:val="24"/>
        </w:rPr>
        <w:lastRenderedPageBreak/>
        <w:t>日）；每个封闭期结束日为该封闭期起始日对应的第6个月度对日的前一日（含该日）。</w:t>
      </w:r>
    </w:p>
    <w:p w:rsidR="00054C2F" w:rsidRDefault="00F51681">
      <w:pPr>
        <w:spacing w:line="360" w:lineRule="auto"/>
        <w:ind w:firstLineChars="200" w:firstLine="480"/>
        <w:rPr>
          <w:rFonts w:ascii="宋体" w:hAnsi="宋体" w:cs="宋体"/>
          <w:bCs/>
          <w:sz w:val="24"/>
        </w:rPr>
      </w:pPr>
      <w:r>
        <w:rPr>
          <w:rFonts w:ascii="宋体" w:hAnsi="宋体" w:cs="宋体" w:hint="eastAsia"/>
          <w:bCs/>
          <w:sz w:val="24"/>
        </w:rPr>
        <w:t>每个开放期起始日为其前一个封闭期结束日的次日（含该日）。每个开放期不少于5个工作日且最长不超过20个工作日，每个开放期的具体时间将由基金管理人依照《信息披露办法》的有关规定在指定媒介上提前公告。</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（2）投资者在本次开放期，即2022年</w:t>
      </w:r>
      <w:r w:rsidR="004467FC">
        <w:rPr>
          <w:rFonts w:ascii="宋体" w:hAnsi="宋体" w:cs="宋体"/>
          <w:color w:val="000000"/>
          <w:kern w:val="0"/>
          <w:sz w:val="24"/>
          <w:szCs w:val="24"/>
        </w:rPr>
        <w:t>12</w:t>
      </w:r>
      <w:r>
        <w:rPr>
          <w:rFonts w:ascii="宋体" w:hAnsi="宋体" w:cs="宋体" w:hint="eastAsia"/>
          <w:color w:val="000000"/>
          <w:kern w:val="0"/>
          <w:sz w:val="24"/>
          <w:szCs w:val="24"/>
        </w:rPr>
        <w:t>月2</w:t>
      </w:r>
      <w:r w:rsidR="004467FC">
        <w:rPr>
          <w:rFonts w:ascii="宋体" w:hAnsi="宋体" w:cs="宋体"/>
          <w:color w:val="000000"/>
          <w:kern w:val="0"/>
          <w:sz w:val="24"/>
          <w:szCs w:val="24"/>
        </w:rPr>
        <w:t>6</w:t>
      </w:r>
      <w:r>
        <w:rPr>
          <w:rFonts w:ascii="宋体" w:hAnsi="宋体" w:cs="宋体" w:hint="eastAsia"/>
          <w:color w:val="000000"/>
          <w:kern w:val="0"/>
          <w:sz w:val="24"/>
          <w:szCs w:val="24"/>
        </w:rPr>
        <w:t>日至2022年</w:t>
      </w:r>
      <w:r w:rsidR="004467FC">
        <w:rPr>
          <w:rFonts w:ascii="宋体" w:hAnsi="宋体" w:cs="宋体"/>
          <w:color w:val="000000"/>
          <w:kern w:val="0"/>
          <w:sz w:val="24"/>
          <w:szCs w:val="24"/>
        </w:rPr>
        <w:t>12</w:t>
      </w:r>
      <w:r>
        <w:rPr>
          <w:rFonts w:ascii="宋体" w:hAnsi="宋体" w:cs="宋体" w:hint="eastAsia"/>
          <w:color w:val="000000"/>
          <w:kern w:val="0"/>
          <w:sz w:val="24"/>
          <w:szCs w:val="24"/>
        </w:rPr>
        <w:t>月</w:t>
      </w:r>
      <w:r w:rsidR="004467FC">
        <w:rPr>
          <w:rFonts w:ascii="宋体" w:hAnsi="宋体" w:cs="宋体"/>
          <w:color w:val="000000"/>
          <w:kern w:val="0"/>
          <w:sz w:val="24"/>
          <w:szCs w:val="24"/>
        </w:rPr>
        <w:t>30</w:t>
      </w:r>
      <w:r>
        <w:rPr>
          <w:rFonts w:ascii="宋体" w:hAnsi="宋体" w:cs="宋体" w:hint="eastAsia"/>
          <w:color w:val="000000"/>
          <w:kern w:val="0"/>
          <w:sz w:val="24"/>
          <w:szCs w:val="24"/>
        </w:rPr>
        <w:t>日的开放日可办理本基金的申购、赎回和转换业务，具体办理时间为上海证券交易所、深圳证券交易所的正常交易日的交易时间。自202</w:t>
      </w:r>
      <w:r w:rsidR="00C825F3">
        <w:rPr>
          <w:rFonts w:ascii="宋体" w:hAnsi="宋体" w:cs="宋体"/>
          <w:color w:val="000000"/>
          <w:kern w:val="0"/>
          <w:sz w:val="24"/>
          <w:szCs w:val="24"/>
        </w:rPr>
        <w:t>2</w:t>
      </w:r>
      <w:r>
        <w:rPr>
          <w:rFonts w:ascii="宋体" w:hAnsi="宋体" w:cs="宋体" w:hint="eastAsia"/>
          <w:color w:val="000000"/>
          <w:kern w:val="0"/>
          <w:sz w:val="24"/>
          <w:szCs w:val="24"/>
        </w:rPr>
        <w:t>年</w:t>
      </w:r>
      <w:r w:rsidR="004467FC">
        <w:rPr>
          <w:rFonts w:ascii="宋体" w:hAnsi="宋体" w:cs="宋体"/>
          <w:color w:val="000000"/>
          <w:kern w:val="0"/>
          <w:sz w:val="24"/>
          <w:szCs w:val="24"/>
        </w:rPr>
        <w:t>1</w:t>
      </w:r>
      <w:r w:rsidR="00C825F3">
        <w:rPr>
          <w:rFonts w:ascii="宋体" w:hAnsi="宋体" w:cs="宋体"/>
          <w:color w:val="000000"/>
          <w:kern w:val="0"/>
          <w:sz w:val="24"/>
          <w:szCs w:val="24"/>
        </w:rPr>
        <w:t>2</w:t>
      </w:r>
      <w:r>
        <w:rPr>
          <w:rFonts w:ascii="宋体" w:hAnsi="宋体" w:cs="宋体" w:hint="eastAsia"/>
          <w:color w:val="000000"/>
          <w:kern w:val="0"/>
          <w:sz w:val="24"/>
          <w:szCs w:val="24"/>
        </w:rPr>
        <w:t>月</w:t>
      </w:r>
      <w:r w:rsidR="00505E58">
        <w:rPr>
          <w:rFonts w:ascii="宋体" w:hAnsi="宋体" w:cs="宋体"/>
          <w:color w:val="000000"/>
          <w:kern w:val="0"/>
          <w:sz w:val="24"/>
          <w:szCs w:val="24"/>
        </w:rPr>
        <w:t>3</w:t>
      </w:r>
      <w:r w:rsidR="00C825F3">
        <w:rPr>
          <w:rFonts w:ascii="宋体" w:hAnsi="宋体" w:cs="宋体"/>
          <w:color w:val="000000"/>
          <w:kern w:val="0"/>
          <w:sz w:val="24"/>
          <w:szCs w:val="24"/>
        </w:rPr>
        <w:t>1</w:t>
      </w:r>
      <w:r>
        <w:rPr>
          <w:rFonts w:ascii="宋体" w:hAnsi="宋体" w:cs="宋体" w:hint="eastAsia"/>
          <w:color w:val="000000"/>
          <w:kern w:val="0"/>
          <w:sz w:val="24"/>
          <w:szCs w:val="24"/>
        </w:rPr>
        <w:t>日起（含）进入封闭期，封闭期内本基金不接受办理申购、赎回和转换业务。</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如在开放期内因不可抗力或其他情形影响，本基金无法按时办理申购、赎回等申请的，开放期时间中止计算，在不可抗力或其他情形影响因素消除之日的下一个工作日起，继续计算该开放期时间，直至满足开放期的时间要求。</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3）基金合同生效后，若出现新的证券交易市场、证券交易所交易时间变更、其他特殊情况或根据业务需要，基金管理人可视情况对前述开放日及开放时间进行相应的调整，但应在实施日前依照《信息披露办法》的有关规定在指定媒介上公告。</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4）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该类基金份额申购、赎回的价格。但若投资人在开放期最后一日业务办理时间结束之后提出申购、赎回或者转换等申请的，视为无效申请。</w:t>
      </w:r>
    </w:p>
    <w:p w:rsidR="00054C2F" w:rsidRDefault="00054C2F">
      <w:pPr>
        <w:autoSpaceDE w:val="0"/>
        <w:autoSpaceDN w:val="0"/>
        <w:adjustRightInd w:val="0"/>
        <w:spacing w:line="360" w:lineRule="auto"/>
        <w:rPr>
          <w:rFonts w:ascii="宋体" w:hAnsi="宋体" w:cs="宋体"/>
          <w:color w:val="000000"/>
          <w:kern w:val="0"/>
          <w:sz w:val="24"/>
          <w:szCs w:val="24"/>
        </w:rPr>
      </w:pPr>
    </w:p>
    <w:p w:rsidR="00054C2F" w:rsidRDefault="00F51681">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3</w:t>
      </w:r>
      <w:r>
        <w:rPr>
          <w:rFonts w:ascii="宋体" w:hAnsi="宋体" w:cs="宋体" w:hint="eastAsia"/>
          <w:b/>
          <w:color w:val="000000"/>
          <w:kern w:val="0"/>
          <w:sz w:val="24"/>
        </w:rPr>
        <w:t>.</w:t>
      </w:r>
      <w:r>
        <w:rPr>
          <w:rFonts w:ascii="宋体" w:hAnsi="宋体" w:cs="宋体" w:hint="eastAsia"/>
          <w:b/>
          <w:bCs/>
          <w:color w:val="000000"/>
          <w:kern w:val="0"/>
          <w:sz w:val="24"/>
          <w:szCs w:val="24"/>
        </w:rPr>
        <w:t>日常申购业务</w:t>
      </w:r>
    </w:p>
    <w:p w:rsidR="00054C2F" w:rsidRDefault="00F51681">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3.1 申购金额限制</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投资者通过非直销销售机构和基金管理人电子直销平台首次申购本基金的单笔最低金额为1元（含申购费，下同），追加申购单笔最低金额为1元；通过基金管理人直销中心首次申购的单笔最低金额为10,000元，追加申购单笔最低金额为10,000元。各销售机构对最低申购限额及交易级差有其他规定的，需同时遵循该销售机构的相关规定。投资者可多次申购，对单个投资者累计持有份额不设上限限制。</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（2）基金管理人可在不违反法律法规的情况下，调整上述规定申购金额的数量限制。基金管理人必须在调整实施前依照《信息披露办法》的有关规定在指定媒介上公告。</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（3）投资者可多次申购，对单个投资者单日或单笔申购金额不设上限限制，单个投资者累计持有份额不设上限限制，对基金单日净申购比例不设上限限制，对本基金的</w:t>
      </w:r>
      <w:r>
        <w:rPr>
          <w:rFonts w:ascii="宋体" w:hAnsi="宋体" w:cs="宋体" w:hint="eastAsia"/>
          <w:color w:val="000000"/>
          <w:kern w:val="0"/>
          <w:sz w:val="24"/>
          <w:szCs w:val="24"/>
        </w:rPr>
        <w:lastRenderedPageBreak/>
        <w:t>总规模限额不设上限限制。法律法规、中国证监会另有规定的除外。</w:t>
      </w:r>
    </w:p>
    <w:p w:rsidR="00054C2F" w:rsidRDefault="00F51681">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3.2 申购费率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（1）A类基金份额的申购费率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本基金A类基金份额对通过直销机构申购的特定投资群体与除此之外的其他投资者实施差别的申购费率。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本基金A类基金份额的申购费率如下表所示：</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7"/>
        <w:gridCol w:w="2904"/>
        <w:gridCol w:w="2977"/>
      </w:tblGrid>
      <w:tr w:rsidR="00054C2F">
        <w:trPr>
          <w:trHeight w:val="442"/>
          <w:jc w:val="center"/>
        </w:trPr>
        <w:tc>
          <w:tcPr>
            <w:tcW w:w="4037" w:type="dxa"/>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申购金额</w:t>
            </w:r>
            <w:r>
              <w:rPr>
                <w:rFonts w:hAnsi="宋体" w:cs="宋体" w:hint="eastAsia"/>
                <w:sz w:val="24"/>
              </w:rPr>
              <w:t>（M）（单位：元）</w:t>
            </w:r>
          </w:p>
        </w:tc>
        <w:tc>
          <w:tcPr>
            <w:tcW w:w="2904" w:type="dxa"/>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申购费率</w:t>
            </w:r>
          </w:p>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w:t>
            </w:r>
            <w:r>
              <w:rPr>
                <w:rFonts w:hAnsi="宋体" w:cs="宋体" w:hint="eastAsia"/>
                <w:sz w:val="24"/>
              </w:rPr>
              <w:t>非特定投资群体</w:t>
            </w:r>
            <w:r>
              <w:rPr>
                <w:rFonts w:hAnsi="宋体" w:cs="宋体" w:hint="eastAsia"/>
                <w:kern w:val="2"/>
                <w:sz w:val="24"/>
              </w:rPr>
              <w:t>）</w:t>
            </w:r>
          </w:p>
        </w:tc>
        <w:tc>
          <w:tcPr>
            <w:tcW w:w="2977" w:type="dxa"/>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申购费率</w:t>
            </w:r>
          </w:p>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（特定投资群体）</w:t>
            </w:r>
          </w:p>
        </w:tc>
      </w:tr>
      <w:tr w:rsidR="00054C2F">
        <w:trPr>
          <w:trHeight w:val="461"/>
          <w:jc w:val="center"/>
        </w:trPr>
        <w:tc>
          <w:tcPr>
            <w:tcW w:w="403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100万元（不含）以下</w:t>
            </w:r>
          </w:p>
        </w:tc>
        <w:tc>
          <w:tcPr>
            <w:tcW w:w="2904"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0.6%</w:t>
            </w:r>
          </w:p>
        </w:tc>
        <w:tc>
          <w:tcPr>
            <w:tcW w:w="297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0.06%</w:t>
            </w:r>
          </w:p>
        </w:tc>
      </w:tr>
      <w:tr w:rsidR="00054C2F">
        <w:trPr>
          <w:trHeight w:val="465"/>
          <w:jc w:val="center"/>
        </w:trPr>
        <w:tc>
          <w:tcPr>
            <w:tcW w:w="403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100万元（含）－300万元（不含）</w:t>
            </w:r>
          </w:p>
        </w:tc>
        <w:tc>
          <w:tcPr>
            <w:tcW w:w="2904"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0.4%</w:t>
            </w:r>
          </w:p>
        </w:tc>
        <w:tc>
          <w:tcPr>
            <w:tcW w:w="297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0.04%</w:t>
            </w:r>
          </w:p>
        </w:tc>
      </w:tr>
      <w:tr w:rsidR="00054C2F">
        <w:trPr>
          <w:trHeight w:val="465"/>
          <w:jc w:val="center"/>
        </w:trPr>
        <w:tc>
          <w:tcPr>
            <w:tcW w:w="403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300万元（含）－500万元（不含）</w:t>
            </w:r>
          </w:p>
        </w:tc>
        <w:tc>
          <w:tcPr>
            <w:tcW w:w="2904"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0.2%</w:t>
            </w:r>
          </w:p>
        </w:tc>
        <w:tc>
          <w:tcPr>
            <w:tcW w:w="297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0.02%</w:t>
            </w:r>
          </w:p>
        </w:tc>
      </w:tr>
      <w:tr w:rsidR="00054C2F">
        <w:trPr>
          <w:trHeight w:val="465"/>
          <w:jc w:val="center"/>
        </w:trPr>
        <w:tc>
          <w:tcPr>
            <w:tcW w:w="4037"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500万元（含）以上</w:t>
            </w:r>
          </w:p>
        </w:tc>
        <w:tc>
          <w:tcPr>
            <w:tcW w:w="2904" w:type="dxa"/>
            <w:vAlign w:val="center"/>
          </w:tcPr>
          <w:p w:rsidR="00054C2F" w:rsidRDefault="00F51681">
            <w:pPr>
              <w:adjustRightInd w:val="0"/>
              <w:snapToGrid w:val="0"/>
              <w:jc w:val="center"/>
              <w:rPr>
                <w:rFonts w:ascii="宋体" w:hAnsi="宋体" w:cs="宋体"/>
                <w:sz w:val="24"/>
              </w:rPr>
            </w:pPr>
            <w:r>
              <w:rPr>
                <w:rFonts w:ascii="宋体" w:hAnsi="宋体" w:cs="宋体" w:hint="eastAsia"/>
                <w:sz w:val="24"/>
                <w:szCs w:val="21"/>
              </w:rPr>
              <w:t>按笔固定收取1000元/笔</w:t>
            </w:r>
          </w:p>
        </w:tc>
        <w:tc>
          <w:tcPr>
            <w:tcW w:w="2977" w:type="dxa"/>
            <w:vAlign w:val="center"/>
          </w:tcPr>
          <w:p w:rsidR="00054C2F" w:rsidRDefault="00F51681">
            <w:pPr>
              <w:adjustRightInd w:val="0"/>
              <w:snapToGrid w:val="0"/>
              <w:jc w:val="center"/>
              <w:rPr>
                <w:rFonts w:ascii="宋体" w:hAnsi="宋体" w:cs="宋体"/>
                <w:sz w:val="24"/>
                <w:szCs w:val="21"/>
              </w:rPr>
            </w:pPr>
            <w:r>
              <w:rPr>
                <w:rFonts w:ascii="宋体" w:hAnsi="宋体" w:cs="宋体" w:hint="eastAsia"/>
                <w:sz w:val="24"/>
                <w:szCs w:val="21"/>
              </w:rPr>
              <w:t>按笔固定收取1000元/笔</w:t>
            </w:r>
          </w:p>
        </w:tc>
      </w:tr>
    </w:tbl>
    <w:p w:rsidR="00054C2F" w:rsidRDefault="00054C2F">
      <w:pPr>
        <w:autoSpaceDE w:val="0"/>
        <w:autoSpaceDN w:val="0"/>
        <w:adjustRightInd w:val="0"/>
        <w:spacing w:before="30" w:line="360" w:lineRule="auto"/>
        <w:rPr>
          <w:rFonts w:ascii="宋体" w:hAnsi="宋体" w:cs="宋体"/>
          <w:color w:val="000000"/>
          <w:kern w:val="0"/>
          <w:sz w:val="24"/>
          <w:szCs w:val="24"/>
        </w:rPr>
      </w:pP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（2）在申购费按金额分档的情况下，如果投资者多次申购，申购费适用单笔申购金额所对应的费率。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（3）本基金C类基金份额不收取申购费。</w:t>
      </w:r>
    </w:p>
    <w:p w:rsidR="00054C2F" w:rsidRDefault="00F51681">
      <w:pPr>
        <w:autoSpaceDE w:val="0"/>
        <w:autoSpaceDN w:val="0"/>
        <w:adjustRightInd w:val="0"/>
        <w:spacing w:before="30" w:line="360" w:lineRule="auto"/>
        <w:ind w:left="17"/>
        <w:outlineLvl w:val="1"/>
        <w:rPr>
          <w:rFonts w:ascii="宋体" w:hAnsi="宋体" w:cs="宋体"/>
          <w:b/>
          <w:color w:val="000000"/>
          <w:kern w:val="0"/>
          <w:sz w:val="24"/>
        </w:rPr>
      </w:pPr>
      <w:r>
        <w:rPr>
          <w:rFonts w:ascii="宋体" w:hAnsi="宋体" w:cs="宋体" w:hint="eastAsia"/>
          <w:b/>
          <w:bCs/>
          <w:color w:val="000000"/>
          <w:kern w:val="0"/>
          <w:sz w:val="24"/>
          <w:szCs w:val="24"/>
        </w:rPr>
        <w:t>3.3 其他与申购相关的事项</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（1）申购费用由基金申购投资人承担，不列入基金财产，主要用于本基金的市场推广、销售、登记结算等各项费用。</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（2）基金管理人可以在《基金合同》约定的范围内调整申购费率或收费方式，并最迟应于新的费率或收费方式实施日前依照《信息披露办法》的有关规定在指定媒介上公告。</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（3）当本基金发生大额申购情形时，基金管理人可以采用摆动定价机制，以确保基金估值的公平性。摆动定价机制适用的具体情形、处理原则及操作规范遵循法律法规、行业自律规则的相关规定。</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4）基金管理人可以在不违反法律法规规定及基金合同约定的情况下根据市场情况制定基金促销计划，定期或不定期地开展基金促销活动。在基金促销活动期间，按相关监管部门要求履行必要手续后，基金管理人可以适当调低本基金的申购费率。</w:t>
      </w:r>
    </w:p>
    <w:p w:rsidR="00054C2F" w:rsidRDefault="00054C2F">
      <w:pPr>
        <w:autoSpaceDE w:val="0"/>
        <w:autoSpaceDN w:val="0"/>
        <w:adjustRightInd w:val="0"/>
        <w:spacing w:line="360" w:lineRule="auto"/>
        <w:jc w:val="left"/>
        <w:rPr>
          <w:rFonts w:ascii="宋体" w:hAnsi="宋体" w:cs="宋体"/>
          <w:color w:val="000000"/>
          <w:kern w:val="0"/>
          <w:sz w:val="24"/>
          <w:szCs w:val="24"/>
        </w:rPr>
      </w:pPr>
    </w:p>
    <w:p w:rsidR="00054C2F" w:rsidRDefault="00F51681">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4</w:t>
      </w:r>
      <w:r>
        <w:rPr>
          <w:rFonts w:ascii="宋体" w:hAnsi="宋体" w:cs="宋体" w:hint="eastAsia"/>
          <w:b/>
          <w:color w:val="000000"/>
          <w:kern w:val="0"/>
          <w:sz w:val="24"/>
        </w:rPr>
        <w:t>.</w:t>
      </w:r>
      <w:r>
        <w:rPr>
          <w:rFonts w:ascii="宋体" w:hAnsi="宋体" w:cs="宋体" w:hint="eastAsia"/>
          <w:b/>
          <w:bCs/>
          <w:color w:val="000000"/>
          <w:kern w:val="0"/>
          <w:sz w:val="24"/>
          <w:szCs w:val="24"/>
        </w:rPr>
        <w:t>日常赎回业务</w:t>
      </w:r>
    </w:p>
    <w:p w:rsidR="00054C2F" w:rsidRDefault="00F51681">
      <w:pPr>
        <w:autoSpaceDE w:val="0"/>
        <w:autoSpaceDN w:val="0"/>
        <w:adjustRightInd w:val="0"/>
        <w:spacing w:before="30" w:line="360" w:lineRule="auto"/>
        <w:ind w:left="17"/>
        <w:jc w:val="left"/>
        <w:outlineLvl w:val="1"/>
        <w:rPr>
          <w:rFonts w:ascii="宋体" w:hAnsi="宋体" w:cs="宋体"/>
          <w:b/>
          <w:bCs/>
          <w:color w:val="000000"/>
          <w:kern w:val="0"/>
          <w:sz w:val="24"/>
          <w:szCs w:val="24"/>
        </w:rPr>
      </w:pPr>
      <w:r>
        <w:rPr>
          <w:rFonts w:ascii="宋体" w:hAnsi="宋体" w:cs="宋体" w:hint="eastAsia"/>
          <w:b/>
          <w:bCs/>
          <w:color w:val="000000"/>
          <w:kern w:val="0"/>
          <w:sz w:val="24"/>
          <w:szCs w:val="24"/>
        </w:rPr>
        <w:t>4.1 赎回份额限制</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基金份额持有人可将其全部或部分基金份额赎回，基金份额单笔赎回不得少于0.01份。但某笔交易类业务（如赎回、基金转换、转托管等）导致单个交易账户的基金份额余额少于0.01份时，余额部分基金份额必须一同赎回。在符合法律法规规定的前提下，各销售机构对赎回份额限制有其他规定的，需同时遵循该销售机构的相关规定。</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（2）基金管理人可在不违反法律法规的情况下，调整上述规定赎回份额的数量限制。基金管理人必须在调整实施前依照《信息披露办法》的有关规定在指定媒介上公告。</w:t>
      </w:r>
    </w:p>
    <w:p w:rsidR="00054C2F" w:rsidRDefault="00F51681">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4.2 赎回费率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（1）A类基金份额的赎回费率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特定投资群体与其他投资者投资A类基金份额的赎回费率按相同费率执行，赎回费率如下表所示：</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3402"/>
      </w:tblGrid>
      <w:tr w:rsidR="00054C2F">
        <w:trPr>
          <w:trHeight w:val="330"/>
          <w:jc w:val="center"/>
        </w:trPr>
        <w:tc>
          <w:tcPr>
            <w:tcW w:w="3256" w:type="dxa"/>
            <w:shd w:val="clear" w:color="auto" w:fill="auto"/>
            <w:noWrap/>
            <w:vAlign w:val="center"/>
          </w:tcPr>
          <w:p w:rsidR="00054C2F" w:rsidRDefault="00F51681">
            <w:pPr>
              <w:widowControl/>
              <w:jc w:val="center"/>
              <w:rPr>
                <w:rFonts w:ascii="宋体" w:hAnsi="宋体" w:cs="宋体"/>
                <w:sz w:val="24"/>
              </w:rPr>
            </w:pPr>
            <w:r>
              <w:rPr>
                <w:rFonts w:ascii="宋体" w:hAnsi="宋体" w:cs="宋体" w:hint="eastAsia"/>
                <w:kern w:val="0"/>
                <w:sz w:val="24"/>
              </w:rPr>
              <w:t>持有期限（N）</w:t>
            </w:r>
          </w:p>
        </w:tc>
        <w:tc>
          <w:tcPr>
            <w:tcW w:w="3402" w:type="dxa"/>
            <w:shd w:val="clear" w:color="auto" w:fill="auto"/>
            <w:noWrap/>
            <w:vAlign w:val="center"/>
          </w:tcPr>
          <w:p w:rsidR="00054C2F" w:rsidRDefault="00F51681">
            <w:pPr>
              <w:widowControl/>
              <w:jc w:val="center"/>
              <w:rPr>
                <w:rFonts w:ascii="宋体" w:hAnsi="宋体" w:cs="宋体"/>
                <w:sz w:val="24"/>
              </w:rPr>
            </w:pPr>
            <w:r>
              <w:rPr>
                <w:rFonts w:ascii="宋体" w:hAnsi="宋体" w:cs="宋体" w:hint="eastAsia"/>
                <w:kern w:val="0"/>
                <w:sz w:val="24"/>
              </w:rPr>
              <w:t>赎</w:t>
            </w:r>
            <w:r>
              <w:rPr>
                <w:rFonts w:ascii="宋体" w:hAnsi="宋体" w:cs="宋体" w:hint="eastAsia"/>
                <w:sz w:val="24"/>
              </w:rPr>
              <w:t>回费率</w:t>
            </w:r>
          </w:p>
        </w:tc>
      </w:tr>
      <w:tr w:rsidR="00054C2F">
        <w:trPr>
          <w:trHeight w:val="421"/>
          <w:jc w:val="center"/>
        </w:trPr>
        <w:tc>
          <w:tcPr>
            <w:tcW w:w="3256"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7日（不含）以下</w:t>
            </w:r>
          </w:p>
        </w:tc>
        <w:tc>
          <w:tcPr>
            <w:tcW w:w="340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1.50%</w:t>
            </w:r>
          </w:p>
        </w:tc>
      </w:tr>
      <w:tr w:rsidR="00054C2F">
        <w:trPr>
          <w:trHeight w:val="413"/>
          <w:jc w:val="center"/>
        </w:trPr>
        <w:tc>
          <w:tcPr>
            <w:tcW w:w="3256"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7日（含）</w:t>
            </w:r>
            <w:r>
              <w:rPr>
                <w:rFonts w:hAnsi="宋体" w:cs="宋体" w:hint="eastAsia"/>
                <w:sz w:val="24"/>
                <w:szCs w:val="21"/>
              </w:rPr>
              <w:t>－30日（不含）</w:t>
            </w:r>
          </w:p>
        </w:tc>
        <w:tc>
          <w:tcPr>
            <w:tcW w:w="340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0.10%</w:t>
            </w:r>
          </w:p>
        </w:tc>
      </w:tr>
      <w:tr w:rsidR="00054C2F">
        <w:trPr>
          <w:trHeight w:val="413"/>
          <w:jc w:val="center"/>
        </w:trPr>
        <w:tc>
          <w:tcPr>
            <w:tcW w:w="3256"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sz w:val="24"/>
                <w:szCs w:val="21"/>
              </w:rPr>
              <w:t>30日（含）以上</w:t>
            </w:r>
          </w:p>
        </w:tc>
        <w:tc>
          <w:tcPr>
            <w:tcW w:w="340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0.00%</w:t>
            </w:r>
          </w:p>
        </w:tc>
      </w:tr>
    </w:tbl>
    <w:p w:rsidR="00054C2F" w:rsidRDefault="00054C2F">
      <w:pPr>
        <w:autoSpaceDE w:val="0"/>
        <w:autoSpaceDN w:val="0"/>
        <w:adjustRightInd w:val="0"/>
        <w:spacing w:before="30" w:line="360" w:lineRule="auto"/>
        <w:ind w:leftChars="7" w:left="15" w:firstLineChars="200" w:firstLine="480"/>
        <w:rPr>
          <w:rFonts w:ascii="宋体" w:hAnsi="宋体" w:cs="宋体"/>
          <w:color w:val="000000"/>
          <w:kern w:val="0"/>
          <w:sz w:val="24"/>
        </w:rPr>
      </w:pP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（2）C类基金份额的赎回费率</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特定投资群体与其他投资者投资C类基金份额的赎回费率按相同费率执行，赎回费率如下表所示：</w:t>
      </w:r>
    </w:p>
    <w:tbl>
      <w:tblPr>
        <w:tblW w:w="6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2"/>
        <w:gridCol w:w="3442"/>
      </w:tblGrid>
      <w:tr w:rsidR="00054C2F">
        <w:trPr>
          <w:trHeight w:val="378"/>
          <w:jc w:val="center"/>
        </w:trPr>
        <w:tc>
          <w:tcPr>
            <w:tcW w:w="3432" w:type="dxa"/>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持有</w:t>
            </w:r>
            <w:r>
              <w:rPr>
                <w:rFonts w:hAnsi="宋体" w:cs="宋体" w:hint="eastAsia"/>
                <w:sz w:val="24"/>
              </w:rPr>
              <w:t>期限（N）</w:t>
            </w:r>
          </w:p>
        </w:tc>
        <w:tc>
          <w:tcPr>
            <w:tcW w:w="3442" w:type="dxa"/>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rPr>
              <w:t>赎回费率</w:t>
            </w:r>
          </w:p>
        </w:tc>
      </w:tr>
      <w:tr w:rsidR="00054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343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7日（不含）以下</w:t>
            </w:r>
          </w:p>
        </w:tc>
        <w:tc>
          <w:tcPr>
            <w:tcW w:w="344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1.50%</w:t>
            </w:r>
          </w:p>
        </w:tc>
      </w:tr>
      <w:tr w:rsidR="00054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jc w:val="center"/>
        </w:trPr>
        <w:tc>
          <w:tcPr>
            <w:tcW w:w="343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7日（含）</w:t>
            </w:r>
            <w:r>
              <w:rPr>
                <w:rFonts w:hAnsi="宋体" w:cs="宋体" w:hint="eastAsia"/>
                <w:sz w:val="24"/>
                <w:szCs w:val="21"/>
              </w:rPr>
              <w:t>－30日（不含）</w:t>
            </w:r>
          </w:p>
        </w:tc>
        <w:tc>
          <w:tcPr>
            <w:tcW w:w="344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0.10%</w:t>
            </w:r>
          </w:p>
        </w:tc>
      </w:tr>
      <w:tr w:rsidR="00054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jc w:val="center"/>
        </w:trPr>
        <w:tc>
          <w:tcPr>
            <w:tcW w:w="343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szCs w:val="21"/>
              </w:rPr>
            </w:pPr>
            <w:r>
              <w:rPr>
                <w:rFonts w:hAnsi="宋体" w:cs="宋体" w:hint="eastAsia"/>
                <w:sz w:val="24"/>
                <w:szCs w:val="21"/>
              </w:rPr>
              <w:t>30日（含）以上</w:t>
            </w:r>
          </w:p>
        </w:tc>
        <w:tc>
          <w:tcPr>
            <w:tcW w:w="3442" w:type="dxa"/>
            <w:tcBorders>
              <w:top w:val="single" w:sz="4" w:space="0" w:color="auto"/>
              <w:left w:val="single" w:sz="4" w:space="0" w:color="auto"/>
              <w:bottom w:val="single" w:sz="4" w:space="0" w:color="auto"/>
              <w:right w:val="single" w:sz="4" w:space="0" w:color="auto"/>
            </w:tcBorders>
            <w:vAlign w:val="center"/>
          </w:tcPr>
          <w:p w:rsidR="00054C2F" w:rsidRDefault="00F51681">
            <w:pPr>
              <w:pStyle w:val="3"/>
              <w:adjustRightInd w:val="0"/>
              <w:snapToGrid w:val="0"/>
              <w:spacing w:line="240" w:lineRule="auto"/>
              <w:ind w:firstLine="0"/>
              <w:jc w:val="center"/>
              <w:rPr>
                <w:rFonts w:hAnsi="宋体" w:cs="宋体"/>
                <w:kern w:val="2"/>
                <w:sz w:val="24"/>
                <w:szCs w:val="21"/>
              </w:rPr>
            </w:pPr>
            <w:r>
              <w:rPr>
                <w:rFonts w:hAnsi="宋体" w:cs="宋体" w:hint="eastAsia"/>
                <w:kern w:val="2"/>
                <w:sz w:val="24"/>
                <w:szCs w:val="21"/>
              </w:rPr>
              <w:t>0.00%</w:t>
            </w:r>
          </w:p>
        </w:tc>
      </w:tr>
    </w:tbl>
    <w:p w:rsidR="00054C2F" w:rsidRDefault="00054C2F">
      <w:pPr>
        <w:autoSpaceDE w:val="0"/>
        <w:autoSpaceDN w:val="0"/>
        <w:adjustRightInd w:val="0"/>
        <w:spacing w:before="30" w:line="360" w:lineRule="auto"/>
        <w:rPr>
          <w:rFonts w:ascii="宋体" w:hAnsi="宋体" w:cs="宋体"/>
          <w:color w:val="000000"/>
          <w:kern w:val="0"/>
          <w:sz w:val="24"/>
          <w:szCs w:val="24"/>
        </w:rPr>
      </w:pPr>
    </w:p>
    <w:p w:rsidR="00054C2F" w:rsidRDefault="00F51681">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4.3 其他与赎回相关的事项</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（1）对基金份额持有人所收取赎回费用全额计入基金财产。</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（2）基金管理人可以在《基金合同》规定的范围内调整赎回费率，并最迟应于新的费率或收费方式实施日前依照有关规定在指定媒介上公告，调整后的赎回费率在更新的招募说明书中列示。</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（3）赎回费用由赎回基金份额的基金份额持有人承担，在基金份额持有人赎回基金份额时收取。</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（4）</w:t>
      </w:r>
      <w:bookmarkStart w:id="1" w:name="OLE_LINK4"/>
      <w:bookmarkStart w:id="2" w:name="OLE_LINK3"/>
      <w:r>
        <w:rPr>
          <w:rFonts w:ascii="宋体" w:hAnsi="宋体" w:cs="宋体" w:hint="eastAsia"/>
          <w:color w:val="000000"/>
          <w:kern w:val="0"/>
          <w:sz w:val="24"/>
          <w:szCs w:val="24"/>
        </w:rPr>
        <w:t>当本基金发生大额赎回情形时，基金管理人可以采用摆动定价机制，以确保基金估值的公平性。摆动定价机制适用的具体情形、处理原则及操作规范遵循法律法规、行业自律规则的相关规定。</w:t>
      </w:r>
      <w:bookmarkEnd w:id="1"/>
      <w:bookmarkEnd w:id="2"/>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5）基金管理人可以在不违反法律法规规定及基金合同约定的情况下根据市场情况制定基金促销计划，针对基金投资者定期和不定期地开展基金促销活动。在基金促销活动期间，按相关监管部门要求履行必要手续后，基金管理人可以适当调低本基金的赎回费率。</w:t>
      </w:r>
    </w:p>
    <w:p w:rsidR="00054C2F" w:rsidRDefault="00054C2F">
      <w:pPr>
        <w:autoSpaceDE w:val="0"/>
        <w:autoSpaceDN w:val="0"/>
        <w:adjustRightInd w:val="0"/>
        <w:spacing w:line="360" w:lineRule="auto"/>
        <w:jc w:val="left"/>
        <w:rPr>
          <w:rFonts w:ascii="宋体" w:hAnsi="宋体" w:cs="宋体"/>
          <w:color w:val="000000"/>
          <w:kern w:val="0"/>
          <w:sz w:val="24"/>
          <w:szCs w:val="24"/>
        </w:rPr>
      </w:pPr>
    </w:p>
    <w:p w:rsidR="00054C2F" w:rsidRDefault="00F51681">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5.日常转换业务</w:t>
      </w:r>
    </w:p>
    <w:p w:rsidR="00054C2F" w:rsidRDefault="00F51681">
      <w:pPr>
        <w:autoSpaceDE w:val="0"/>
        <w:autoSpaceDN w:val="0"/>
        <w:adjustRightInd w:val="0"/>
        <w:spacing w:before="30" w:line="360" w:lineRule="auto"/>
        <w:ind w:left="17"/>
        <w:jc w:val="left"/>
        <w:outlineLvl w:val="1"/>
        <w:rPr>
          <w:rFonts w:ascii="宋体" w:hAnsi="宋体" w:cs="宋体"/>
          <w:b/>
          <w:bCs/>
          <w:color w:val="000000"/>
          <w:kern w:val="0"/>
          <w:sz w:val="24"/>
          <w:szCs w:val="24"/>
        </w:rPr>
      </w:pPr>
      <w:r>
        <w:rPr>
          <w:rFonts w:ascii="宋体" w:hAnsi="宋体" w:cs="宋体" w:hint="eastAsia"/>
          <w:b/>
          <w:bCs/>
          <w:color w:val="000000"/>
          <w:kern w:val="0"/>
          <w:sz w:val="24"/>
          <w:szCs w:val="24"/>
        </w:rPr>
        <w:t>5.1 转换费率</w:t>
      </w:r>
    </w:p>
    <w:p w:rsidR="00054C2F" w:rsidRDefault="00F51681">
      <w:pPr>
        <w:adjustRightInd w:val="0"/>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基金转换费由基金份额持有人承担，由转出基金赎回费用及基金申购补差费用构成，其中赎回费用按照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基金转换费用由投资者承担。</w:t>
      </w:r>
    </w:p>
    <w:p w:rsidR="00054C2F" w:rsidRDefault="00F51681">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5.2 其他与转换相关的事项</w:t>
      </w:r>
    </w:p>
    <w:p w:rsidR="00054C2F" w:rsidRDefault="00F51681">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（1）投资者办理本基金日常转换业务时，基金转换费用计算方式、业务规则按照本公司于2022年6月10日发布的《创金合信基金管理有限公司关于旗下开放式基金转换业务规则说明的公告》执行。</w:t>
      </w:r>
    </w:p>
    <w:p w:rsidR="00054C2F" w:rsidRDefault="00F51681">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（2）由于各代理销售机构的系统差异以及业务安排等原因，开展转换业务的时间和基金品种及其它未尽事宜详见各销售机构的相关业务规则和相关公告。</w:t>
      </w:r>
    </w:p>
    <w:p w:rsidR="00054C2F" w:rsidRDefault="00054C2F">
      <w:pPr>
        <w:autoSpaceDE w:val="0"/>
        <w:autoSpaceDN w:val="0"/>
        <w:adjustRightInd w:val="0"/>
        <w:spacing w:before="30" w:line="360" w:lineRule="auto"/>
        <w:ind w:left="15"/>
        <w:jc w:val="left"/>
        <w:rPr>
          <w:rFonts w:ascii="宋体" w:hAnsi="宋体" w:cs="宋体"/>
          <w:b/>
          <w:bCs/>
          <w:color w:val="000000"/>
          <w:kern w:val="0"/>
          <w:sz w:val="24"/>
          <w:szCs w:val="24"/>
        </w:rPr>
      </w:pPr>
    </w:p>
    <w:p w:rsidR="00054C2F" w:rsidRDefault="00F51681">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6</w:t>
      </w:r>
      <w:r>
        <w:rPr>
          <w:rFonts w:ascii="宋体" w:hAnsi="宋体" w:cs="宋体" w:hint="eastAsia"/>
          <w:b/>
          <w:color w:val="000000"/>
          <w:kern w:val="0"/>
          <w:sz w:val="24"/>
        </w:rPr>
        <w:t>.</w:t>
      </w:r>
      <w:r>
        <w:rPr>
          <w:rFonts w:ascii="宋体" w:hAnsi="宋体" w:cs="宋体" w:hint="eastAsia"/>
          <w:b/>
          <w:bCs/>
          <w:color w:val="000000"/>
          <w:kern w:val="0"/>
          <w:sz w:val="24"/>
          <w:szCs w:val="24"/>
        </w:rPr>
        <w:t>基金销售机构</w:t>
      </w:r>
    </w:p>
    <w:p w:rsidR="00054C2F" w:rsidRDefault="00F51681">
      <w:pPr>
        <w:autoSpaceDE w:val="0"/>
        <w:autoSpaceDN w:val="0"/>
        <w:adjustRightInd w:val="0"/>
        <w:spacing w:before="30" w:line="360" w:lineRule="auto"/>
        <w:ind w:left="15"/>
        <w:rPr>
          <w:rFonts w:ascii="宋体" w:hAnsi="宋体" w:cs="宋体"/>
          <w:b/>
          <w:bCs/>
          <w:color w:val="000000"/>
          <w:kern w:val="0"/>
          <w:sz w:val="24"/>
          <w:szCs w:val="24"/>
        </w:rPr>
      </w:pPr>
      <w:r>
        <w:rPr>
          <w:rFonts w:ascii="宋体" w:hAnsi="宋体" w:cs="宋体" w:hint="eastAsia"/>
          <w:b/>
          <w:bCs/>
          <w:color w:val="000000"/>
          <w:kern w:val="0"/>
          <w:sz w:val="24"/>
          <w:szCs w:val="24"/>
        </w:rPr>
        <w:t>6.1 场外销售机构</w:t>
      </w:r>
    </w:p>
    <w:p w:rsidR="00054C2F" w:rsidRDefault="00F51681">
      <w:pPr>
        <w:adjustRightInd w:val="0"/>
        <w:snapToGrid w:val="0"/>
        <w:spacing w:line="360" w:lineRule="auto"/>
        <w:ind w:firstLineChars="200" w:firstLine="482"/>
        <w:rPr>
          <w:rFonts w:ascii="宋体" w:hAnsi="宋体" w:cs="宋体"/>
          <w:color w:val="000000"/>
          <w:sz w:val="24"/>
        </w:rPr>
      </w:pPr>
      <w:r>
        <w:rPr>
          <w:rFonts w:ascii="宋体" w:hAnsi="宋体" w:cs="宋体" w:hint="eastAsia"/>
          <w:b/>
          <w:bCs/>
          <w:color w:val="000000"/>
          <w:kern w:val="0"/>
          <w:sz w:val="24"/>
          <w:szCs w:val="24"/>
        </w:rPr>
        <w:t>6.</w:t>
      </w:r>
      <w:r>
        <w:rPr>
          <w:rFonts w:ascii="宋体" w:hAnsi="宋体" w:cs="宋体" w:hint="eastAsia"/>
          <w:b/>
          <w:bCs/>
          <w:color w:val="000000"/>
          <w:sz w:val="24"/>
        </w:rPr>
        <w:t>1</w:t>
      </w:r>
      <w:r>
        <w:rPr>
          <w:rFonts w:ascii="宋体" w:hAnsi="宋体" w:cs="宋体" w:hint="eastAsia"/>
          <w:b/>
          <w:bCs/>
          <w:color w:val="000000"/>
          <w:kern w:val="0"/>
          <w:sz w:val="24"/>
          <w:szCs w:val="24"/>
        </w:rPr>
        <w:t>.1</w:t>
      </w:r>
      <w:r>
        <w:rPr>
          <w:rFonts w:ascii="宋体" w:hAnsi="宋体" w:cs="宋体" w:hint="eastAsia"/>
          <w:b/>
          <w:bCs/>
          <w:color w:val="000000"/>
          <w:sz w:val="24"/>
        </w:rPr>
        <w:t>．直销机构</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创金合信基金管理有限公司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注册地址：深圳市前海深港合作区前湾一路1号A栋201室（入驻深圳市前海商务秘书有限公司）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办公地址：深圳市前海深港合作区南山街道梦海大道5035华润前海大厦A座36-38楼</w:t>
      </w:r>
    </w:p>
    <w:p w:rsidR="00054C2F" w:rsidRDefault="00F51681">
      <w:pPr>
        <w:adjustRightInd w:val="0"/>
        <w:snapToGrid w:val="0"/>
        <w:spacing w:line="360" w:lineRule="auto"/>
        <w:ind w:firstLineChars="200" w:firstLine="480"/>
        <w:rPr>
          <w:rStyle w:val="ab"/>
          <w:rFonts w:ascii="宋体" w:hAnsi="宋体" w:cs="宋体"/>
        </w:rPr>
      </w:pPr>
      <w:r>
        <w:rPr>
          <w:rFonts w:ascii="宋体" w:hAnsi="宋体" w:cs="宋体" w:hint="eastAsia"/>
          <w:color w:val="000000"/>
          <w:sz w:val="24"/>
        </w:rPr>
        <w:t>法定代表人：钱龙海</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成立时间：2014年7月9日</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传真：0755-82769149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联系人：欧小娟</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客服电话：0755-23838923</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网址：www.cjhxfund.com</w:t>
      </w:r>
    </w:p>
    <w:p w:rsidR="00054C2F" w:rsidRDefault="00F51681">
      <w:pPr>
        <w:adjustRightInd w:val="0"/>
        <w:snapToGrid w:val="0"/>
        <w:spacing w:line="360" w:lineRule="auto"/>
        <w:ind w:firstLineChars="200" w:firstLine="482"/>
        <w:rPr>
          <w:rFonts w:ascii="宋体" w:hAnsi="宋体" w:cs="宋体"/>
          <w:color w:val="000000"/>
          <w:sz w:val="24"/>
        </w:rPr>
      </w:pPr>
      <w:r>
        <w:rPr>
          <w:rFonts w:ascii="宋体" w:hAnsi="宋体" w:cs="宋体" w:hint="eastAsia"/>
          <w:b/>
          <w:bCs/>
          <w:color w:val="000000"/>
          <w:kern w:val="0"/>
          <w:sz w:val="24"/>
          <w:szCs w:val="24"/>
        </w:rPr>
        <w:t>6.1.2．</w:t>
      </w:r>
      <w:r>
        <w:rPr>
          <w:rFonts w:ascii="宋体" w:hAnsi="宋体" w:cs="宋体" w:hint="eastAsia"/>
          <w:b/>
          <w:bCs/>
          <w:color w:val="000000"/>
          <w:sz w:val="24"/>
        </w:rPr>
        <w:t>非直销机构</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（1）上海长量基金销售有限公司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客服电话：4008202899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官方网址：www.erichfund.com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（2）大连网金基金销售有限公司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客服电话：4000899100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官方网址：www.yibaijin.com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（3）上海大智慧基金销售有限公司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客服电话：021-20292031</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官方网址：www.wg.com.cn</w:t>
      </w:r>
    </w:p>
    <w:p w:rsidR="00054C2F" w:rsidRDefault="00F51681">
      <w:pPr>
        <w:adjustRightInd w:val="0"/>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sz w:val="24"/>
        </w:rPr>
        <w:t>（4）</w:t>
      </w:r>
      <w:r>
        <w:rPr>
          <w:rFonts w:ascii="宋体" w:hAnsi="宋体" w:cs="宋体" w:hint="eastAsia"/>
          <w:color w:val="000000"/>
          <w:kern w:val="0"/>
          <w:sz w:val="24"/>
          <w:szCs w:val="24"/>
        </w:rPr>
        <w:t>北京雪球基金销售有限公司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客服电话：400-159-9288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官方网址：https://danjuanapp.com/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（5）第一创业证券股份有限公司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客服电话：4008881888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官方网址：www.fcsc.com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（6）鼎信汇金（北京）投资管理有限公司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客服电话：4001585050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官方网址：https://www.tl50.com/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（7）东方财富证券股份有限公司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客服电话：95357</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官方网址：http://www.xzsec.com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（8）北京度小满基金销售有限公司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客服电话：95055-4</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官方网址：https://www.baiyingfund.com/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（9）凤凰金信（海口）基金销售有限公司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客服电话：400-076-1166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官方网址：www.fengfd.com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（10）光大证券股份有限公司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客服电话：95525</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官方网址：www.ebscn.com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（11）北京广源达信基金销售有限公司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客服电话：400-616-7531</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官方网址：https://www.niuniufund.com/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（12）和耕传承基金销售有限公司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客服电话：4000-555-671</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官方网址：www.hgccpb.com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（13）和讯信息科技有限公司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客服电话：400-920-0022</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官方网址：http://www.licaike.com/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（14）北京恒天明泽基金销售有限公司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客服电话：400-8980-618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官方网址：https://www.chtfund.com/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（15）北京虹点基金销售有限公司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客服电话：4006281176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官方网址：https://www.jimu.com/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（16）上海华夏财富投资管理有限公司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客服电话：400-817-5666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官方网址：www.amcfortune.com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（17）北京汇成基金销售有限公司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客服电话：400-619-9050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官方网址：www.hcjijin.com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（18）江苏汇林保大基金销售有限公司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客服电话：025-66046166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官方网址：www.huilinbd.com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（19）上海基煜基金销售有限公司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客服电话：400-820-5369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官方网址：www.jiyufund.com.cn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（20）济安财富(北京)基金销售有限公司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客服电话：400-673-7010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官方网址：www.jianfortune.com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（21）嘉实财富管理有限公司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客服电话：400-021-8850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官方网址：https://www.harvestwm.cn/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（22）深圳市金斧子基金销售有限公司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客服电话：400-9302-888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官方网址：www.jfzinv.com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（23）深圳市新兰德证券投资咨询有限公司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客服电话：4001661188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官方网址：http://8.jrj.com.cn/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（24）上海凯石财富基金销售有限公司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客服电话：4006433389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官方网址：www.vstonewealth.com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（25）京东肯特瑞基金销售有限公司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客服电话：400 098 8511 (个人业务) 400 088 8816 (企业业务)</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官方网址：http://kenterui.jd.com/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（26）联储证券有限责任公司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客服电话：400-620-6868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官方网址：www.lczq.com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（27）上海联泰基金销售有限公司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客服电话：400-118-1188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官方网址：www.66zichan.com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（28）上海陆金所基金销售有限公司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客服电话：4008666618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官方网址：www.lu.com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（29）蚂蚁（杭州）基金销售有限公司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客服电话：4000766123</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官方网址：http://www.fund123.cn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（30）民商基金销售(上海)有限公司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客服电话：021-50206003</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官方网址：www.msftec.com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（31）宁波银行股份有限公司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客服电话：95574</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官方网址：www.nbcb.com.cn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（32）诺亚正行基金销售有限公司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客服电话：4008215399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官方网址：http://www.noah-fund.com/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（33）泛华普益基金销售有限公司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客服电话：400-080-3388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官方网址：http://www.puyiwm.com/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（34）上海好买基金销售有限公司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客服电话：4007009665</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官方网址：http://www.howbuy.com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（35）上海天天基金销售有限公司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客服电话：4001818188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官方网址：www.1234567.com.cn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（36）上海万得基金销售有限公司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客服电话：400-799-1888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官方网址：www.520fund.com.cn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（37）深圳众禄基金销售股份有限公司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客服电话：4006788887</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官方网址：www.jjmmw.com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（38）南京苏宁基金销售有限公司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客服电话：95177</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官方网址：www.snjijin.com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（39）北京唐鼎耀华基金销售有限公司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客服电话：400-819-9868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官方网址：http://www.tdyhfund.com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（40）浙江同花顺基金销售有限公司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客服电话：952555</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官方网址：http://www.ijijin.com.cn/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（41）上海挖财基金销售有限公司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客服电话：021-50810673</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官方网址：www.wacaijijin.com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（42）万家财富基金销售（天津）有限公司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客服电话：010-59013895</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官方网址：www.wanjiawealth.com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（43）万联证券股份有限公司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客服电话：95322</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官方网址：http://www.wlzq.cn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（44）喜鹊财富基金销售有限公司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客服电话：4006997719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官方网址：https://www.xiquefund.com/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（45）北京新浪仓石基金销售有限公司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客服电话：86-010-62675369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官方网址：www.xincai.com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（46）玄元保险代理有限公司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客服电话：021-50701082</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官方网址：www.100bbx.com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（47）宜信普泽（北京）基金销售有限公司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客服电话：400-6099-200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官方网址：http://www.yixinfund.com/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（48）奕丰基金销售有限公司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客服电话：400-684-0500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官方网址：www.ifastps.com.cn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（49）珠海盈米基金销售有限公司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客服电话：02089629066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官方网址：http://www.yingmi.cn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（50）招商证券股份有限公司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客服电话：95536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官方网址：www.guosen.com.cn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（51）北京植信基金销售有限公司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客服电话：4006802123</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官方网址：www.zhixin-inv.com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（52）中信期货有限公司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客服电话：400-990-8826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官方网址：www.citicsf.com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（53）中信证券股份有限公司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客服电话：95548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官方网址：http://www.cs.ecitic.com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（54）中信证券华南股份有限公司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客服电话：95396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官方网址：www.gzs.com.cn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（55）中信证券（山东）有限责任公司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客服电话：95548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官方网址：www.zxwt.com.cn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（56）上海中正达广基金销售有限公司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客服电话：400-6767-523</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官方网址：http://www.zzwealth.cn/</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（57）中证金牛(北京)基金销售有限公司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客服电话：95055-4</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官方网址：www.jnlc.com</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（58）中山证券有限责任公司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客服电话：95329</w:t>
      </w:r>
    </w:p>
    <w:p w:rsidR="00054C2F" w:rsidRDefault="00F51681">
      <w:pPr>
        <w:adjustRightInd w:val="0"/>
        <w:snapToGrid w:val="0"/>
        <w:spacing w:line="360" w:lineRule="auto"/>
        <w:ind w:firstLineChars="200" w:firstLine="480"/>
        <w:rPr>
          <w:rFonts w:ascii="宋体" w:hAnsi="宋体" w:cs="宋体"/>
          <w:color w:val="54545E"/>
          <w:szCs w:val="21"/>
          <w:shd w:val="clear" w:color="auto" w:fill="FFFFFF"/>
        </w:rPr>
      </w:pPr>
      <w:r>
        <w:rPr>
          <w:rFonts w:ascii="宋体" w:hAnsi="宋体" w:cs="宋体" w:hint="eastAsia"/>
          <w:color w:val="000000"/>
          <w:sz w:val="24"/>
        </w:rPr>
        <w:t>官方网址：</w:t>
      </w:r>
      <w:hyperlink r:id="rId9" w:history="1">
        <w:r>
          <w:rPr>
            <w:rStyle w:val="aa"/>
            <w:rFonts w:ascii="宋体" w:hAnsi="宋体" w:cs="宋体" w:hint="eastAsia"/>
            <w:szCs w:val="21"/>
            <w:shd w:val="clear" w:color="auto" w:fill="FFFFFF"/>
          </w:rPr>
          <w:t>www.zszq.com</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（59）上海爱建基金销售有限公司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客服电话：021-606-08989</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hyperlink r:id="rId10" w:history="1">
        <w:r>
          <w:rPr>
            <w:rFonts w:ascii="宋体" w:hAnsi="宋体" w:cs="宋体" w:hint="eastAsia"/>
            <w:color w:val="000000"/>
            <w:sz w:val="24"/>
          </w:rPr>
          <w:t>www.ajwm.com.cn</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（60）上海利得基金销售有限公司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客服电话：4000325885</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官方网站：</w:t>
      </w:r>
      <w:hyperlink r:id="rId11" w:history="1">
        <w:r>
          <w:rPr>
            <w:rFonts w:ascii="宋体" w:hAnsi="宋体" w:cs="宋体" w:hint="eastAsia"/>
            <w:color w:val="000000"/>
            <w:sz w:val="24"/>
          </w:rPr>
          <w:t>http://www.leadfund.com.cn/</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（61）深圳市前海排排网基金销售有限责任公司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客服电话：400-680-3928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hyperlink r:id="rId12" w:history="1">
        <w:r>
          <w:rPr>
            <w:rFonts w:ascii="宋体" w:hAnsi="宋体" w:cs="宋体" w:hint="eastAsia"/>
            <w:color w:val="000000"/>
            <w:sz w:val="24"/>
          </w:rPr>
          <w:t>www.simuwang.com</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（62）通华财富（上海）基金销售有限公司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客服电话：400-101-9301</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官方网站：</w:t>
      </w:r>
      <w:hyperlink r:id="rId13" w:history="1">
        <w:r>
          <w:rPr>
            <w:rStyle w:val="aa"/>
            <w:rFonts w:ascii="宋体" w:hAnsi="宋体" w:cs="宋体" w:hint="eastAsia"/>
            <w:color w:val="000000"/>
            <w:sz w:val="24"/>
          </w:rPr>
          <w:t>https://www.tonghuafund.com</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（63）上海攀赢基金销售有限公司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客服电话：021-68889082</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官方网站：</w:t>
      </w:r>
      <w:hyperlink r:id="rId14" w:history="1">
        <w:r>
          <w:rPr>
            <w:rStyle w:val="aa"/>
            <w:rFonts w:ascii="宋体" w:hAnsi="宋体" w:cs="宋体" w:hint="eastAsia"/>
            <w:color w:val="000000"/>
            <w:sz w:val="24"/>
          </w:rPr>
          <w:t>http://www.pytz.cn/</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（64）华宝证券股份有限公司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客服电话：4008209898</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官方网站：</w:t>
      </w:r>
      <w:hyperlink r:id="rId15" w:history="1">
        <w:r>
          <w:rPr>
            <w:rStyle w:val="aa"/>
            <w:rFonts w:ascii="宋体" w:hAnsi="宋体" w:cs="宋体" w:hint="eastAsia"/>
            <w:color w:val="000000"/>
            <w:sz w:val="24"/>
          </w:rPr>
          <w:t>www.cnhbstock.com</w:t>
        </w:r>
      </w:hyperlink>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（65）洪泰财富（青岛）基金销售有限责任公司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客服电话：4008189598</w:t>
      </w:r>
    </w:p>
    <w:p w:rsidR="00054C2F" w:rsidRDefault="00F51681">
      <w:pPr>
        <w:adjustRightInd w:val="0"/>
        <w:snapToGrid w:val="0"/>
        <w:spacing w:line="360" w:lineRule="auto"/>
        <w:ind w:firstLineChars="200" w:firstLine="480"/>
        <w:rPr>
          <w:rFonts w:ascii="宋体" w:hAnsi="宋体" w:cs="宋体"/>
          <w:kern w:val="0"/>
          <w:sz w:val="24"/>
          <w:szCs w:val="24"/>
          <w:lang/>
        </w:rPr>
      </w:pPr>
      <w:r>
        <w:rPr>
          <w:rFonts w:ascii="宋体" w:hAnsi="宋体" w:cs="宋体" w:hint="eastAsia"/>
          <w:color w:val="000000"/>
          <w:sz w:val="24"/>
        </w:rPr>
        <w:t>官方网站：</w:t>
      </w:r>
      <w:hyperlink r:id="rId16" w:tgtFrame="_blank" w:history="1">
        <w:r>
          <w:rPr>
            <w:rStyle w:val="aa"/>
            <w:rFonts w:ascii="宋体" w:hAnsi="宋体" w:cs="宋体"/>
            <w:sz w:val="24"/>
            <w:szCs w:val="24"/>
          </w:rPr>
          <w:t>www.hongtaiwealth.com</w:t>
        </w:r>
      </w:hyperlink>
      <w:r>
        <w:rPr>
          <w:rFonts w:ascii="宋体" w:hAnsi="宋体" w:cs="宋体"/>
          <w:kern w:val="0"/>
          <w:sz w:val="24"/>
          <w:szCs w:val="24"/>
          <w:lang/>
        </w:rPr>
        <w:t xml:space="preserve"> </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（66）国盛证券有限责任公司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客服电话：956080</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官方网站：</w:t>
      </w:r>
      <w:hyperlink r:id="rId17" w:tgtFrame="_blank" w:history="1">
        <w:r>
          <w:rPr>
            <w:rFonts w:ascii="宋体" w:hAnsi="宋体" w:cs="宋体" w:hint="eastAsia"/>
            <w:color w:val="000000"/>
            <w:sz w:val="24"/>
          </w:rPr>
          <w:t>www.gszq.com</w:t>
        </w:r>
      </w:hyperlink>
      <w:r>
        <w:rPr>
          <w:rFonts w:ascii="宋体" w:hAnsi="宋体" w:cs="宋体" w:hint="eastAsia"/>
          <w:color w:val="000000"/>
          <w:sz w:val="24"/>
        </w:rPr>
        <w:t xml:space="preserve"> </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（67）海银基金销售有限公司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客服电话：021-60206991</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hyperlink r:id="rId18" w:tgtFrame="_blank" w:history="1">
        <w:r>
          <w:rPr>
            <w:rFonts w:ascii="宋体" w:hAnsi="宋体" w:cs="宋体" w:hint="eastAsia"/>
            <w:color w:val="000000"/>
            <w:sz w:val="24"/>
          </w:rPr>
          <w:t>www.fundhaiyin.com/</w:t>
        </w:r>
      </w:hyperlink>
      <w:r>
        <w:rPr>
          <w:rFonts w:ascii="宋体" w:hAnsi="宋体" w:cs="宋体" w:hint="eastAsia"/>
          <w:color w:val="000000"/>
          <w:sz w:val="24"/>
        </w:rPr>
        <w:t xml:space="preserve"> </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（68）浦领基金销售有限公司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客服电话：400-086-0286</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hyperlink r:id="rId19" w:tgtFrame="_blank" w:history="1">
        <w:r>
          <w:rPr>
            <w:rFonts w:ascii="宋体" w:hAnsi="宋体" w:cs="宋体" w:hint="eastAsia"/>
            <w:color w:val="000000"/>
            <w:sz w:val="24"/>
          </w:rPr>
          <w:t>https://www.prolinkwm.com/job.aspx?cid=23</w:t>
        </w:r>
      </w:hyperlink>
      <w:r>
        <w:rPr>
          <w:rFonts w:ascii="宋体" w:hAnsi="宋体" w:cs="宋体" w:hint="eastAsia"/>
          <w:color w:val="000000"/>
          <w:sz w:val="24"/>
        </w:rPr>
        <w:t xml:space="preserve"> </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（69）北京微动利基金销售有限公司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客服电话：400-188-5687</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hyperlink r:id="rId20" w:tgtFrame="_blank" w:history="1">
        <w:r>
          <w:rPr>
            <w:rFonts w:ascii="宋体" w:hAnsi="宋体" w:cs="宋体" w:hint="eastAsia"/>
            <w:color w:val="000000"/>
            <w:sz w:val="24"/>
          </w:rPr>
          <w:t>https://www.buyforyou.com.cn/</w:t>
        </w:r>
      </w:hyperlink>
      <w:r>
        <w:rPr>
          <w:rFonts w:ascii="宋体" w:hAnsi="宋体" w:cs="宋体" w:hint="eastAsia"/>
          <w:color w:val="000000"/>
          <w:sz w:val="24"/>
        </w:rPr>
        <w:t xml:space="preserve"> </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（70）泰信财富基金销售有限公司</w:t>
      </w:r>
    </w:p>
    <w:p w:rsidR="00054C2F" w:rsidRDefault="00F51681">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客服电话：4000048821</w:t>
      </w:r>
    </w:p>
    <w:p w:rsidR="00054C2F" w:rsidRPr="00BA367B" w:rsidRDefault="00F51681" w:rsidP="00BA367B">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hyperlink r:id="rId21" w:tgtFrame="_blank" w:history="1">
        <w:r w:rsidRPr="00BA367B">
          <w:rPr>
            <w:rFonts w:ascii="宋体" w:hAnsi="宋体" w:cs="宋体"/>
            <w:color w:val="000000"/>
            <w:sz w:val="24"/>
          </w:rPr>
          <w:t>https://www.taixincf.com/</w:t>
        </w:r>
      </w:hyperlink>
      <w:r w:rsidRPr="00BA367B">
        <w:rPr>
          <w:rFonts w:ascii="宋体" w:hAnsi="宋体" w:cs="宋体"/>
          <w:color w:val="000000"/>
          <w:sz w:val="24"/>
        </w:rPr>
        <w:t xml:space="preserve"> </w:t>
      </w:r>
    </w:p>
    <w:p w:rsidR="00BA367B" w:rsidRDefault="00BA367B" w:rsidP="00BA367B">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（7</w:t>
      </w:r>
      <w:r>
        <w:rPr>
          <w:rFonts w:ascii="宋体" w:hAnsi="宋体" w:cs="宋体"/>
          <w:color w:val="000000"/>
          <w:sz w:val="24"/>
        </w:rPr>
        <w:t>1</w:t>
      </w:r>
      <w:r>
        <w:rPr>
          <w:rFonts w:ascii="宋体" w:hAnsi="宋体" w:cs="宋体" w:hint="eastAsia"/>
          <w:color w:val="000000"/>
          <w:sz w:val="24"/>
        </w:rPr>
        <w:t>）</w:t>
      </w:r>
      <w:r w:rsidRPr="00BA367B">
        <w:rPr>
          <w:rFonts w:ascii="宋体" w:hAnsi="宋体" w:cs="宋体" w:hint="eastAsia"/>
          <w:color w:val="000000"/>
          <w:sz w:val="24"/>
        </w:rPr>
        <w:t>平安银行股份有限公司</w:t>
      </w:r>
    </w:p>
    <w:p w:rsidR="00BA367B" w:rsidRDefault="00BA367B" w:rsidP="00BA367B">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w:t>
      </w:r>
      <w:r w:rsidRPr="00BA367B">
        <w:rPr>
          <w:rFonts w:ascii="宋体" w:hAnsi="宋体" w:cs="宋体"/>
          <w:color w:val="000000"/>
          <w:sz w:val="24"/>
        </w:rPr>
        <w:t>95511</w:t>
      </w:r>
    </w:p>
    <w:p w:rsidR="00054C2F" w:rsidRPr="00BA367B" w:rsidRDefault="00BA367B" w:rsidP="00BA367B">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官方网站： </w:t>
      </w:r>
      <w:r w:rsidRPr="00BA367B">
        <w:rPr>
          <w:rFonts w:ascii="宋体" w:hAnsi="宋体" w:cs="宋体"/>
          <w:color w:val="000000"/>
          <w:sz w:val="24"/>
        </w:rPr>
        <w:t xml:space="preserve">http://bank.pingan.com/ </w:t>
      </w:r>
    </w:p>
    <w:p w:rsidR="00054C2F" w:rsidRPr="00BA367B" w:rsidRDefault="00054C2F">
      <w:pPr>
        <w:adjustRightInd w:val="0"/>
        <w:snapToGrid w:val="0"/>
        <w:spacing w:line="360" w:lineRule="auto"/>
        <w:rPr>
          <w:rFonts w:ascii="宋体" w:hAnsi="宋体" w:cs="宋体"/>
          <w:color w:val="000000"/>
          <w:sz w:val="24"/>
        </w:rPr>
      </w:pPr>
    </w:p>
    <w:p w:rsidR="00054C2F" w:rsidRDefault="00F51681">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6.2 场内销售机构</w:t>
      </w:r>
    </w:p>
    <w:p w:rsidR="00054C2F" w:rsidRDefault="00F51681">
      <w:pPr>
        <w:autoSpaceDE w:val="0"/>
        <w:autoSpaceDN w:val="0"/>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无。</w:t>
      </w:r>
    </w:p>
    <w:p w:rsidR="00054C2F" w:rsidRDefault="00054C2F">
      <w:pPr>
        <w:autoSpaceDE w:val="0"/>
        <w:autoSpaceDN w:val="0"/>
        <w:adjustRightInd w:val="0"/>
        <w:snapToGrid w:val="0"/>
        <w:spacing w:line="360" w:lineRule="auto"/>
        <w:rPr>
          <w:rFonts w:ascii="宋体" w:hAnsi="宋体" w:cs="宋体"/>
          <w:color w:val="000000"/>
          <w:sz w:val="24"/>
        </w:rPr>
      </w:pPr>
    </w:p>
    <w:p w:rsidR="00054C2F" w:rsidRDefault="00F51681">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7</w:t>
      </w:r>
      <w:r>
        <w:rPr>
          <w:rFonts w:ascii="宋体" w:hAnsi="宋体" w:cs="宋体" w:hint="eastAsia"/>
          <w:b/>
          <w:color w:val="000000"/>
          <w:kern w:val="0"/>
          <w:sz w:val="24"/>
        </w:rPr>
        <w:t>.</w:t>
      </w:r>
      <w:r>
        <w:rPr>
          <w:rFonts w:ascii="宋体" w:hAnsi="宋体" w:cs="宋体" w:hint="eastAsia"/>
          <w:b/>
          <w:bCs/>
          <w:color w:val="000000"/>
          <w:kern w:val="0"/>
          <w:sz w:val="24"/>
          <w:szCs w:val="24"/>
        </w:rPr>
        <w:t>基金份额净值公告/基金收益公告的披露安排</w:t>
      </w:r>
    </w:p>
    <w:p w:rsidR="00054C2F" w:rsidRDefault="00F51681">
      <w:pPr>
        <w:spacing w:line="360" w:lineRule="auto"/>
        <w:ind w:firstLineChars="200" w:firstLine="480"/>
        <w:rPr>
          <w:rFonts w:ascii="宋体" w:hAnsi="宋体" w:cs="宋体"/>
          <w:sz w:val="24"/>
          <w:szCs w:val="24"/>
        </w:rPr>
      </w:pPr>
      <w:r>
        <w:rPr>
          <w:rFonts w:ascii="宋体" w:hAnsi="宋体" w:cs="宋体" w:hint="eastAsia"/>
          <w:sz w:val="24"/>
          <w:szCs w:val="24"/>
        </w:rPr>
        <w:t>《基金合同》生效后，在封闭期内，基金管理人应当至少每周在指定网站披露一次各类基金份额的基金份额净值和基金份额累计净值。</w:t>
      </w:r>
    </w:p>
    <w:p w:rsidR="00054C2F" w:rsidRDefault="00F51681">
      <w:pPr>
        <w:spacing w:line="360" w:lineRule="auto"/>
        <w:ind w:firstLineChars="200" w:firstLine="480"/>
        <w:rPr>
          <w:rFonts w:ascii="宋体" w:hAnsi="宋体" w:cs="宋体"/>
          <w:sz w:val="24"/>
          <w:szCs w:val="24"/>
        </w:rPr>
      </w:pPr>
      <w:r>
        <w:rPr>
          <w:rFonts w:ascii="宋体" w:hAnsi="宋体" w:cs="宋体" w:hint="eastAsia"/>
          <w:sz w:val="24"/>
          <w:szCs w:val="24"/>
        </w:rPr>
        <w:t>基金管理人应在开放期前最后一个工作日的次日，披露开放期前最后一个工作日的各类基金份额的基金份额净值和基金份额累计净值。</w:t>
      </w:r>
    </w:p>
    <w:p w:rsidR="00054C2F" w:rsidRDefault="00F51681">
      <w:pPr>
        <w:spacing w:line="360" w:lineRule="auto"/>
        <w:ind w:firstLineChars="200" w:firstLine="480"/>
        <w:rPr>
          <w:rFonts w:ascii="宋体" w:hAnsi="宋体" w:cs="宋体"/>
          <w:sz w:val="24"/>
          <w:szCs w:val="24"/>
        </w:rPr>
      </w:pPr>
      <w:r>
        <w:rPr>
          <w:rFonts w:ascii="宋体" w:hAnsi="宋体" w:cs="宋体" w:hint="eastAsia"/>
          <w:sz w:val="24"/>
          <w:szCs w:val="24"/>
        </w:rPr>
        <w:t>在开放期内，基金管理人应当在不晚于每个开放日的次日，通过指定网站、基金销售机构网站或者营业网点披露开放日各类基金份额的基金份额净值和基金份额累计净值。</w:t>
      </w:r>
    </w:p>
    <w:p w:rsidR="00054C2F" w:rsidRDefault="00F51681">
      <w:pPr>
        <w:spacing w:line="360" w:lineRule="auto"/>
        <w:ind w:firstLineChars="200" w:firstLine="480"/>
        <w:rPr>
          <w:rFonts w:ascii="宋体" w:hAnsi="宋体" w:cs="宋体"/>
          <w:sz w:val="24"/>
          <w:szCs w:val="24"/>
        </w:rPr>
      </w:pPr>
      <w:r>
        <w:rPr>
          <w:rFonts w:ascii="宋体" w:hAnsi="宋体" w:cs="宋体" w:hint="eastAsia"/>
          <w:sz w:val="24"/>
          <w:szCs w:val="24"/>
        </w:rPr>
        <w:t>基金管理人应当在不晚于半年度和年度最后一日的次日，在指定网站披露半年度和年度最后一日各类基金份额的基金份额净值和基金份额累计净值。</w:t>
      </w:r>
    </w:p>
    <w:p w:rsidR="00054C2F" w:rsidRDefault="00054C2F">
      <w:pPr>
        <w:autoSpaceDE w:val="0"/>
        <w:autoSpaceDN w:val="0"/>
        <w:adjustRightInd w:val="0"/>
        <w:spacing w:before="30" w:line="360" w:lineRule="auto"/>
        <w:ind w:firstLineChars="200" w:firstLine="480"/>
        <w:rPr>
          <w:rFonts w:ascii="宋体" w:hAnsi="宋体" w:cs="宋体"/>
          <w:color w:val="000000"/>
          <w:kern w:val="0"/>
          <w:sz w:val="24"/>
          <w:szCs w:val="24"/>
        </w:rPr>
      </w:pPr>
    </w:p>
    <w:p w:rsidR="00054C2F" w:rsidRDefault="00F51681">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8</w:t>
      </w:r>
      <w:r>
        <w:rPr>
          <w:rFonts w:ascii="宋体" w:hAnsi="宋体" w:cs="宋体" w:hint="eastAsia"/>
          <w:b/>
          <w:color w:val="000000"/>
          <w:kern w:val="0"/>
          <w:sz w:val="24"/>
        </w:rPr>
        <w:t>.</w:t>
      </w:r>
      <w:r>
        <w:rPr>
          <w:rFonts w:ascii="宋体" w:hAnsi="宋体" w:cs="宋体" w:hint="eastAsia"/>
          <w:b/>
          <w:bCs/>
          <w:color w:val="000000"/>
          <w:kern w:val="0"/>
          <w:sz w:val="24"/>
          <w:szCs w:val="24"/>
        </w:rPr>
        <w:t>其他需要提示的事项</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（1）本公告仅对本基金本次开放期即2022年</w:t>
      </w:r>
      <w:r w:rsidR="004467FC">
        <w:rPr>
          <w:rFonts w:ascii="宋体" w:hAnsi="宋体" w:cs="宋体"/>
          <w:color w:val="000000"/>
          <w:kern w:val="0"/>
          <w:sz w:val="24"/>
          <w:szCs w:val="24"/>
        </w:rPr>
        <w:t>12</w:t>
      </w:r>
      <w:r>
        <w:rPr>
          <w:rFonts w:ascii="宋体" w:hAnsi="宋体" w:cs="宋体" w:hint="eastAsia"/>
          <w:color w:val="000000"/>
          <w:kern w:val="0"/>
          <w:sz w:val="24"/>
          <w:szCs w:val="24"/>
        </w:rPr>
        <w:t>月2</w:t>
      </w:r>
      <w:r w:rsidR="004467FC">
        <w:rPr>
          <w:rFonts w:ascii="宋体" w:hAnsi="宋体" w:cs="宋体"/>
          <w:color w:val="000000"/>
          <w:kern w:val="0"/>
          <w:sz w:val="24"/>
          <w:szCs w:val="24"/>
        </w:rPr>
        <w:t>6</w:t>
      </w:r>
      <w:r>
        <w:rPr>
          <w:rFonts w:ascii="宋体" w:hAnsi="宋体" w:cs="宋体" w:hint="eastAsia"/>
          <w:color w:val="000000"/>
          <w:kern w:val="0"/>
          <w:sz w:val="24"/>
          <w:szCs w:val="24"/>
        </w:rPr>
        <w:t>日至2022年</w:t>
      </w:r>
      <w:r w:rsidR="004467FC">
        <w:rPr>
          <w:rFonts w:ascii="宋体" w:hAnsi="宋体" w:cs="宋体"/>
          <w:color w:val="000000"/>
          <w:kern w:val="0"/>
          <w:sz w:val="24"/>
          <w:szCs w:val="24"/>
        </w:rPr>
        <w:t>12</w:t>
      </w:r>
      <w:r>
        <w:rPr>
          <w:rFonts w:ascii="宋体" w:hAnsi="宋体" w:cs="宋体" w:hint="eastAsia"/>
          <w:color w:val="000000"/>
          <w:kern w:val="0"/>
          <w:sz w:val="24"/>
          <w:szCs w:val="24"/>
        </w:rPr>
        <w:t>月</w:t>
      </w:r>
      <w:r w:rsidR="004467FC">
        <w:rPr>
          <w:rFonts w:ascii="宋体" w:hAnsi="宋体" w:cs="宋体"/>
          <w:color w:val="000000"/>
          <w:kern w:val="0"/>
          <w:sz w:val="24"/>
          <w:szCs w:val="24"/>
        </w:rPr>
        <w:t>30</w:t>
      </w:r>
      <w:r>
        <w:rPr>
          <w:rFonts w:ascii="宋体" w:hAnsi="宋体" w:cs="宋体" w:hint="eastAsia"/>
          <w:color w:val="000000"/>
          <w:kern w:val="0"/>
          <w:sz w:val="24"/>
          <w:szCs w:val="24"/>
        </w:rPr>
        <w:t>日办理其申购、赎回和转换业务有关的事项予以说明。投资者欲了解本基金的详细情况，请仔细阅读《</w:t>
      </w:r>
      <w:r>
        <w:rPr>
          <w:rFonts w:ascii="宋体" w:hAnsi="宋体" w:cs="宋体" w:hint="eastAsia"/>
          <w:color w:val="000000"/>
          <w:sz w:val="24"/>
        </w:rPr>
        <w:t>创金合信泰盈双季红6个月定期开放债券型证券投资基金</w:t>
      </w:r>
      <w:r>
        <w:rPr>
          <w:rFonts w:ascii="宋体" w:hAnsi="宋体" w:cs="宋体" w:hint="eastAsia"/>
          <w:color w:val="000000"/>
          <w:kern w:val="0"/>
          <w:sz w:val="24"/>
          <w:szCs w:val="24"/>
        </w:rPr>
        <w:t>基金合同》和《</w:t>
      </w:r>
      <w:r>
        <w:rPr>
          <w:rFonts w:ascii="宋体" w:hAnsi="宋体" w:cs="宋体" w:hint="eastAsia"/>
          <w:color w:val="000000"/>
          <w:sz w:val="24"/>
        </w:rPr>
        <w:t>创金合信泰盈双季红6个月定期开放债券型证券投资基金招</w:t>
      </w:r>
      <w:r>
        <w:rPr>
          <w:rFonts w:ascii="宋体" w:hAnsi="宋体" w:cs="宋体" w:hint="eastAsia"/>
          <w:color w:val="000000"/>
          <w:kern w:val="0"/>
          <w:sz w:val="24"/>
          <w:szCs w:val="24"/>
        </w:rPr>
        <w:t>募说明书》。</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本基金自本次开放期结束的次日即</w:t>
      </w:r>
      <w:r w:rsidR="00C825F3">
        <w:rPr>
          <w:rFonts w:ascii="宋体" w:hAnsi="宋体" w:cs="宋体" w:hint="eastAsia"/>
          <w:color w:val="000000"/>
          <w:kern w:val="0"/>
          <w:sz w:val="24"/>
          <w:szCs w:val="24"/>
        </w:rPr>
        <w:t>202</w:t>
      </w:r>
      <w:r w:rsidR="00C825F3">
        <w:rPr>
          <w:rFonts w:ascii="宋体" w:hAnsi="宋体" w:cs="宋体"/>
          <w:color w:val="000000"/>
          <w:kern w:val="0"/>
          <w:sz w:val="24"/>
          <w:szCs w:val="24"/>
        </w:rPr>
        <w:t>2</w:t>
      </w:r>
      <w:r w:rsidR="00C825F3">
        <w:rPr>
          <w:rFonts w:ascii="宋体" w:hAnsi="宋体" w:cs="宋体" w:hint="eastAsia"/>
          <w:color w:val="000000"/>
          <w:kern w:val="0"/>
          <w:sz w:val="24"/>
          <w:szCs w:val="24"/>
        </w:rPr>
        <w:t>年</w:t>
      </w:r>
      <w:r w:rsidR="00C825F3">
        <w:rPr>
          <w:rFonts w:ascii="宋体" w:hAnsi="宋体" w:cs="宋体"/>
          <w:color w:val="000000"/>
          <w:kern w:val="0"/>
          <w:sz w:val="24"/>
          <w:szCs w:val="24"/>
        </w:rPr>
        <w:t>12</w:t>
      </w:r>
      <w:r w:rsidR="00C825F3">
        <w:rPr>
          <w:rFonts w:ascii="宋体" w:hAnsi="宋体" w:cs="宋体" w:hint="eastAsia"/>
          <w:color w:val="000000"/>
          <w:kern w:val="0"/>
          <w:sz w:val="24"/>
          <w:szCs w:val="24"/>
        </w:rPr>
        <w:t>月</w:t>
      </w:r>
      <w:r w:rsidR="00C825F3">
        <w:rPr>
          <w:rFonts w:ascii="宋体" w:hAnsi="宋体" w:cs="宋体"/>
          <w:color w:val="000000"/>
          <w:kern w:val="0"/>
          <w:sz w:val="24"/>
          <w:szCs w:val="24"/>
        </w:rPr>
        <w:t>31</w:t>
      </w:r>
      <w:r w:rsidR="00C825F3">
        <w:rPr>
          <w:rFonts w:ascii="宋体" w:hAnsi="宋体" w:cs="宋体" w:hint="eastAsia"/>
          <w:color w:val="000000"/>
          <w:kern w:val="0"/>
          <w:sz w:val="24"/>
          <w:szCs w:val="24"/>
        </w:rPr>
        <w:t>日</w:t>
      </w:r>
      <w:r>
        <w:rPr>
          <w:rFonts w:ascii="宋体" w:hAnsi="宋体" w:cs="宋体" w:hint="eastAsia"/>
          <w:color w:val="000000"/>
          <w:kern w:val="0"/>
          <w:sz w:val="24"/>
          <w:szCs w:val="24"/>
        </w:rPr>
        <w:t>（含）起进入封闭期，封闭期内本基金不再办理申购、赎回业务。</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2）基金管理人应以交易时间结束前受理有效申购和赎回申请的当天作为申购或赎回申请日(T日)，在正常情况下，本基金登记机构在T+1日内对该交易的有效性进行确认。T日提交的有效申请，投资人应及时到销售网点柜台或以销售机构规定的其他方式查询申请的确认情况。若申购不成功，则申购款项本金退还给投资人。</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（3）风险提示：基金管理人承诺以诚实信用、勤勉尽责的原则管理和运用基金资产，但不保证基金一定盈利，也不保证最低利益。投资者投资于本基金时应认真阅读《</w:t>
      </w:r>
      <w:r>
        <w:rPr>
          <w:rFonts w:ascii="宋体" w:hAnsi="宋体" w:cs="宋体" w:hint="eastAsia"/>
          <w:color w:val="000000"/>
          <w:sz w:val="24"/>
        </w:rPr>
        <w:t>创金合信泰盈双季红6个月定期开放债券型证券投资基金</w:t>
      </w:r>
      <w:r>
        <w:rPr>
          <w:rFonts w:ascii="宋体" w:hAnsi="宋体" w:cs="宋体" w:hint="eastAsia"/>
          <w:color w:val="000000"/>
          <w:kern w:val="0"/>
          <w:sz w:val="24"/>
          <w:szCs w:val="24"/>
        </w:rPr>
        <w:t>基金合同》和《</w:t>
      </w:r>
      <w:r>
        <w:rPr>
          <w:rFonts w:ascii="宋体" w:hAnsi="宋体" w:cs="宋体" w:hint="eastAsia"/>
          <w:color w:val="000000"/>
          <w:sz w:val="24"/>
        </w:rPr>
        <w:t>创金合信泰盈双季红6个月定期开放债券型证券投资基金</w:t>
      </w:r>
      <w:r>
        <w:rPr>
          <w:rFonts w:ascii="宋体" w:hAnsi="宋体" w:cs="宋体" w:hint="eastAsia"/>
          <w:color w:val="000000"/>
          <w:kern w:val="0"/>
          <w:sz w:val="24"/>
          <w:szCs w:val="24"/>
        </w:rPr>
        <w:t>招募说明书》。</w:t>
      </w:r>
    </w:p>
    <w:p w:rsidR="00054C2F" w:rsidRDefault="00F51681">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特此公告。</w:t>
      </w:r>
    </w:p>
    <w:p w:rsidR="00054C2F" w:rsidRDefault="00054C2F">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p>
    <w:p w:rsidR="00054C2F" w:rsidRDefault="00F51681">
      <w:pPr>
        <w:autoSpaceDE w:val="0"/>
        <w:autoSpaceDN w:val="0"/>
        <w:adjustRightInd w:val="0"/>
        <w:spacing w:before="30" w:line="360" w:lineRule="auto"/>
        <w:ind w:leftChars="7" w:left="15" w:firstLineChars="200" w:firstLine="480"/>
        <w:jc w:val="right"/>
        <w:rPr>
          <w:rFonts w:ascii="宋体" w:hAnsi="宋体" w:cs="宋体"/>
          <w:color w:val="000000"/>
          <w:kern w:val="0"/>
          <w:sz w:val="24"/>
          <w:szCs w:val="24"/>
        </w:rPr>
      </w:pPr>
      <w:r>
        <w:rPr>
          <w:rFonts w:ascii="宋体" w:hAnsi="宋体" w:cs="宋体" w:hint="eastAsia"/>
          <w:color w:val="000000"/>
          <w:kern w:val="0"/>
          <w:sz w:val="24"/>
          <w:szCs w:val="24"/>
        </w:rPr>
        <w:t>创金合信基金管理有限公司</w:t>
      </w:r>
    </w:p>
    <w:p w:rsidR="00054C2F" w:rsidRDefault="00F51681">
      <w:pPr>
        <w:autoSpaceDE w:val="0"/>
        <w:autoSpaceDN w:val="0"/>
        <w:adjustRightInd w:val="0"/>
        <w:spacing w:before="30" w:line="360" w:lineRule="auto"/>
        <w:ind w:leftChars="7" w:left="15" w:right="480" w:firstLineChars="200" w:firstLine="480"/>
        <w:jc w:val="right"/>
        <w:rPr>
          <w:rFonts w:ascii="宋体" w:hAnsi="宋体" w:cs="宋体"/>
          <w:color w:val="000000"/>
          <w:kern w:val="0"/>
          <w:sz w:val="24"/>
          <w:szCs w:val="24"/>
        </w:rPr>
      </w:pPr>
      <w:r>
        <w:rPr>
          <w:rFonts w:ascii="宋体" w:hAnsi="宋体" w:cs="宋体" w:hint="eastAsia"/>
          <w:color w:val="000000"/>
          <w:kern w:val="0"/>
          <w:sz w:val="24"/>
          <w:szCs w:val="24"/>
        </w:rPr>
        <w:t>2022年</w:t>
      </w:r>
      <w:r w:rsidR="00B17B9A">
        <w:rPr>
          <w:rFonts w:ascii="宋体" w:hAnsi="宋体" w:cs="宋体"/>
          <w:color w:val="000000"/>
          <w:kern w:val="0"/>
          <w:sz w:val="24"/>
          <w:szCs w:val="24"/>
        </w:rPr>
        <w:t>12</w:t>
      </w:r>
      <w:r>
        <w:rPr>
          <w:rFonts w:ascii="宋体" w:hAnsi="宋体" w:cs="宋体" w:hint="eastAsia"/>
          <w:color w:val="000000"/>
          <w:kern w:val="0"/>
          <w:sz w:val="24"/>
          <w:szCs w:val="24"/>
        </w:rPr>
        <w:t>月</w:t>
      </w:r>
      <w:r w:rsidR="00B17B9A">
        <w:rPr>
          <w:rFonts w:ascii="宋体" w:hAnsi="宋体" w:cs="宋体"/>
          <w:color w:val="000000"/>
          <w:kern w:val="0"/>
          <w:sz w:val="24"/>
          <w:szCs w:val="24"/>
        </w:rPr>
        <w:t>23</w:t>
      </w:r>
      <w:r>
        <w:rPr>
          <w:rFonts w:ascii="宋体" w:hAnsi="宋体" w:cs="宋体" w:hint="eastAsia"/>
          <w:color w:val="000000"/>
          <w:kern w:val="0"/>
          <w:sz w:val="24"/>
          <w:szCs w:val="24"/>
        </w:rPr>
        <w:t>日</w:t>
      </w:r>
    </w:p>
    <w:sectPr w:rsidR="00054C2F" w:rsidSect="00F25785">
      <w:headerReference w:type="default" r:id="rId22"/>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3D" w:rsidRDefault="0077733D">
      <w:r>
        <w:separator/>
      </w:r>
    </w:p>
  </w:endnote>
  <w:endnote w:type="continuationSeparator" w:id="0">
    <w:p w:rsidR="0077733D" w:rsidRDefault="00777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3D" w:rsidRDefault="0077733D">
      <w:r>
        <w:separator/>
      </w:r>
    </w:p>
  </w:footnote>
  <w:footnote w:type="continuationSeparator" w:id="0">
    <w:p w:rsidR="0077733D" w:rsidRDefault="0077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4A0"/>
    </w:tblPr>
    <w:tblGrid>
      <w:gridCol w:w="450"/>
    </w:tblGrid>
    <w:tr w:rsidR="00054C2F">
      <w:tc>
        <w:tcPr>
          <w:tcW w:w="450" w:type="dxa"/>
        </w:tcPr>
        <w:p w:rsidR="00054C2F" w:rsidRDefault="00054C2F">
          <w:pPr>
            <w:widowControl/>
            <w:jc w:val="left"/>
          </w:pPr>
        </w:p>
      </w:tc>
    </w:tr>
  </w:tbl>
  <w:p w:rsidR="00054C2F" w:rsidRDefault="00054C2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6BE3"/>
    <w:multiLevelType w:val="multilevel"/>
    <w:tmpl w:val="1FF06BE3"/>
    <w:lvl w:ilvl="0">
      <w:start w:val="1"/>
      <w:numFmt w:val="decimal"/>
      <w:lvlText w:val="%1."/>
      <w:lvlJc w:val="left"/>
      <w:pPr>
        <w:ind w:left="375" w:hanging="360"/>
      </w:pPr>
      <w:rPr>
        <w:rFonts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583915"/>
    <w:rsid w:val="00001A02"/>
    <w:rsid w:val="00002E12"/>
    <w:rsid w:val="000109BD"/>
    <w:rsid w:val="00010E42"/>
    <w:rsid w:val="00020AB5"/>
    <w:rsid w:val="0002371A"/>
    <w:rsid w:val="00025FD5"/>
    <w:rsid w:val="00026E6F"/>
    <w:rsid w:val="00030A54"/>
    <w:rsid w:val="0003607C"/>
    <w:rsid w:val="00036A3C"/>
    <w:rsid w:val="000379E1"/>
    <w:rsid w:val="00046ACA"/>
    <w:rsid w:val="00052B80"/>
    <w:rsid w:val="00054C2F"/>
    <w:rsid w:val="0006200C"/>
    <w:rsid w:val="000667D2"/>
    <w:rsid w:val="00086A3A"/>
    <w:rsid w:val="0009053A"/>
    <w:rsid w:val="000963B9"/>
    <w:rsid w:val="00097124"/>
    <w:rsid w:val="000C448C"/>
    <w:rsid w:val="000D5680"/>
    <w:rsid w:val="000F7E27"/>
    <w:rsid w:val="00106DAE"/>
    <w:rsid w:val="001105D9"/>
    <w:rsid w:val="001203AA"/>
    <w:rsid w:val="001311F1"/>
    <w:rsid w:val="001324E6"/>
    <w:rsid w:val="00137AF7"/>
    <w:rsid w:val="00137B78"/>
    <w:rsid w:val="00142A1C"/>
    <w:rsid w:val="00155EE4"/>
    <w:rsid w:val="00171B3E"/>
    <w:rsid w:val="00176BFA"/>
    <w:rsid w:val="00182076"/>
    <w:rsid w:val="001868BB"/>
    <w:rsid w:val="001921F8"/>
    <w:rsid w:val="001A081C"/>
    <w:rsid w:val="001A7790"/>
    <w:rsid w:val="001B1F56"/>
    <w:rsid w:val="001B2EF8"/>
    <w:rsid w:val="001B6965"/>
    <w:rsid w:val="001E3C87"/>
    <w:rsid w:val="001F281C"/>
    <w:rsid w:val="00201997"/>
    <w:rsid w:val="00202089"/>
    <w:rsid w:val="00203C25"/>
    <w:rsid w:val="0020732C"/>
    <w:rsid w:val="00207D80"/>
    <w:rsid w:val="002141A6"/>
    <w:rsid w:val="00215579"/>
    <w:rsid w:val="0021557E"/>
    <w:rsid w:val="00224322"/>
    <w:rsid w:val="00224364"/>
    <w:rsid w:val="00233BA1"/>
    <w:rsid w:val="0024054E"/>
    <w:rsid w:val="002409DD"/>
    <w:rsid w:val="00242156"/>
    <w:rsid w:val="002423F4"/>
    <w:rsid w:val="00250194"/>
    <w:rsid w:val="00251131"/>
    <w:rsid w:val="00253017"/>
    <w:rsid w:val="002551A5"/>
    <w:rsid w:val="00260FC2"/>
    <w:rsid w:val="002649AB"/>
    <w:rsid w:val="0026507D"/>
    <w:rsid w:val="002746D4"/>
    <w:rsid w:val="00281E61"/>
    <w:rsid w:val="0028719B"/>
    <w:rsid w:val="0029011F"/>
    <w:rsid w:val="00290A17"/>
    <w:rsid w:val="00292367"/>
    <w:rsid w:val="00293CF0"/>
    <w:rsid w:val="002A1A39"/>
    <w:rsid w:val="002B4BED"/>
    <w:rsid w:val="002B6C56"/>
    <w:rsid w:val="002B6D27"/>
    <w:rsid w:val="002D46DF"/>
    <w:rsid w:val="002E3C4B"/>
    <w:rsid w:val="002F05DA"/>
    <w:rsid w:val="002F414F"/>
    <w:rsid w:val="002F5B85"/>
    <w:rsid w:val="003075B3"/>
    <w:rsid w:val="00311701"/>
    <w:rsid w:val="00313A6C"/>
    <w:rsid w:val="00317FD5"/>
    <w:rsid w:val="003218B0"/>
    <w:rsid w:val="00326696"/>
    <w:rsid w:val="00334A01"/>
    <w:rsid w:val="003470ED"/>
    <w:rsid w:val="00374513"/>
    <w:rsid w:val="00380843"/>
    <w:rsid w:val="00385BDD"/>
    <w:rsid w:val="003907E9"/>
    <w:rsid w:val="00390F66"/>
    <w:rsid w:val="003913C8"/>
    <w:rsid w:val="003A01C0"/>
    <w:rsid w:val="003A7206"/>
    <w:rsid w:val="003B59BA"/>
    <w:rsid w:val="003C5D5E"/>
    <w:rsid w:val="003D11DA"/>
    <w:rsid w:val="003D2FCD"/>
    <w:rsid w:val="003D6E5E"/>
    <w:rsid w:val="003D7D7C"/>
    <w:rsid w:val="003E10D3"/>
    <w:rsid w:val="003F3850"/>
    <w:rsid w:val="003F481A"/>
    <w:rsid w:val="0040614F"/>
    <w:rsid w:val="00412102"/>
    <w:rsid w:val="004160A8"/>
    <w:rsid w:val="004165A4"/>
    <w:rsid w:val="00426BB2"/>
    <w:rsid w:val="00427641"/>
    <w:rsid w:val="004351B6"/>
    <w:rsid w:val="0044161A"/>
    <w:rsid w:val="00443AEC"/>
    <w:rsid w:val="004467FC"/>
    <w:rsid w:val="00455010"/>
    <w:rsid w:val="00457F6C"/>
    <w:rsid w:val="004662D0"/>
    <w:rsid w:val="00467B27"/>
    <w:rsid w:val="004767D5"/>
    <w:rsid w:val="00481126"/>
    <w:rsid w:val="00486066"/>
    <w:rsid w:val="00493E79"/>
    <w:rsid w:val="0049426B"/>
    <w:rsid w:val="00495F69"/>
    <w:rsid w:val="004A53E6"/>
    <w:rsid w:val="004A5F12"/>
    <w:rsid w:val="004B18B6"/>
    <w:rsid w:val="004B4AAF"/>
    <w:rsid w:val="004C105F"/>
    <w:rsid w:val="004C13DC"/>
    <w:rsid w:val="004C3F35"/>
    <w:rsid w:val="004C51B7"/>
    <w:rsid w:val="004C7A5E"/>
    <w:rsid w:val="004D3825"/>
    <w:rsid w:val="004E0B38"/>
    <w:rsid w:val="004E1FFF"/>
    <w:rsid w:val="004E5A3E"/>
    <w:rsid w:val="004F7312"/>
    <w:rsid w:val="00505E58"/>
    <w:rsid w:val="00512204"/>
    <w:rsid w:val="00514078"/>
    <w:rsid w:val="005172BA"/>
    <w:rsid w:val="005225CF"/>
    <w:rsid w:val="00524A86"/>
    <w:rsid w:val="0052635A"/>
    <w:rsid w:val="00530082"/>
    <w:rsid w:val="0054490D"/>
    <w:rsid w:val="00545F51"/>
    <w:rsid w:val="00551E98"/>
    <w:rsid w:val="005530C4"/>
    <w:rsid w:val="005605CE"/>
    <w:rsid w:val="005620C2"/>
    <w:rsid w:val="00576356"/>
    <w:rsid w:val="00583915"/>
    <w:rsid w:val="005924A9"/>
    <w:rsid w:val="00593CCC"/>
    <w:rsid w:val="005A05FC"/>
    <w:rsid w:val="005A5282"/>
    <w:rsid w:val="005B1246"/>
    <w:rsid w:val="005B652C"/>
    <w:rsid w:val="005C0C0C"/>
    <w:rsid w:val="005D4DB3"/>
    <w:rsid w:val="005D75A5"/>
    <w:rsid w:val="005E2858"/>
    <w:rsid w:val="005F1AC0"/>
    <w:rsid w:val="005F4E80"/>
    <w:rsid w:val="005F615E"/>
    <w:rsid w:val="0060057F"/>
    <w:rsid w:val="00602EA6"/>
    <w:rsid w:val="00605803"/>
    <w:rsid w:val="00606D49"/>
    <w:rsid w:val="006122C0"/>
    <w:rsid w:val="00614B36"/>
    <w:rsid w:val="00614B91"/>
    <w:rsid w:val="0061577D"/>
    <w:rsid w:val="00622831"/>
    <w:rsid w:val="0063614E"/>
    <w:rsid w:val="00643E17"/>
    <w:rsid w:val="0067768D"/>
    <w:rsid w:val="00677E7F"/>
    <w:rsid w:val="00682083"/>
    <w:rsid w:val="0068476F"/>
    <w:rsid w:val="006848E4"/>
    <w:rsid w:val="006964F4"/>
    <w:rsid w:val="006B1661"/>
    <w:rsid w:val="006B6102"/>
    <w:rsid w:val="006C065C"/>
    <w:rsid w:val="006C3A83"/>
    <w:rsid w:val="006E28E6"/>
    <w:rsid w:val="006E4D00"/>
    <w:rsid w:val="006E6680"/>
    <w:rsid w:val="006F50D1"/>
    <w:rsid w:val="00705048"/>
    <w:rsid w:val="0070574D"/>
    <w:rsid w:val="00711D47"/>
    <w:rsid w:val="00712BE0"/>
    <w:rsid w:val="007227C0"/>
    <w:rsid w:val="00730510"/>
    <w:rsid w:val="00731682"/>
    <w:rsid w:val="00743A82"/>
    <w:rsid w:val="00745C88"/>
    <w:rsid w:val="00745EA9"/>
    <w:rsid w:val="00747946"/>
    <w:rsid w:val="00756F21"/>
    <w:rsid w:val="00757D62"/>
    <w:rsid w:val="007710CB"/>
    <w:rsid w:val="00773F6E"/>
    <w:rsid w:val="00776FEC"/>
    <w:rsid w:val="0077733D"/>
    <w:rsid w:val="00782416"/>
    <w:rsid w:val="007A2F76"/>
    <w:rsid w:val="007A3762"/>
    <w:rsid w:val="007B15CB"/>
    <w:rsid w:val="007B4B63"/>
    <w:rsid w:val="007C37A3"/>
    <w:rsid w:val="007D2007"/>
    <w:rsid w:val="007D3CCC"/>
    <w:rsid w:val="007D6A3A"/>
    <w:rsid w:val="007F1FD5"/>
    <w:rsid w:val="007F2B58"/>
    <w:rsid w:val="007F374B"/>
    <w:rsid w:val="007F4D6D"/>
    <w:rsid w:val="0080576B"/>
    <w:rsid w:val="00807E66"/>
    <w:rsid w:val="008142A8"/>
    <w:rsid w:val="0081676B"/>
    <w:rsid w:val="00821F3E"/>
    <w:rsid w:val="0082385A"/>
    <w:rsid w:val="00832C27"/>
    <w:rsid w:val="00851DB2"/>
    <w:rsid w:val="0085363A"/>
    <w:rsid w:val="00853763"/>
    <w:rsid w:val="00857529"/>
    <w:rsid w:val="008576B4"/>
    <w:rsid w:val="00861418"/>
    <w:rsid w:val="00871FAB"/>
    <w:rsid w:val="008729D7"/>
    <w:rsid w:val="00874DB3"/>
    <w:rsid w:val="00880149"/>
    <w:rsid w:val="00882526"/>
    <w:rsid w:val="00883872"/>
    <w:rsid w:val="008A628F"/>
    <w:rsid w:val="008B29C1"/>
    <w:rsid w:val="008B62EC"/>
    <w:rsid w:val="008B7894"/>
    <w:rsid w:val="008C29E6"/>
    <w:rsid w:val="008C54B5"/>
    <w:rsid w:val="008D41A2"/>
    <w:rsid w:val="008E4442"/>
    <w:rsid w:val="008F3297"/>
    <w:rsid w:val="008F67ED"/>
    <w:rsid w:val="00905919"/>
    <w:rsid w:val="00906D5C"/>
    <w:rsid w:val="00911BD1"/>
    <w:rsid w:val="0091555E"/>
    <w:rsid w:val="00920B0A"/>
    <w:rsid w:val="009213CF"/>
    <w:rsid w:val="00921623"/>
    <w:rsid w:val="0092211A"/>
    <w:rsid w:val="00925C11"/>
    <w:rsid w:val="00932FCD"/>
    <w:rsid w:val="009400DF"/>
    <w:rsid w:val="0094173C"/>
    <w:rsid w:val="0094186A"/>
    <w:rsid w:val="00942A2E"/>
    <w:rsid w:val="00945827"/>
    <w:rsid w:val="00956743"/>
    <w:rsid w:val="00974A37"/>
    <w:rsid w:val="0097540C"/>
    <w:rsid w:val="00976D0A"/>
    <w:rsid w:val="00982E19"/>
    <w:rsid w:val="00984619"/>
    <w:rsid w:val="009861AD"/>
    <w:rsid w:val="0099085D"/>
    <w:rsid w:val="00991CE4"/>
    <w:rsid w:val="009949A0"/>
    <w:rsid w:val="009950F7"/>
    <w:rsid w:val="00996016"/>
    <w:rsid w:val="009A16B8"/>
    <w:rsid w:val="009A5D4D"/>
    <w:rsid w:val="009A6136"/>
    <w:rsid w:val="009B1AFE"/>
    <w:rsid w:val="009B375A"/>
    <w:rsid w:val="009D73D3"/>
    <w:rsid w:val="00A02C12"/>
    <w:rsid w:val="00A0311B"/>
    <w:rsid w:val="00A040A4"/>
    <w:rsid w:val="00A12910"/>
    <w:rsid w:val="00A2686E"/>
    <w:rsid w:val="00A32234"/>
    <w:rsid w:val="00A41328"/>
    <w:rsid w:val="00A46A67"/>
    <w:rsid w:val="00A50F52"/>
    <w:rsid w:val="00A606BF"/>
    <w:rsid w:val="00A644AA"/>
    <w:rsid w:val="00A64D27"/>
    <w:rsid w:val="00A70392"/>
    <w:rsid w:val="00A70C68"/>
    <w:rsid w:val="00A73BB9"/>
    <w:rsid w:val="00A77C56"/>
    <w:rsid w:val="00A827E6"/>
    <w:rsid w:val="00A830FA"/>
    <w:rsid w:val="00A83F62"/>
    <w:rsid w:val="00A8413B"/>
    <w:rsid w:val="00A94DDA"/>
    <w:rsid w:val="00A958D7"/>
    <w:rsid w:val="00AA0236"/>
    <w:rsid w:val="00AA051F"/>
    <w:rsid w:val="00AA351F"/>
    <w:rsid w:val="00AA5003"/>
    <w:rsid w:val="00AB16DF"/>
    <w:rsid w:val="00AB289B"/>
    <w:rsid w:val="00AB6253"/>
    <w:rsid w:val="00AC4C09"/>
    <w:rsid w:val="00AD6D29"/>
    <w:rsid w:val="00AE0D00"/>
    <w:rsid w:val="00AE1A3E"/>
    <w:rsid w:val="00AE6E33"/>
    <w:rsid w:val="00B016D0"/>
    <w:rsid w:val="00B15F0A"/>
    <w:rsid w:val="00B161C0"/>
    <w:rsid w:val="00B16D26"/>
    <w:rsid w:val="00B17988"/>
    <w:rsid w:val="00B17B9A"/>
    <w:rsid w:val="00B240C5"/>
    <w:rsid w:val="00B30828"/>
    <w:rsid w:val="00B32202"/>
    <w:rsid w:val="00B32B1B"/>
    <w:rsid w:val="00B36ED5"/>
    <w:rsid w:val="00B41B9C"/>
    <w:rsid w:val="00B47680"/>
    <w:rsid w:val="00B47B41"/>
    <w:rsid w:val="00B565CE"/>
    <w:rsid w:val="00B61C64"/>
    <w:rsid w:val="00B722ED"/>
    <w:rsid w:val="00B767A3"/>
    <w:rsid w:val="00B76951"/>
    <w:rsid w:val="00B813BC"/>
    <w:rsid w:val="00B8279D"/>
    <w:rsid w:val="00B915A9"/>
    <w:rsid w:val="00BA367B"/>
    <w:rsid w:val="00BC6B15"/>
    <w:rsid w:val="00BD51DE"/>
    <w:rsid w:val="00BD6C07"/>
    <w:rsid w:val="00BD6DFD"/>
    <w:rsid w:val="00BE1A70"/>
    <w:rsid w:val="00C021E3"/>
    <w:rsid w:val="00C04A14"/>
    <w:rsid w:val="00C16869"/>
    <w:rsid w:val="00C17AF9"/>
    <w:rsid w:val="00C255A9"/>
    <w:rsid w:val="00C34DB2"/>
    <w:rsid w:val="00C44AC9"/>
    <w:rsid w:val="00C44D6F"/>
    <w:rsid w:val="00C45EC2"/>
    <w:rsid w:val="00C510BB"/>
    <w:rsid w:val="00C729B3"/>
    <w:rsid w:val="00C7516B"/>
    <w:rsid w:val="00C825F3"/>
    <w:rsid w:val="00C84250"/>
    <w:rsid w:val="00C87064"/>
    <w:rsid w:val="00C94EA3"/>
    <w:rsid w:val="00C9696C"/>
    <w:rsid w:val="00CB3763"/>
    <w:rsid w:val="00CB41F7"/>
    <w:rsid w:val="00CB6EB5"/>
    <w:rsid w:val="00CC1EBC"/>
    <w:rsid w:val="00CC7A79"/>
    <w:rsid w:val="00CD0D7D"/>
    <w:rsid w:val="00CD1040"/>
    <w:rsid w:val="00CE195F"/>
    <w:rsid w:val="00CE64C2"/>
    <w:rsid w:val="00D03E82"/>
    <w:rsid w:val="00D13F06"/>
    <w:rsid w:val="00D145F6"/>
    <w:rsid w:val="00D4112C"/>
    <w:rsid w:val="00D54AB6"/>
    <w:rsid w:val="00D60E0E"/>
    <w:rsid w:val="00D621AD"/>
    <w:rsid w:val="00D77BBC"/>
    <w:rsid w:val="00D844F9"/>
    <w:rsid w:val="00D84DEC"/>
    <w:rsid w:val="00D84F70"/>
    <w:rsid w:val="00D85BA5"/>
    <w:rsid w:val="00D9244F"/>
    <w:rsid w:val="00D927D1"/>
    <w:rsid w:val="00DA2C8F"/>
    <w:rsid w:val="00DA5E4E"/>
    <w:rsid w:val="00DB2962"/>
    <w:rsid w:val="00DB4411"/>
    <w:rsid w:val="00DB5DEB"/>
    <w:rsid w:val="00DD204B"/>
    <w:rsid w:val="00DD3E9A"/>
    <w:rsid w:val="00DD571E"/>
    <w:rsid w:val="00DE725B"/>
    <w:rsid w:val="00DF0191"/>
    <w:rsid w:val="00DF5254"/>
    <w:rsid w:val="00DF6AC9"/>
    <w:rsid w:val="00DF7A22"/>
    <w:rsid w:val="00E02FFC"/>
    <w:rsid w:val="00E0408E"/>
    <w:rsid w:val="00E04575"/>
    <w:rsid w:val="00E07EFF"/>
    <w:rsid w:val="00E11089"/>
    <w:rsid w:val="00E13515"/>
    <w:rsid w:val="00E141B9"/>
    <w:rsid w:val="00E17C15"/>
    <w:rsid w:val="00E27815"/>
    <w:rsid w:val="00E30859"/>
    <w:rsid w:val="00E321A6"/>
    <w:rsid w:val="00E32BB1"/>
    <w:rsid w:val="00E342F0"/>
    <w:rsid w:val="00E462D0"/>
    <w:rsid w:val="00E46634"/>
    <w:rsid w:val="00E469BD"/>
    <w:rsid w:val="00E52102"/>
    <w:rsid w:val="00E57F4E"/>
    <w:rsid w:val="00E66685"/>
    <w:rsid w:val="00E7183B"/>
    <w:rsid w:val="00E758A5"/>
    <w:rsid w:val="00E77234"/>
    <w:rsid w:val="00E8591A"/>
    <w:rsid w:val="00E87256"/>
    <w:rsid w:val="00E94B3E"/>
    <w:rsid w:val="00E976D9"/>
    <w:rsid w:val="00EA23A8"/>
    <w:rsid w:val="00EA49FB"/>
    <w:rsid w:val="00EA5318"/>
    <w:rsid w:val="00EB187A"/>
    <w:rsid w:val="00EB6162"/>
    <w:rsid w:val="00EB7481"/>
    <w:rsid w:val="00EC19A1"/>
    <w:rsid w:val="00ED6999"/>
    <w:rsid w:val="00EE4723"/>
    <w:rsid w:val="00EF1B11"/>
    <w:rsid w:val="00F004EC"/>
    <w:rsid w:val="00F12246"/>
    <w:rsid w:val="00F14766"/>
    <w:rsid w:val="00F1577F"/>
    <w:rsid w:val="00F22CF5"/>
    <w:rsid w:val="00F25785"/>
    <w:rsid w:val="00F26057"/>
    <w:rsid w:val="00F351EA"/>
    <w:rsid w:val="00F41FFA"/>
    <w:rsid w:val="00F51681"/>
    <w:rsid w:val="00F54D27"/>
    <w:rsid w:val="00F5549E"/>
    <w:rsid w:val="00F57DCE"/>
    <w:rsid w:val="00F7093A"/>
    <w:rsid w:val="00F77270"/>
    <w:rsid w:val="00F909B7"/>
    <w:rsid w:val="00F924C5"/>
    <w:rsid w:val="00F97186"/>
    <w:rsid w:val="00FA7115"/>
    <w:rsid w:val="00FA7522"/>
    <w:rsid w:val="00FB2A64"/>
    <w:rsid w:val="00FC22BC"/>
    <w:rsid w:val="00FC461B"/>
    <w:rsid w:val="00FE1F65"/>
    <w:rsid w:val="00FE2C96"/>
    <w:rsid w:val="00FE336C"/>
    <w:rsid w:val="00FE392A"/>
    <w:rsid w:val="00FE61FE"/>
    <w:rsid w:val="00FE6BC5"/>
    <w:rsid w:val="00FF04E5"/>
    <w:rsid w:val="00FF3934"/>
    <w:rsid w:val="026973D8"/>
    <w:rsid w:val="087053F2"/>
    <w:rsid w:val="10371326"/>
    <w:rsid w:val="24B10DF3"/>
    <w:rsid w:val="285703AD"/>
    <w:rsid w:val="2F883A96"/>
    <w:rsid w:val="388850F5"/>
    <w:rsid w:val="4F621D8C"/>
    <w:rsid w:val="5220623A"/>
    <w:rsid w:val="56BB0981"/>
    <w:rsid w:val="5E2C0BFA"/>
    <w:rsid w:val="5ECF5E4D"/>
    <w:rsid w:val="65E00D93"/>
    <w:rsid w:val="6EBC600E"/>
    <w:rsid w:val="75C967B4"/>
    <w:rsid w:val="764D4064"/>
    <w:rsid w:val="7C9F5A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F25785"/>
    <w:rPr>
      <w:rFonts w:ascii="宋体"/>
      <w:sz w:val="18"/>
      <w:szCs w:val="18"/>
    </w:rPr>
  </w:style>
  <w:style w:type="paragraph" w:styleId="a4">
    <w:name w:val="annotation text"/>
    <w:basedOn w:val="a"/>
    <w:link w:val="Char0"/>
    <w:uiPriority w:val="99"/>
    <w:unhideWhenUsed/>
    <w:rsid w:val="00F25785"/>
    <w:pPr>
      <w:jc w:val="left"/>
    </w:pPr>
  </w:style>
  <w:style w:type="paragraph" w:styleId="a5">
    <w:name w:val="Balloon Text"/>
    <w:basedOn w:val="a"/>
    <w:link w:val="Char1"/>
    <w:uiPriority w:val="99"/>
    <w:unhideWhenUsed/>
    <w:qFormat/>
    <w:rsid w:val="00F25785"/>
    <w:rPr>
      <w:sz w:val="18"/>
      <w:szCs w:val="18"/>
    </w:rPr>
  </w:style>
  <w:style w:type="paragraph" w:styleId="a6">
    <w:name w:val="footer"/>
    <w:basedOn w:val="a"/>
    <w:link w:val="Char2"/>
    <w:uiPriority w:val="99"/>
    <w:unhideWhenUsed/>
    <w:qFormat/>
    <w:rsid w:val="00F2578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25785"/>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F25785"/>
    <w:pPr>
      <w:spacing w:line="400" w:lineRule="atLeast"/>
      <w:ind w:firstLine="600"/>
    </w:pPr>
    <w:rPr>
      <w:rFonts w:ascii="宋体"/>
      <w:kern w:val="0"/>
      <w:sz w:val="28"/>
      <w:szCs w:val="20"/>
    </w:rPr>
  </w:style>
  <w:style w:type="paragraph" w:styleId="2">
    <w:name w:val="Body Text 2"/>
    <w:basedOn w:val="a"/>
    <w:link w:val="2Char"/>
    <w:unhideWhenUsed/>
    <w:qFormat/>
    <w:rsid w:val="00F25785"/>
    <w:pPr>
      <w:spacing w:after="120" w:line="480" w:lineRule="auto"/>
    </w:pPr>
  </w:style>
  <w:style w:type="paragraph" w:styleId="a8">
    <w:name w:val="Normal (Web)"/>
    <w:basedOn w:val="a"/>
    <w:uiPriority w:val="99"/>
    <w:unhideWhenUsed/>
    <w:qFormat/>
    <w:rsid w:val="00F25785"/>
    <w:rPr>
      <w:sz w:val="24"/>
      <w:szCs w:val="24"/>
    </w:rPr>
  </w:style>
  <w:style w:type="paragraph" w:styleId="a9">
    <w:name w:val="annotation subject"/>
    <w:basedOn w:val="a4"/>
    <w:next w:val="a4"/>
    <w:link w:val="Char4"/>
    <w:uiPriority w:val="99"/>
    <w:unhideWhenUsed/>
    <w:qFormat/>
    <w:rsid w:val="00F25785"/>
    <w:rPr>
      <w:b/>
      <w:bCs/>
    </w:rPr>
  </w:style>
  <w:style w:type="character" w:styleId="aa">
    <w:name w:val="Hyperlink"/>
    <w:uiPriority w:val="99"/>
    <w:unhideWhenUsed/>
    <w:qFormat/>
    <w:rsid w:val="00F25785"/>
    <w:rPr>
      <w:color w:val="0563C1"/>
      <w:u w:val="single"/>
    </w:rPr>
  </w:style>
  <w:style w:type="character" w:styleId="ab">
    <w:name w:val="annotation reference"/>
    <w:uiPriority w:val="99"/>
    <w:unhideWhenUsed/>
    <w:qFormat/>
    <w:rsid w:val="00F25785"/>
    <w:rPr>
      <w:rFonts w:cs="Times New Roman"/>
      <w:sz w:val="21"/>
      <w:szCs w:val="21"/>
    </w:rPr>
  </w:style>
  <w:style w:type="character" w:customStyle="1" w:styleId="Char">
    <w:name w:val="文档结构图 Char"/>
    <w:link w:val="a3"/>
    <w:uiPriority w:val="99"/>
    <w:qFormat/>
    <w:locked/>
    <w:rsid w:val="00F25785"/>
    <w:rPr>
      <w:rFonts w:ascii="宋体"/>
      <w:kern w:val="2"/>
      <w:sz w:val="18"/>
      <w:szCs w:val="18"/>
    </w:rPr>
  </w:style>
  <w:style w:type="character" w:customStyle="1" w:styleId="Char4">
    <w:name w:val="批注主题 Char"/>
    <w:link w:val="a9"/>
    <w:uiPriority w:val="99"/>
    <w:qFormat/>
    <w:locked/>
    <w:rsid w:val="00F25785"/>
    <w:rPr>
      <w:b/>
      <w:bCs/>
      <w:kern w:val="2"/>
      <w:sz w:val="21"/>
      <w:szCs w:val="22"/>
    </w:rPr>
  </w:style>
  <w:style w:type="character" w:customStyle="1" w:styleId="2Char">
    <w:name w:val="正文文本 2 Char"/>
    <w:link w:val="2"/>
    <w:qFormat/>
    <w:rsid w:val="00F25785"/>
    <w:rPr>
      <w:kern w:val="2"/>
      <w:sz w:val="21"/>
      <w:szCs w:val="22"/>
    </w:rPr>
  </w:style>
  <w:style w:type="character" w:customStyle="1" w:styleId="30">
    <w:name w:val="正文文本缩进 3 字符"/>
    <w:qFormat/>
    <w:rsid w:val="00F25785"/>
    <w:rPr>
      <w:rFonts w:ascii="宋体" w:eastAsia="宋体" w:hAnsi="Times New Roman" w:cs="Times New Roman"/>
      <w:sz w:val="28"/>
      <w:szCs w:val="20"/>
    </w:rPr>
  </w:style>
  <w:style w:type="character" w:customStyle="1" w:styleId="Char1">
    <w:name w:val="批注框文本 Char"/>
    <w:link w:val="a5"/>
    <w:uiPriority w:val="99"/>
    <w:qFormat/>
    <w:locked/>
    <w:rsid w:val="00F25785"/>
    <w:rPr>
      <w:kern w:val="2"/>
      <w:sz w:val="18"/>
      <w:szCs w:val="18"/>
    </w:rPr>
  </w:style>
  <w:style w:type="character" w:customStyle="1" w:styleId="ac">
    <w:name w:val="未处理的提及"/>
    <w:uiPriority w:val="99"/>
    <w:unhideWhenUsed/>
    <w:qFormat/>
    <w:rsid w:val="00F25785"/>
    <w:rPr>
      <w:color w:val="605E5C"/>
      <w:shd w:val="clear" w:color="auto" w:fill="E1DFDD"/>
    </w:rPr>
  </w:style>
  <w:style w:type="character" w:customStyle="1" w:styleId="Char3">
    <w:name w:val="页眉 Char"/>
    <w:link w:val="a7"/>
    <w:uiPriority w:val="99"/>
    <w:qFormat/>
    <w:locked/>
    <w:rsid w:val="00F25785"/>
    <w:rPr>
      <w:rFonts w:cs="Times New Roman"/>
      <w:sz w:val="18"/>
      <w:szCs w:val="18"/>
    </w:rPr>
  </w:style>
  <w:style w:type="character" w:customStyle="1" w:styleId="-Char">
    <w:name w:val="模板-正文 Char"/>
    <w:link w:val="-"/>
    <w:qFormat/>
    <w:rsid w:val="00F25785"/>
    <w:rPr>
      <w:rFonts w:ascii="宋体" w:hAnsi="宋体"/>
      <w:color w:val="222222"/>
      <w:sz w:val="24"/>
      <w:szCs w:val="21"/>
      <w:shd w:val="clear" w:color="auto" w:fill="FFFFFF"/>
    </w:rPr>
  </w:style>
  <w:style w:type="paragraph" w:customStyle="1" w:styleId="-">
    <w:name w:val="模板-正文"/>
    <w:basedOn w:val="a8"/>
    <w:link w:val="-Char"/>
    <w:qFormat/>
    <w:rsid w:val="00F25785"/>
    <w:pPr>
      <w:shd w:val="clear" w:color="auto" w:fill="FFFFFF"/>
      <w:adjustRightInd w:val="0"/>
      <w:snapToGrid w:val="0"/>
      <w:spacing w:line="360" w:lineRule="auto"/>
      <w:ind w:firstLineChars="200" w:firstLine="200"/>
    </w:pPr>
    <w:rPr>
      <w:rFonts w:ascii="宋体" w:hAnsi="宋体"/>
      <w:color w:val="222222"/>
      <w:kern w:val="0"/>
      <w:szCs w:val="21"/>
    </w:rPr>
  </w:style>
  <w:style w:type="character" w:customStyle="1" w:styleId="3Char">
    <w:name w:val="正文文本缩进 3 Char"/>
    <w:link w:val="3"/>
    <w:uiPriority w:val="99"/>
    <w:qFormat/>
    <w:locked/>
    <w:rsid w:val="00F25785"/>
    <w:rPr>
      <w:rFonts w:ascii="宋体" w:eastAsia="宋体" w:hAnsi="Times New Roman" w:cs="Times New Roman"/>
      <w:kern w:val="0"/>
      <w:sz w:val="20"/>
      <w:szCs w:val="20"/>
    </w:rPr>
  </w:style>
  <w:style w:type="character" w:customStyle="1" w:styleId="Char0">
    <w:name w:val="批注文字 Char"/>
    <w:link w:val="a4"/>
    <w:uiPriority w:val="99"/>
    <w:qFormat/>
    <w:locked/>
    <w:rsid w:val="00F25785"/>
    <w:rPr>
      <w:kern w:val="2"/>
      <w:sz w:val="21"/>
      <w:szCs w:val="22"/>
    </w:rPr>
  </w:style>
  <w:style w:type="character" w:customStyle="1" w:styleId="Char2">
    <w:name w:val="页脚 Char"/>
    <w:link w:val="a6"/>
    <w:uiPriority w:val="99"/>
    <w:qFormat/>
    <w:locked/>
    <w:rsid w:val="00F25785"/>
    <w:rPr>
      <w:rFonts w:cs="Times New Roman"/>
      <w:sz w:val="18"/>
      <w:szCs w:val="18"/>
    </w:rPr>
  </w:style>
  <w:style w:type="paragraph" w:customStyle="1" w:styleId="1">
    <w:name w:val="修订1"/>
    <w:uiPriority w:val="99"/>
    <w:semiHidden/>
    <w:qFormat/>
    <w:rsid w:val="00F25785"/>
    <w:rPr>
      <w:kern w:val="2"/>
      <w:sz w:val="21"/>
      <w:szCs w:val="22"/>
    </w:rPr>
  </w:style>
  <w:style w:type="paragraph" w:customStyle="1" w:styleId="biaogeleft">
    <w:name w:val="biaoge_left"/>
    <w:basedOn w:val="a"/>
    <w:qFormat/>
    <w:rsid w:val="00F25785"/>
    <w:pPr>
      <w:widowControl/>
      <w:autoSpaceDE w:val="0"/>
      <w:autoSpaceDN w:val="0"/>
      <w:adjustRightInd w:val="0"/>
      <w:spacing w:before="29" w:line="288" w:lineRule="auto"/>
      <w:ind w:left="15"/>
      <w:jc w:val="left"/>
    </w:pPr>
    <w:rPr>
      <w:rFonts w:ascii="宋体" w:hAnsi="宋体" w:cs="宋体"/>
      <w:kern w:val="0"/>
      <w:sz w:val="24"/>
      <w:szCs w:val="24"/>
    </w:rPr>
  </w:style>
  <w:style w:type="character" w:customStyle="1" w:styleId="20">
    <w:name w:val="正文文本 2 字符"/>
    <w:qFormat/>
    <w:rsid w:val="00F25785"/>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nghuafund.com" TargetMode="External"/><Relationship Id="rId18" Type="http://schemas.openxmlformats.org/officeDocument/2006/relationships/hyperlink" Target="http://www.cjhxfund.com/main/product/fund/www.fundhaiyin.com/" TargetMode="External"/><Relationship Id="rId3" Type="http://schemas.openxmlformats.org/officeDocument/2006/relationships/numbering" Target="numbering.xml"/><Relationship Id="rId21" Type="http://schemas.openxmlformats.org/officeDocument/2006/relationships/hyperlink" Target="https://www.taixincf.com/" TargetMode="External"/><Relationship Id="rId7" Type="http://schemas.openxmlformats.org/officeDocument/2006/relationships/footnotes" Target="footnotes.xml"/><Relationship Id="rId12" Type="http://schemas.openxmlformats.org/officeDocument/2006/relationships/hyperlink" Target="http://www.simuwang.com" TargetMode="External"/><Relationship Id="rId17" Type="http://schemas.openxmlformats.org/officeDocument/2006/relationships/hyperlink" Target="http://www.cjhxfund.com/main/product/fund/www.gszq.com" TargetMode="External"/><Relationship Id="rId2" Type="http://schemas.openxmlformats.org/officeDocument/2006/relationships/customXml" Target="../customXml/item2.xml"/><Relationship Id="rId16" Type="http://schemas.openxmlformats.org/officeDocument/2006/relationships/hyperlink" Target="http://www.cjhxfund.com/main/product/fund/www.hongtaiwealth.com" TargetMode="External"/><Relationship Id="rId20" Type="http://schemas.openxmlformats.org/officeDocument/2006/relationships/hyperlink" Target="https://www.buyforyou.com.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dfund.com.c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nhbstock.com" TargetMode="External"/><Relationship Id="rId23" Type="http://schemas.openxmlformats.org/officeDocument/2006/relationships/fontTable" Target="fontTable.xml"/><Relationship Id="rId10" Type="http://schemas.openxmlformats.org/officeDocument/2006/relationships/hyperlink" Target="http://www.ajwm.com.cn" TargetMode="External"/><Relationship Id="rId19" Type="http://schemas.openxmlformats.org/officeDocument/2006/relationships/hyperlink" Target="https://www.prolinkwm.com/job.aspx?cid=23" TargetMode="External"/><Relationship Id="rId4" Type="http://schemas.openxmlformats.org/officeDocument/2006/relationships/styles" Target="styles.xml"/><Relationship Id="rId9" Type="http://schemas.openxmlformats.org/officeDocument/2006/relationships/hyperlink" Target="http://www.zszq.com" TargetMode="External"/><Relationship Id="rId14" Type="http://schemas.openxmlformats.org/officeDocument/2006/relationships/hyperlink" Target="http://www.pytz.cn/"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74E09-BFA8-4880-A1FE-15E1BCEC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8311</Characters>
  <Application>Microsoft Office Word</Application>
  <DocSecurity>4</DocSecurity>
  <Lines>69</Lines>
  <Paragraphs>19</Paragraphs>
  <ScaleCrop>false</ScaleCrop>
  <Company>Organization</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FastReport</dc:creator>
  <cp:lastModifiedBy>ZHONGM</cp:lastModifiedBy>
  <cp:revision>2</cp:revision>
  <cp:lastPrinted>2021-12-03T02:07:00Z</cp:lastPrinted>
  <dcterms:created xsi:type="dcterms:W3CDTF">2022-12-22T16:01:00Z</dcterms:created>
  <dcterms:modified xsi:type="dcterms:W3CDTF">2022-12-22T16:01:00Z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