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7D65">
      <w:pPr>
        <w:pStyle w:val="p1124"/>
        <w:widowControl/>
        <w:spacing w:line="240" w:lineRule="atLeast"/>
        <w:jc w:val="center"/>
        <w:rPr>
          <w:rStyle w:val="fontstyle01"/>
          <w:rFonts w:hint="default"/>
        </w:rPr>
      </w:pPr>
      <w:r>
        <w:rPr>
          <w:rStyle w:val="fontstyle01"/>
          <w:rFonts w:ascii="华文中宋" w:eastAsia="华文中宋" w:hAnsi="华文中宋" w:cs="华文中宋"/>
          <w:sz w:val="36"/>
          <w:szCs w:val="36"/>
        </w:rPr>
        <w:t>浙江浙商证券资产管理有限公司</w:t>
      </w:r>
      <w:r>
        <w:rPr>
          <w:rStyle w:val="fontstyle01"/>
          <w:rFonts w:ascii="华文中宋" w:eastAsia="华文中宋" w:hAnsi="华文中宋" w:cs="华文中宋"/>
          <w:sz w:val="36"/>
          <w:szCs w:val="36"/>
        </w:rPr>
        <w:t>关于调整旗下部分基金</w:t>
      </w:r>
      <w:r>
        <w:rPr>
          <w:rStyle w:val="fontstyle01"/>
          <w:rFonts w:ascii="华文中宋" w:eastAsia="华文中宋" w:hAnsi="华文中宋" w:cs="华文中宋"/>
          <w:sz w:val="36"/>
          <w:szCs w:val="36"/>
        </w:rPr>
        <w:t>在北京肯特瑞基金销售有限公司申购起点金额的公告</w:t>
      </w:r>
    </w:p>
    <w:p w:rsidR="00000000" w:rsidRDefault="00267D65">
      <w:pPr>
        <w:pStyle w:val="a3"/>
        <w:widowControl/>
        <w:ind w:firstLineChars="200" w:firstLine="640"/>
        <w:rPr>
          <w:rFonts w:ascii="仿宋_GB2312" w:eastAsia="仿宋_GB2312" w:cs="宋体" w:hint="eastAsia"/>
          <w:sz w:val="32"/>
          <w:szCs w:val="32"/>
        </w:rPr>
      </w:pPr>
    </w:p>
    <w:p w:rsidR="00000000" w:rsidRDefault="00267D65">
      <w:pPr>
        <w:pStyle w:val="a3"/>
        <w:widowControl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为更好地满足投资者的理财需求，浙江浙商证券资产管理有限公司（以下简称“本公司”）经与</w:t>
      </w:r>
      <w:r>
        <w:rPr>
          <w:rFonts w:ascii="仿宋_GB2312" w:eastAsia="仿宋_GB2312" w:cs="宋体" w:hint="eastAsia"/>
          <w:sz w:val="32"/>
          <w:szCs w:val="32"/>
        </w:rPr>
        <w:t>北京肯特瑞基金销售有限公司</w:t>
      </w:r>
      <w:r>
        <w:rPr>
          <w:rFonts w:ascii="仿宋_GB2312" w:eastAsia="仿宋_GB2312" w:cs="宋体" w:hint="eastAsia"/>
          <w:sz w:val="32"/>
          <w:szCs w:val="32"/>
        </w:rPr>
        <w:t>（以下简称“</w:t>
      </w:r>
      <w:r>
        <w:rPr>
          <w:rFonts w:ascii="仿宋_GB2312" w:eastAsia="仿宋_GB2312" w:cs="宋体" w:hint="eastAsia"/>
          <w:sz w:val="32"/>
          <w:szCs w:val="32"/>
        </w:rPr>
        <w:t>肯特瑞基金</w:t>
      </w:r>
      <w:r>
        <w:rPr>
          <w:rFonts w:ascii="仿宋_GB2312" w:eastAsia="仿宋_GB2312" w:cs="宋体" w:hint="eastAsia"/>
          <w:sz w:val="32"/>
          <w:szCs w:val="32"/>
        </w:rPr>
        <w:t>”）协商一致，决定自</w:t>
      </w:r>
      <w:r>
        <w:rPr>
          <w:rFonts w:ascii="仿宋_GB2312" w:eastAsia="仿宋_GB2312" w:cs="宋体" w:hint="eastAsia"/>
          <w:sz w:val="32"/>
          <w:szCs w:val="32"/>
        </w:rPr>
        <w:t>2022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</w:rPr>
        <w:t>12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</w:rPr>
        <w:t>19</w:t>
      </w:r>
      <w:r>
        <w:rPr>
          <w:rFonts w:ascii="仿宋_GB2312" w:eastAsia="仿宋_GB2312" w:cs="宋体" w:hint="eastAsia"/>
          <w:sz w:val="32"/>
          <w:szCs w:val="32"/>
        </w:rPr>
        <w:t>日</w:t>
      </w:r>
      <w:r>
        <w:rPr>
          <w:rFonts w:ascii="仿宋_GB2312" w:eastAsia="仿宋_GB2312" w:cs="宋体" w:hint="eastAsia"/>
          <w:sz w:val="32"/>
          <w:szCs w:val="32"/>
        </w:rPr>
        <w:t>起调整旗下部分基金在</w:t>
      </w:r>
      <w:r>
        <w:rPr>
          <w:rFonts w:ascii="仿宋_GB2312" w:eastAsia="仿宋_GB2312" w:cs="宋体" w:hint="eastAsia"/>
          <w:sz w:val="32"/>
          <w:szCs w:val="32"/>
        </w:rPr>
        <w:t>肯特瑞基金</w:t>
      </w:r>
      <w:r>
        <w:rPr>
          <w:rFonts w:ascii="仿宋_GB2312" w:eastAsia="仿宋_GB2312" w:cs="宋体" w:hint="eastAsia"/>
          <w:sz w:val="32"/>
          <w:szCs w:val="32"/>
        </w:rPr>
        <w:t>申购起点金额及最低持有数量限制。现将有关事项说明如下：</w:t>
      </w:r>
    </w:p>
    <w:p w:rsidR="00000000" w:rsidRDefault="00267D65">
      <w:pPr>
        <w:pStyle w:val="a3"/>
        <w:widowControl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br/>
      </w:r>
      <w:r>
        <w:rPr>
          <w:rFonts w:ascii="仿宋_GB2312" w:eastAsia="仿宋_GB2312" w:cs="宋体" w:hint="eastAsia"/>
          <w:sz w:val="32"/>
          <w:szCs w:val="32"/>
        </w:rPr>
        <w:t>一、适用基金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83"/>
        <w:gridCol w:w="6064"/>
      </w:tblGrid>
      <w:tr w:rsidR="00000000">
        <w:tc>
          <w:tcPr>
            <w:tcW w:w="2583" w:type="dxa"/>
          </w:tcPr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基金代码</w:t>
            </w:r>
          </w:p>
        </w:tc>
        <w:tc>
          <w:tcPr>
            <w:tcW w:w="6064" w:type="dxa"/>
          </w:tcPr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基金名称</w:t>
            </w:r>
          </w:p>
        </w:tc>
      </w:tr>
      <w:tr w:rsidR="00000000">
        <w:tc>
          <w:tcPr>
            <w:tcW w:w="2583" w:type="dxa"/>
            <w:vAlign w:val="bottom"/>
          </w:tcPr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A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类基金代码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:006516  E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类基金代码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:006515</w:t>
            </w:r>
          </w:p>
        </w:tc>
        <w:tc>
          <w:tcPr>
            <w:tcW w:w="6064" w:type="dxa"/>
            <w:vAlign w:val="bottom"/>
          </w:tcPr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浙商汇金短债债券型证券投资基金</w:t>
            </w:r>
          </w:p>
        </w:tc>
      </w:tr>
      <w:tr w:rsidR="00000000">
        <w:tc>
          <w:tcPr>
            <w:tcW w:w="2583" w:type="dxa"/>
            <w:vAlign w:val="bottom"/>
          </w:tcPr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A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类基金代码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:01408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3   C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类基金代码</w:t>
            </w:r>
            <w:r>
              <w:rPr>
                <w:rFonts w:ascii="仿宋_GB2312" w:eastAsia="仿宋_GB2312" w:hAnsi="仿宋" w:hint="eastAsia"/>
                <w:sz w:val="24"/>
                <w:szCs w:val="32"/>
              </w:rPr>
              <w:t>:014084</w:t>
            </w:r>
          </w:p>
        </w:tc>
        <w:tc>
          <w:tcPr>
            <w:tcW w:w="6064" w:type="dxa"/>
            <w:vAlign w:val="bottom"/>
          </w:tcPr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32"/>
              </w:rPr>
            </w:pPr>
          </w:p>
          <w:tbl>
            <w:tblPr>
              <w:tblW w:w="5000" w:type="pct"/>
              <w:tblCellSpacing w:w="0" w:type="dxa"/>
              <w:tblInd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842"/>
              <w:gridCol w:w="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267D65">
                  <w:pPr>
                    <w:spacing w:line="360" w:lineRule="auto"/>
                    <w:jc w:val="left"/>
                    <w:rPr>
                      <w:rFonts w:ascii="仿宋_GB2312" w:eastAsia="仿宋_GB2312" w:hAnsi="仿宋" w:hint="eastAsia"/>
                      <w:sz w:val="24"/>
                      <w:szCs w:val="32"/>
                    </w:rPr>
                  </w:pPr>
                  <w:r>
                    <w:rPr>
                      <w:rFonts w:ascii="仿宋_GB2312" w:eastAsia="仿宋_GB2312" w:hAnsi="仿宋"/>
                      <w:sz w:val="24"/>
                      <w:szCs w:val="32"/>
                    </w:rPr>
                    <w:t>浙商汇金月享</w:t>
                  </w:r>
                  <w:r>
                    <w:rPr>
                      <w:rFonts w:ascii="仿宋_GB2312" w:eastAsia="仿宋_GB2312" w:hAnsi="仿宋"/>
                      <w:sz w:val="24"/>
                      <w:szCs w:val="32"/>
                    </w:rPr>
                    <w:t>30</w:t>
                  </w:r>
                  <w:r>
                    <w:rPr>
                      <w:rFonts w:ascii="仿宋_GB2312" w:eastAsia="仿宋_GB2312" w:hAnsi="仿宋"/>
                      <w:sz w:val="24"/>
                      <w:szCs w:val="32"/>
                    </w:rPr>
                    <w:t>天滚动持有中短债债券型证券投资基金</w:t>
                  </w:r>
                </w:p>
              </w:tc>
              <w:tc>
                <w:tcPr>
                  <w:tcW w:w="0" w:type="auto"/>
                  <w:vAlign w:val="center"/>
                </w:tcPr>
                <w:p w:rsidR="00000000" w:rsidRDefault="00267D65">
                  <w:pPr>
                    <w:spacing w:line="360" w:lineRule="auto"/>
                    <w:jc w:val="left"/>
                    <w:rPr>
                      <w:rFonts w:ascii="仿宋_GB2312" w:eastAsia="仿宋_GB2312" w:hAnsi="仿宋"/>
                      <w:sz w:val="24"/>
                      <w:szCs w:val="32"/>
                    </w:rPr>
                  </w:pPr>
                </w:p>
              </w:tc>
            </w:tr>
          </w:tbl>
          <w:p w:rsidR="00000000" w:rsidRDefault="00267D65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4"/>
                <w:szCs w:val="32"/>
              </w:rPr>
            </w:pPr>
          </w:p>
        </w:tc>
      </w:tr>
    </w:tbl>
    <w:p w:rsidR="00000000" w:rsidRDefault="00267D65">
      <w:pPr>
        <w:widowControl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000000" w:rsidRDefault="00267D65">
      <w:pPr>
        <w:spacing w:line="360" w:lineRule="auto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cs="宋体" w:hint="eastAsia"/>
          <w:kern w:val="0"/>
          <w:sz w:val="32"/>
          <w:szCs w:val="32"/>
        </w:rPr>
        <w:t>、调整方案</w:t>
      </w:r>
      <w:r>
        <w:rPr>
          <w:rFonts w:ascii="仿宋_GB2312" w:eastAsia="仿宋_GB2312" w:cs="宋体" w:hint="eastAsia"/>
          <w:kern w:val="0"/>
          <w:sz w:val="32"/>
          <w:szCs w:val="32"/>
        </w:rPr>
        <w:br/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cs="宋体" w:hint="eastAsia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kern w:val="0"/>
          <w:sz w:val="32"/>
          <w:szCs w:val="32"/>
        </w:rPr>
        <w:t>、自</w:t>
      </w:r>
      <w:r>
        <w:rPr>
          <w:rFonts w:ascii="仿宋_GB2312" w:eastAsia="仿宋_GB2312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kern w:val="0"/>
          <w:sz w:val="32"/>
          <w:szCs w:val="32"/>
        </w:rPr>
        <w:t>12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kern w:val="0"/>
          <w:sz w:val="32"/>
          <w:szCs w:val="32"/>
        </w:rPr>
        <w:t>19</w:t>
      </w:r>
      <w:r>
        <w:rPr>
          <w:rFonts w:ascii="仿宋_GB2312" w:eastAsia="仿宋_GB2312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cs="宋体" w:hint="eastAsia"/>
          <w:kern w:val="0"/>
          <w:sz w:val="32"/>
          <w:szCs w:val="32"/>
        </w:rPr>
        <w:t>起</w:t>
      </w:r>
      <w:r>
        <w:rPr>
          <w:rFonts w:ascii="仿宋_GB2312" w:eastAsia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cs="宋体" w:hint="eastAsia"/>
          <w:kern w:val="0"/>
          <w:sz w:val="32"/>
          <w:szCs w:val="32"/>
        </w:rPr>
        <w:t>投资人通过</w:t>
      </w:r>
      <w:r>
        <w:rPr>
          <w:rFonts w:ascii="仿宋_GB2312" w:eastAsia="仿宋_GB2312" w:cs="宋体" w:hint="eastAsia"/>
          <w:kern w:val="0"/>
          <w:sz w:val="32"/>
          <w:szCs w:val="32"/>
        </w:rPr>
        <w:t>肯特瑞基金</w:t>
      </w:r>
      <w:r>
        <w:rPr>
          <w:rFonts w:ascii="仿宋_GB2312" w:eastAsia="仿宋_GB2312" w:cs="宋体" w:hint="eastAsia"/>
          <w:kern w:val="0"/>
          <w:sz w:val="32"/>
          <w:szCs w:val="32"/>
        </w:rPr>
        <w:t>申购上述基金份额，每个基金账户首次申购的单笔最低申购金额调整为人民币</w:t>
      </w:r>
      <w:r>
        <w:rPr>
          <w:rFonts w:ascii="仿宋_GB2312" w:eastAsia="仿宋_GB2312" w:cs="宋体" w:hint="eastAsia"/>
          <w:kern w:val="0"/>
          <w:sz w:val="32"/>
          <w:szCs w:val="32"/>
        </w:rPr>
        <w:t>0.1</w:t>
      </w:r>
      <w:r>
        <w:rPr>
          <w:rFonts w:ascii="仿宋_GB2312" w:eastAsia="仿宋_GB2312" w:cs="宋体" w:hint="eastAsia"/>
          <w:kern w:val="0"/>
          <w:sz w:val="32"/>
          <w:szCs w:val="32"/>
        </w:rPr>
        <w:t>元（含申购费），追加申购不设单笔最低限额。投资人在销售机构办理相关业务时，需遵循销售机构的相关约定。</w:t>
      </w:r>
      <w:r>
        <w:rPr>
          <w:rFonts w:ascii="仿宋_GB2312" w:eastAsia="仿宋_GB2312" w:cs="宋体" w:hint="eastAsia"/>
          <w:kern w:val="0"/>
          <w:sz w:val="32"/>
          <w:szCs w:val="32"/>
        </w:rPr>
        <w:br/>
      </w:r>
      <w:r>
        <w:rPr>
          <w:rFonts w:ascii="仿宋_GB2312" w:eastAsia="仿宋_GB2312" w:cs="宋体" w:hint="eastAsia"/>
          <w:kern w:val="0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投资者也可以通过以下途径咨询有关情况：</w:t>
      </w:r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kern w:val="0"/>
          <w:sz w:val="32"/>
          <w:szCs w:val="32"/>
        </w:rPr>
        <w:t>北京肯特瑞基金销售有限公司</w:t>
      </w:r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客户服务热线：</w:t>
      </w:r>
      <w:r>
        <w:rPr>
          <w:rFonts w:ascii="仿宋_GB2312" w:eastAsia="仿宋_GB2312" w:hAnsi="仿宋" w:hint="eastAsia"/>
          <w:sz w:val="32"/>
          <w:szCs w:val="32"/>
        </w:rPr>
        <w:t>https://kenterui.jd.com/</w:t>
      </w:r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公司网址：</w:t>
      </w:r>
      <w:r>
        <w:rPr>
          <w:rFonts w:ascii="仿宋_GB2312" w:eastAsia="仿宋_GB2312" w:hAnsi="仿宋" w:hint="eastAsia"/>
          <w:sz w:val="32"/>
          <w:szCs w:val="32"/>
        </w:rPr>
        <w:t>400-</w:t>
      </w:r>
      <w:r>
        <w:rPr>
          <w:rFonts w:ascii="仿宋_GB2312" w:eastAsia="仿宋_GB2312" w:hAnsi="仿宋" w:hint="eastAsia"/>
          <w:sz w:val="32"/>
          <w:szCs w:val="32"/>
        </w:rPr>
        <w:t>088-8816/400-098-8511</w:t>
      </w:r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、浙江浙商证券资产管理有限公司</w:t>
      </w:r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客户服务热线：</w:t>
      </w:r>
      <w:r>
        <w:rPr>
          <w:rFonts w:ascii="仿宋_GB2312" w:eastAsia="仿宋_GB2312" w:hAnsi="仿宋" w:hint="eastAsia"/>
          <w:sz w:val="32"/>
          <w:szCs w:val="32"/>
        </w:rPr>
        <w:t>95345</w:t>
      </w:r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公司网址：</w:t>
      </w:r>
      <w:hyperlink r:id="rId4" w:history="1">
        <w:r>
          <w:rPr>
            <w:rFonts w:ascii="仿宋_GB2312" w:eastAsia="仿宋_GB2312" w:hAnsi="仿宋" w:hint="eastAsia"/>
            <w:sz w:val="32"/>
            <w:szCs w:val="32"/>
          </w:rPr>
          <w:t>www.stocke.com.cn</w:t>
        </w:r>
      </w:hyperlink>
    </w:p>
    <w:p w:rsidR="00000000" w:rsidRDefault="00267D65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000000" w:rsidRDefault="00267D65">
      <w:pPr>
        <w:widowControl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cs="宋体" w:hint="eastAsia"/>
          <w:kern w:val="0"/>
          <w:sz w:val="32"/>
          <w:szCs w:val="32"/>
        </w:rPr>
        <w:t>风险提示：本公司承诺依照诚实信用、勤勉尽责的原则管理和运用基金资产，但不保证基金一定盈利，也不保证最低收益。投资有风险，决策需谨慎，投资者申购基金前，应认真阅读基金的基金合同和招募说明书等相关法律文件。</w:t>
      </w:r>
      <w:r>
        <w:rPr>
          <w:rFonts w:ascii="仿宋_GB2312" w:eastAsia="仿宋_GB2312" w:cs="宋体" w:hint="eastAsia"/>
          <w:kern w:val="0"/>
          <w:sz w:val="32"/>
          <w:szCs w:val="32"/>
        </w:rPr>
        <w:br/>
      </w:r>
    </w:p>
    <w:p w:rsidR="00000000" w:rsidRDefault="00267D65">
      <w:pPr>
        <w:widowControl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特此公告。</w:t>
      </w:r>
    </w:p>
    <w:p w:rsidR="00000000" w:rsidRDefault="00267D65">
      <w:pPr>
        <w:widowControl/>
        <w:ind w:firstLineChars="1100" w:firstLine="352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浙江浙商证券资产管理有限公司</w:t>
      </w:r>
    </w:p>
    <w:p w:rsidR="00000000" w:rsidRDefault="00267D65">
      <w:pPr>
        <w:widowControl/>
        <w:ind w:firstLineChars="1100" w:firstLine="352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2022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kern w:val="0"/>
          <w:sz w:val="32"/>
          <w:szCs w:val="32"/>
        </w:rPr>
        <w:t>12</w:t>
      </w:r>
      <w:r>
        <w:rPr>
          <w:rFonts w:ascii="仿宋_GB2312" w:eastAsia="仿宋_GB2312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kern w:val="0"/>
          <w:sz w:val="32"/>
          <w:szCs w:val="32"/>
        </w:rPr>
        <w:t>19</w:t>
      </w:r>
      <w:r>
        <w:rPr>
          <w:rFonts w:ascii="仿宋_GB2312" w:eastAsia="仿宋_GB2312" w:cs="宋体" w:hint="eastAsia"/>
          <w:kern w:val="0"/>
          <w:sz w:val="32"/>
          <w:szCs w:val="32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65"/>
    <w:rsid w:val="00267D65"/>
    <w:rsid w:val="0085013C"/>
    <w:rsid w:val="010643A0"/>
    <w:rsid w:val="03F206F3"/>
    <w:rsid w:val="092B3002"/>
    <w:rsid w:val="0A233BDB"/>
    <w:rsid w:val="0AF50A5B"/>
    <w:rsid w:val="14AE4A76"/>
    <w:rsid w:val="18793AFF"/>
    <w:rsid w:val="1ED52829"/>
    <w:rsid w:val="205B0DD5"/>
    <w:rsid w:val="209E0BF9"/>
    <w:rsid w:val="28B81510"/>
    <w:rsid w:val="2A767916"/>
    <w:rsid w:val="2B116D30"/>
    <w:rsid w:val="2BE043A9"/>
    <w:rsid w:val="2D0E3DB4"/>
    <w:rsid w:val="2FAE4C97"/>
    <w:rsid w:val="30411F37"/>
    <w:rsid w:val="312356C3"/>
    <w:rsid w:val="31AB245C"/>
    <w:rsid w:val="38DC5E09"/>
    <w:rsid w:val="482217C2"/>
    <w:rsid w:val="4C16409B"/>
    <w:rsid w:val="4CDD2CCD"/>
    <w:rsid w:val="619E5769"/>
    <w:rsid w:val="63200713"/>
    <w:rsid w:val="693B179A"/>
    <w:rsid w:val="6A0D70AB"/>
    <w:rsid w:val="719B224C"/>
    <w:rsid w:val="79C75B09"/>
    <w:rsid w:val="7D2C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 w:val="0"/>
      <w:bCs w:val="0"/>
      <w:i w:val="0"/>
      <w:iCs w:val="0"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Emphasis"/>
    <w:basedOn w:val="a0"/>
    <w:qFormat/>
    <w:rPr>
      <w:b w:val="0"/>
      <w:bCs w:val="0"/>
      <w:i w:val="0"/>
      <w:iCs w:val="0"/>
    </w:rPr>
  </w:style>
  <w:style w:type="character" w:styleId="a7">
    <w:name w:val="Hyperlink"/>
    <w:basedOn w:val="a0"/>
    <w:rPr>
      <w:color w:val="0000FF"/>
      <w:u w:val="none"/>
    </w:rPr>
  </w:style>
  <w:style w:type="character" w:customStyle="1" w:styleId="fontstyle01">
    <w:name w:val="fontstyle01"/>
    <w:basedOn w:val="a0"/>
    <w:rPr>
      <w:rFonts w:ascii="宋体" w:eastAsia="宋体" w:hAnsi="宋体" w:cs="宋体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on">
    <w:name w:val="on"/>
    <w:basedOn w:val="a0"/>
    <w:rPr>
      <w:color w:val="FFFFFF"/>
      <w:shd w:val="clear" w:color="auto" w:fill="D70E19"/>
    </w:rPr>
  </w:style>
  <w:style w:type="character" w:customStyle="1" w:styleId="on1">
    <w:name w:val="on1"/>
    <w:basedOn w:val="a0"/>
    <w:rPr>
      <w:color w:val="D70E19"/>
    </w:rPr>
  </w:style>
  <w:style w:type="character" w:customStyle="1" w:styleId="on2">
    <w:name w:val="on2"/>
    <w:basedOn w:val="a0"/>
    <w:rPr>
      <w:color w:val="FFFFFF"/>
      <w:shd w:val="clear" w:color="auto" w:fill="D70E19"/>
    </w:rPr>
  </w:style>
  <w:style w:type="character" w:customStyle="1" w:styleId="on3">
    <w:name w:val="on3"/>
    <w:basedOn w:val="a0"/>
    <w:rPr>
      <w:color w:val="D70E19"/>
      <w:shd w:val="clear" w:color="auto" w:fill="FFFFFF"/>
    </w:rPr>
  </w:style>
  <w:style w:type="character" w:customStyle="1" w:styleId="dothide">
    <w:name w:val="dot_hide"/>
    <w:basedOn w:val="a0"/>
    <w:rPr>
      <w:vanish/>
    </w:rPr>
  </w:style>
  <w:style w:type="character" w:customStyle="1" w:styleId="dotshow">
    <w:name w:val="dot_show"/>
    <w:basedOn w:val="a0"/>
  </w:style>
  <w:style w:type="paragraph" w:customStyle="1" w:styleId="p1">
    <w:name w:val="p1"/>
    <w:basedOn w:val="a"/>
    <w:pPr>
      <w:jc w:val="left"/>
      <w:textAlignment w:val="center"/>
    </w:pPr>
    <w:rPr>
      <w:kern w:val="0"/>
    </w:rPr>
  </w:style>
  <w:style w:type="paragraph" w:customStyle="1" w:styleId="p12">
    <w:name w:val="p12"/>
    <w:basedOn w:val="a"/>
    <w:pPr>
      <w:shd w:val="clear" w:color="auto" w:fill="000000"/>
      <w:spacing w:line="768" w:lineRule="atLeast"/>
      <w:jc w:val="left"/>
    </w:pPr>
    <w:rPr>
      <w:color w:val="FFFFFF"/>
      <w:kern w:val="0"/>
      <w:sz w:val="19"/>
      <w:szCs w:val="19"/>
    </w:rPr>
  </w:style>
  <w:style w:type="paragraph" w:customStyle="1" w:styleId="p14">
    <w:name w:val="p14"/>
    <w:basedOn w:val="a"/>
    <w:pPr>
      <w:spacing w:line="360" w:lineRule="atLeast"/>
      <w:jc w:val="left"/>
    </w:pPr>
    <w:rPr>
      <w:color w:val="333333"/>
      <w:kern w:val="0"/>
      <w:sz w:val="24"/>
    </w:rPr>
  </w:style>
  <w:style w:type="paragraph" w:customStyle="1" w:styleId="p16">
    <w:name w:val="p16"/>
    <w:basedOn w:val="a"/>
    <w:pPr>
      <w:spacing w:line="480" w:lineRule="atLeast"/>
      <w:jc w:val="left"/>
    </w:pPr>
    <w:rPr>
      <w:b/>
      <w:bCs/>
      <w:color w:val="FFFFFF"/>
      <w:kern w:val="0"/>
      <w:sz w:val="45"/>
      <w:szCs w:val="45"/>
    </w:rPr>
  </w:style>
  <w:style w:type="paragraph" w:customStyle="1" w:styleId="p18">
    <w:name w:val="p18"/>
    <w:basedOn w:val="a"/>
    <w:pPr>
      <w:spacing w:after="120"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10">
    <w:name w:val="p110"/>
    <w:basedOn w:val="a"/>
    <w:pPr>
      <w:spacing w:after="144" w:line="264" w:lineRule="atLeast"/>
      <w:jc w:val="left"/>
    </w:pPr>
    <w:rPr>
      <w:color w:val="333333"/>
      <w:kern w:val="0"/>
      <w:sz w:val="16"/>
      <w:szCs w:val="16"/>
    </w:rPr>
  </w:style>
  <w:style w:type="paragraph" w:customStyle="1" w:styleId="p112">
    <w:name w:val="p112"/>
    <w:basedOn w:val="a"/>
    <w:pPr>
      <w:spacing w:line="384" w:lineRule="atLeast"/>
      <w:jc w:val="left"/>
    </w:pPr>
    <w:rPr>
      <w:color w:val="000000"/>
      <w:kern w:val="0"/>
      <w:sz w:val="28"/>
      <w:szCs w:val="28"/>
    </w:rPr>
  </w:style>
  <w:style w:type="paragraph" w:customStyle="1" w:styleId="p114">
    <w:name w:val="p114"/>
    <w:basedOn w:val="a"/>
    <w:pPr>
      <w:jc w:val="left"/>
    </w:pPr>
    <w:rPr>
      <w:color w:val="FFFFFF"/>
      <w:kern w:val="0"/>
    </w:rPr>
  </w:style>
  <w:style w:type="paragraph" w:customStyle="1" w:styleId="p116">
    <w:name w:val="p116"/>
    <w:basedOn w:val="a"/>
    <w:pPr>
      <w:jc w:val="left"/>
    </w:pPr>
    <w:rPr>
      <w:kern w:val="0"/>
    </w:rPr>
  </w:style>
  <w:style w:type="paragraph" w:customStyle="1" w:styleId="p118">
    <w:name w:val="p118"/>
    <w:basedOn w:val="a"/>
    <w:pPr>
      <w:jc w:val="left"/>
    </w:pPr>
    <w:rPr>
      <w:kern w:val="0"/>
    </w:rPr>
  </w:style>
  <w:style w:type="paragraph" w:customStyle="1" w:styleId="p120">
    <w:name w:val="p120"/>
    <w:basedOn w:val="a"/>
    <w:pPr>
      <w:spacing w:line="312" w:lineRule="atLeast"/>
      <w:jc w:val="left"/>
    </w:pPr>
    <w:rPr>
      <w:color w:val="333333"/>
      <w:kern w:val="0"/>
      <w:sz w:val="16"/>
      <w:szCs w:val="16"/>
    </w:rPr>
  </w:style>
  <w:style w:type="paragraph" w:customStyle="1" w:styleId="p122">
    <w:name w:val="p122"/>
    <w:basedOn w:val="a"/>
    <w:pPr>
      <w:spacing w:before="120" w:line="300" w:lineRule="atLeast"/>
      <w:jc w:val="left"/>
    </w:pPr>
    <w:rPr>
      <w:color w:val="333333"/>
      <w:kern w:val="0"/>
      <w:szCs w:val="21"/>
    </w:rPr>
  </w:style>
  <w:style w:type="paragraph" w:customStyle="1" w:styleId="p124">
    <w:name w:val="p124"/>
    <w:basedOn w:val="a"/>
    <w:pPr>
      <w:spacing w:line="240" w:lineRule="atLeast"/>
      <w:jc w:val="left"/>
    </w:pPr>
    <w:rPr>
      <w:color w:val="666666"/>
      <w:kern w:val="0"/>
      <w:sz w:val="16"/>
      <w:szCs w:val="16"/>
    </w:rPr>
  </w:style>
  <w:style w:type="paragraph" w:customStyle="1" w:styleId="p126">
    <w:name w:val="p126"/>
    <w:basedOn w:val="a"/>
    <w:pPr>
      <w:spacing w:line="288" w:lineRule="atLeast"/>
      <w:jc w:val="left"/>
    </w:pPr>
    <w:rPr>
      <w:color w:val="B9B9B9"/>
      <w:kern w:val="0"/>
      <w:sz w:val="16"/>
      <w:szCs w:val="16"/>
    </w:rPr>
  </w:style>
  <w:style w:type="paragraph" w:customStyle="1" w:styleId="p128">
    <w:name w:val="p128"/>
    <w:basedOn w:val="a"/>
    <w:pPr>
      <w:jc w:val="left"/>
    </w:pPr>
    <w:rPr>
      <w:kern w:val="0"/>
      <w:sz w:val="16"/>
      <w:szCs w:val="16"/>
    </w:rPr>
  </w:style>
  <w:style w:type="paragraph" w:customStyle="1" w:styleId="p130">
    <w:name w:val="p130"/>
    <w:basedOn w:val="a"/>
    <w:pPr>
      <w:spacing w:line="288" w:lineRule="atLeast"/>
      <w:jc w:val="left"/>
    </w:pPr>
    <w:rPr>
      <w:color w:val="787B81"/>
      <w:kern w:val="0"/>
      <w:sz w:val="16"/>
      <w:szCs w:val="16"/>
    </w:rPr>
  </w:style>
  <w:style w:type="paragraph" w:customStyle="1" w:styleId="p132">
    <w:name w:val="p132"/>
    <w:basedOn w:val="a"/>
    <w:pPr>
      <w:spacing w:line="288" w:lineRule="atLeast"/>
      <w:jc w:val="left"/>
    </w:pPr>
    <w:rPr>
      <w:color w:val="B9B9B9"/>
      <w:kern w:val="0"/>
      <w:sz w:val="16"/>
      <w:szCs w:val="16"/>
    </w:rPr>
  </w:style>
  <w:style w:type="paragraph" w:customStyle="1" w:styleId="p134">
    <w:name w:val="p134"/>
    <w:basedOn w:val="a"/>
    <w:pPr>
      <w:spacing w:line="360" w:lineRule="atLeast"/>
      <w:jc w:val="left"/>
    </w:pPr>
    <w:rPr>
      <w:color w:val="333333"/>
      <w:kern w:val="0"/>
      <w:sz w:val="16"/>
      <w:szCs w:val="16"/>
    </w:rPr>
  </w:style>
  <w:style w:type="paragraph" w:customStyle="1" w:styleId="p136">
    <w:name w:val="p136"/>
    <w:basedOn w:val="a"/>
    <w:pPr>
      <w:spacing w:after="96"/>
      <w:jc w:val="left"/>
    </w:pPr>
    <w:rPr>
      <w:kern w:val="0"/>
    </w:rPr>
  </w:style>
  <w:style w:type="paragraph" w:customStyle="1" w:styleId="p138">
    <w:name w:val="p138"/>
    <w:basedOn w:val="a"/>
    <w:pPr>
      <w:spacing w:line="528" w:lineRule="atLeast"/>
      <w:jc w:val="left"/>
    </w:pPr>
    <w:rPr>
      <w:color w:val="333333"/>
      <w:kern w:val="0"/>
      <w:sz w:val="19"/>
      <w:szCs w:val="19"/>
    </w:rPr>
  </w:style>
  <w:style w:type="paragraph" w:customStyle="1" w:styleId="p140">
    <w:name w:val="p140"/>
    <w:basedOn w:val="a"/>
    <w:pPr>
      <w:spacing w:line="360" w:lineRule="atLeast"/>
      <w:jc w:val="left"/>
    </w:pPr>
    <w:rPr>
      <w:color w:val="333333"/>
      <w:kern w:val="0"/>
      <w:sz w:val="19"/>
      <w:szCs w:val="19"/>
    </w:rPr>
  </w:style>
  <w:style w:type="paragraph" w:customStyle="1" w:styleId="p142">
    <w:name w:val="p142"/>
    <w:basedOn w:val="a"/>
    <w:pPr>
      <w:spacing w:before="84" w:line="240" w:lineRule="atLeast"/>
      <w:jc w:val="left"/>
    </w:pPr>
    <w:rPr>
      <w:color w:val="999999"/>
      <w:kern w:val="0"/>
      <w:sz w:val="16"/>
      <w:szCs w:val="16"/>
    </w:rPr>
  </w:style>
  <w:style w:type="paragraph" w:customStyle="1" w:styleId="p144">
    <w:name w:val="p144"/>
    <w:basedOn w:val="a"/>
    <w:pPr>
      <w:spacing w:line="360" w:lineRule="atLeast"/>
      <w:jc w:val="left"/>
    </w:pPr>
    <w:rPr>
      <w:color w:val="D70E19"/>
      <w:kern w:val="0"/>
      <w:sz w:val="33"/>
      <w:szCs w:val="33"/>
    </w:rPr>
  </w:style>
  <w:style w:type="paragraph" w:customStyle="1" w:styleId="p146">
    <w:name w:val="p146"/>
    <w:basedOn w:val="a"/>
    <w:pPr>
      <w:jc w:val="left"/>
    </w:pPr>
    <w:rPr>
      <w:color w:val="D70E19"/>
      <w:kern w:val="0"/>
    </w:rPr>
  </w:style>
  <w:style w:type="paragraph" w:customStyle="1" w:styleId="p148">
    <w:name w:val="p148"/>
    <w:basedOn w:val="a"/>
    <w:pPr>
      <w:spacing w:before="120" w:line="288" w:lineRule="atLeast"/>
      <w:jc w:val="left"/>
    </w:pPr>
    <w:rPr>
      <w:color w:val="333333"/>
      <w:kern w:val="0"/>
      <w:sz w:val="19"/>
      <w:szCs w:val="19"/>
    </w:rPr>
  </w:style>
  <w:style w:type="paragraph" w:customStyle="1" w:styleId="p150">
    <w:name w:val="p150"/>
    <w:basedOn w:val="a"/>
    <w:pPr>
      <w:spacing w:before="240" w:line="360" w:lineRule="atLeast"/>
      <w:jc w:val="left"/>
    </w:pPr>
    <w:rPr>
      <w:color w:val="333333"/>
      <w:kern w:val="0"/>
      <w:sz w:val="19"/>
      <w:szCs w:val="19"/>
    </w:rPr>
  </w:style>
  <w:style w:type="paragraph" w:customStyle="1" w:styleId="p152">
    <w:name w:val="p152"/>
    <w:basedOn w:val="a"/>
    <w:pPr>
      <w:jc w:val="left"/>
    </w:pPr>
    <w:rPr>
      <w:color w:val="D70E19"/>
      <w:kern w:val="0"/>
    </w:rPr>
  </w:style>
  <w:style w:type="paragraph" w:customStyle="1" w:styleId="p154">
    <w:name w:val="p154"/>
    <w:basedOn w:val="a"/>
    <w:pPr>
      <w:spacing w:after="180" w:line="288" w:lineRule="atLeast"/>
      <w:jc w:val="left"/>
    </w:pPr>
    <w:rPr>
      <w:color w:val="666666"/>
      <w:kern w:val="0"/>
      <w:sz w:val="16"/>
      <w:szCs w:val="16"/>
    </w:rPr>
  </w:style>
  <w:style w:type="paragraph" w:customStyle="1" w:styleId="p156">
    <w:name w:val="p156"/>
    <w:basedOn w:val="a"/>
    <w:pPr>
      <w:spacing w:line="288" w:lineRule="atLeast"/>
      <w:jc w:val="left"/>
    </w:pPr>
    <w:rPr>
      <w:color w:val="333333"/>
      <w:kern w:val="0"/>
      <w:sz w:val="19"/>
      <w:szCs w:val="19"/>
    </w:rPr>
  </w:style>
  <w:style w:type="paragraph" w:customStyle="1" w:styleId="p158">
    <w:name w:val="p158"/>
    <w:basedOn w:val="a"/>
    <w:pPr>
      <w:spacing w:line="240" w:lineRule="atLeast"/>
      <w:jc w:val="left"/>
    </w:pPr>
    <w:rPr>
      <w:color w:val="666666"/>
      <w:kern w:val="0"/>
      <w:sz w:val="16"/>
      <w:szCs w:val="16"/>
    </w:rPr>
  </w:style>
  <w:style w:type="paragraph" w:customStyle="1" w:styleId="p160">
    <w:name w:val="p160"/>
    <w:basedOn w:val="a"/>
    <w:pPr>
      <w:spacing w:line="360" w:lineRule="atLeast"/>
      <w:jc w:val="left"/>
    </w:pPr>
    <w:rPr>
      <w:color w:val="FFFFFF"/>
      <w:kern w:val="0"/>
      <w:sz w:val="33"/>
      <w:szCs w:val="33"/>
    </w:rPr>
  </w:style>
  <w:style w:type="paragraph" w:customStyle="1" w:styleId="p162">
    <w:name w:val="p162"/>
    <w:basedOn w:val="a"/>
    <w:pPr>
      <w:spacing w:before="156" w:line="288" w:lineRule="atLeast"/>
      <w:ind w:firstLine="210"/>
      <w:jc w:val="left"/>
    </w:pPr>
    <w:rPr>
      <w:color w:val="333333"/>
      <w:kern w:val="0"/>
      <w:sz w:val="16"/>
      <w:szCs w:val="16"/>
    </w:rPr>
  </w:style>
  <w:style w:type="paragraph" w:customStyle="1" w:styleId="p164">
    <w:name w:val="p164"/>
    <w:basedOn w:val="a"/>
    <w:pPr>
      <w:spacing w:before="240" w:line="264" w:lineRule="atLeast"/>
      <w:jc w:val="left"/>
    </w:pPr>
    <w:rPr>
      <w:color w:val="666666"/>
      <w:kern w:val="0"/>
      <w:sz w:val="14"/>
      <w:szCs w:val="14"/>
    </w:rPr>
  </w:style>
  <w:style w:type="paragraph" w:customStyle="1" w:styleId="p166">
    <w:name w:val="p166"/>
    <w:basedOn w:val="a"/>
    <w:pPr>
      <w:spacing w:line="312" w:lineRule="atLeast"/>
      <w:jc w:val="left"/>
    </w:pPr>
    <w:rPr>
      <w:color w:val="666666"/>
      <w:kern w:val="0"/>
      <w:sz w:val="16"/>
      <w:szCs w:val="16"/>
    </w:rPr>
  </w:style>
  <w:style w:type="paragraph" w:customStyle="1" w:styleId="p168">
    <w:name w:val="p168"/>
    <w:basedOn w:val="a"/>
    <w:pPr>
      <w:spacing w:before="48"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70">
    <w:name w:val="p170"/>
    <w:basedOn w:val="a"/>
    <w:pPr>
      <w:spacing w:line="360" w:lineRule="atLeast"/>
      <w:jc w:val="left"/>
    </w:pPr>
    <w:rPr>
      <w:color w:val="FFFFFF"/>
      <w:kern w:val="0"/>
      <w:sz w:val="16"/>
      <w:szCs w:val="16"/>
    </w:rPr>
  </w:style>
  <w:style w:type="paragraph" w:customStyle="1" w:styleId="p172">
    <w:name w:val="p172"/>
    <w:basedOn w:val="a"/>
    <w:pPr>
      <w:spacing w:after="60" w:line="312" w:lineRule="atLeast"/>
      <w:jc w:val="left"/>
    </w:pPr>
    <w:rPr>
      <w:color w:val="333333"/>
      <w:kern w:val="0"/>
      <w:sz w:val="19"/>
      <w:szCs w:val="19"/>
    </w:rPr>
  </w:style>
  <w:style w:type="paragraph" w:customStyle="1" w:styleId="p174">
    <w:name w:val="p174"/>
    <w:basedOn w:val="a"/>
    <w:pPr>
      <w:jc w:val="left"/>
    </w:pPr>
    <w:rPr>
      <w:color w:val="D70E19"/>
      <w:kern w:val="0"/>
    </w:rPr>
  </w:style>
  <w:style w:type="paragraph" w:customStyle="1" w:styleId="p176">
    <w:name w:val="p176"/>
    <w:basedOn w:val="a"/>
    <w:pPr>
      <w:spacing w:line="288" w:lineRule="atLeast"/>
      <w:jc w:val="center"/>
    </w:pPr>
    <w:rPr>
      <w:color w:val="999999"/>
      <w:kern w:val="0"/>
      <w:sz w:val="16"/>
      <w:szCs w:val="16"/>
    </w:rPr>
  </w:style>
  <w:style w:type="paragraph" w:customStyle="1" w:styleId="p178">
    <w:name w:val="p178"/>
    <w:basedOn w:val="a"/>
    <w:pPr>
      <w:spacing w:line="288" w:lineRule="atLeast"/>
      <w:jc w:val="left"/>
    </w:pPr>
    <w:rPr>
      <w:color w:val="999999"/>
      <w:kern w:val="0"/>
      <w:sz w:val="16"/>
      <w:szCs w:val="16"/>
    </w:rPr>
  </w:style>
  <w:style w:type="paragraph" w:customStyle="1" w:styleId="p180">
    <w:name w:val="p180"/>
    <w:basedOn w:val="a"/>
    <w:pPr>
      <w:jc w:val="left"/>
    </w:pPr>
    <w:rPr>
      <w:kern w:val="0"/>
    </w:rPr>
  </w:style>
  <w:style w:type="paragraph" w:customStyle="1" w:styleId="p182">
    <w:name w:val="p182"/>
    <w:basedOn w:val="a"/>
    <w:pPr>
      <w:jc w:val="left"/>
    </w:pPr>
    <w:rPr>
      <w:kern w:val="0"/>
    </w:rPr>
  </w:style>
  <w:style w:type="paragraph" w:customStyle="1" w:styleId="p184">
    <w:name w:val="p184"/>
    <w:basedOn w:val="a"/>
    <w:pPr>
      <w:spacing w:line="360" w:lineRule="atLeast"/>
      <w:jc w:val="left"/>
    </w:pPr>
    <w:rPr>
      <w:color w:val="FFFFFF"/>
      <w:kern w:val="0"/>
      <w:sz w:val="24"/>
    </w:rPr>
  </w:style>
  <w:style w:type="paragraph" w:customStyle="1" w:styleId="p186">
    <w:name w:val="p186"/>
    <w:basedOn w:val="a"/>
    <w:pPr>
      <w:spacing w:line="288" w:lineRule="atLeast"/>
      <w:ind w:firstLine="315"/>
      <w:jc w:val="left"/>
    </w:pPr>
    <w:rPr>
      <w:color w:val="333333"/>
      <w:kern w:val="0"/>
      <w:sz w:val="16"/>
      <w:szCs w:val="16"/>
    </w:rPr>
  </w:style>
  <w:style w:type="paragraph" w:customStyle="1" w:styleId="p188">
    <w:name w:val="p188"/>
    <w:basedOn w:val="a"/>
    <w:pPr>
      <w:spacing w:line="456" w:lineRule="atLeast"/>
      <w:jc w:val="left"/>
    </w:pPr>
    <w:rPr>
      <w:color w:val="666666"/>
      <w:kern w:val="0"/>
      <w:sz w:val="16"/>
      <w:szCs w:val="16"/>
    </w:rPr>
  </w:style>
  <w:style w:type="paragraph" w:customStyle="1" w:styleId="p190">
    <w:name w:val="p190"/>
    <w:basedOn w:val="a"/>
    <w:pPr>
      <w:spacing w:after="60"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92">
    <w:name w:val="p192"/>
    <w:basedOn w:val="a"/>
    <w:pPr>
      <w:spacing w:before="144" w:line="336" w:lineRule="atLeast"/>
      <w:jc w:val="left"/>
    </w:pPr>
    <w:rPr>
      <w:color w:val="333333"/>
      <w:kern w:val="0"/>
      <w:sz w:val="16"/>
      <w:szCs w:val="16"/>
    </w:rPr>
  </w:style>
  <w:style w:type="paragraph" w:customStyle="1" w:styleId="p194">
    <w:name w:val="p194"/>
    <w:basedOn w:val="a"/>
    <w:pPr>
      <w:spacing w:before="264"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96">
    <w:name w:val="p196"/>
    <w:basedOn w:val="a"/>
    <w:pPr>
      <w:spacing w:line="384" w:lineRule="atLeast"/>
      <w:jc w:val="left"/>
    </w:pPr>
    <w:rPr>
      <w:color w:val="333333"/>
      <w:kern w:val="0"/>
      <w:sz w:val="19"/>
      <w:szCs w:val="19"/>
    </w:rPr>
  </w:style>
  <w:style w:type="paragraph" w:customStyle="1" w:styleId="p198">
    <w:name w:val="p198"/>
    <w:basedOn w:val="a"/>
    <w:pPr>
      <w:spacing w:line="288" w:lineRule="atLeast"/>
      <w:jc w:val="left"/>
      <w:textAlignment w:val="center"/>
    </w:pPr>
    <w:rPr>
      <w:color w:val="333333"/>
      <w:kern w:val="0"/>
      <w:sz w:val="16"/>
      <w:szCs w:val="16"/>
    </w:rPr>
  </w:style>
  <w:style w:type="paragraph" w:customStyle="1" w:styleId="p1100">
    <w:name w:val="p1100"/>
    <w:basedOn w:val="a"/>
    <w:pPr>
      <w:spacing w:line="384" w:lineRule="atLeast"/>
      <w:jc w:val="left"/>
    </w:pPr>
    <w:rPr>
      <w:color w:val="999999"/>
      <w:kern w:val="0"/>
      <w:sz w:val="16"/>
      <w:szCs w:val="16"/>
    </w:rPr>
  </w:style>
  <w:style w:type="paragraph" w:customStyle="1" w:styleId="p1102">
    <w:name w:val="p1102"/>
    <w:basedOn w:val="a"/>
    <w:pPr>
      <w:spacing w:line="384" w:lineRule="atLeast"/>
      <w:jc w:val="left"/>
    </w:pPr>
    <w:rPr>
      <w:color w:val="333333"/>
      <w:kern w:val="0"/>
      <w:sz w:val="19"/>
      <w:szCs w:val="19"/>
    </w:rPr>
  </w:style>
  <w:style w:type="paragraph" w:customStyle="1" w:styleId="p1104">
    <w:name w:val="p1104"/>
    <w:basedOn w:val="a"/>
    <w:pPr>
      <w:spacing w:after="120"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106">
    <w:name w:val="p1106"/>
    <w:basedOn w:val="a"/>
    <w:pPr>
      <w:spacing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108">
    <w:name w:val="p1108"/>
    <w:basedOn w:val="a"/>
    <w:pPr>
      <w:jc w:val="left"/>
    </w:pPr>
    <w:rPr>
      <w:color w:val="D70E19"/>
      <w:kern w:val="0"/>
    </w:rPr>
  </w:style>
  <w:style w:type="paragraph" w:customStyle="1" w:styleId="p1110">
    <w:name w:val="p1110"/>
    <w:basedOn w:val="a"/>
    <w:pPr>
      <w:spacing w:before="132" w:line="384" w:lineRule="atLeast"/>
      <w:jc w:val="center"/>
    </w:pPr>
    <w:rPr>
      <w:color w:val="333333"/>
      <w:kern w:val="0"/>
      <w:sz w:val="19"/>
      <w:szCs w:val="19"/>
    </w:rPr>
  </w:style>
  <w:style w:type="paragraph" w:customStyle="1" w:styleId="p1112">
    <w:name w:val="p1112"/>
    <w:basedOn w:val="a"/>
    <w:pPr>
      <w:spacing w:before="168" w:line="288" w:lineRule="atLeast"/>
      <w:jc w:val="left"/>
    </w:pPr>
    <w:rPr>
      <w:color w:val="666666"/>
      <w:kern w:val="0"/>
      <w:sz w:val="16"/>
      <w:szCs w:val="16"/>
    </w:rPr>
  </w:style>
  <w:style w:type="paragraph" w:customStyle="1" w:styleId="p1114">
    <w:name w:val="p1114"/>
    <w:basedOn w:val="a"/>
    <w:pPr>
      <w:spacing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116">
    <w:name w:val="p1116"/>
    <w:basedOn w:val="a"/>
    <w:pPr>
      <w:spacing w:before="132" w:line="288" w:lineRule="atLeast"/>
      <w:jc w:val="left"/>
    </w:pPr>
    <w:rPr>
      <w:color w:val="333333"/>
      <w:kern w:val="0"/>
      <w:sz w:val="16"/>
      <w:szCs w:val="16"/>
    </w:rPr>
  </w:style>
  <w:style w:type="paragraph" w:customStyle="1" w:styleId="p1118">
    <w:name w:val="p1118"/>
    <w:basedOn w:val="a"/>
    <w:pPr>
      <w:spacing w:before="36" w:line="384" w:lineRule="atLeast"/>
      <w:jc w:val="left"/>
    </w:pPr>
    <w:rPr>
      <w:color w:val="999999"/>
      <w:kern w:val="0"/>
      <w:sz w:val="16"/>
      <w:szCs w:val="16"/>
    </w:rPr>
  </w:style>
  <w:style w:type="paragraph" w:customStyle="1" w:styleId="p1120">
    <w:name w:val="p1120"/>
    <w:basedOn w:val="a"/>
    <w:pPr>
      <w:spacing w:before="96" w:line="264" w:lineRule="atLeast"/>
      <w:jc w:val="left"/>
    </w:pPr>
    <w:rPr>
      <w:color w:val="666666"/>
      <w:kern w:val="0"/>
      <w:sz w:val="14"/>
      <w:szCs w:val="14"/>
    </w:rPr>
  </w:style>
  <w:style w:type="paragraph" w:customStyle="1" w:styleId="p1122">
    <w:name w:val="p1122"/>
    <w:basedOn w:val="a"/>
    <w:pPr>
      <w:jc w:val="left"/>
    </w:pPr>
    <w:rPr>
      <w:kern w:val="0"/>
      <w:sz w:val="16"/>
      <w:szCs w:val="16"/>
    </w:rPr>
  </w:style>
  <w:style w:type="paragraph" w:customStyle="1" w:styleId="p1124">
    <w:name w:val="p1124"/>
    <w:basedOn w:val="a"/>
    <w:pPr>
      <w:spacing w:line="192" w:lineRule="atLeast"/>
      <w:jc w:val="left"/>
    </w:pPr>
    <w:rPr>
      <w:color w:val="666666"/>
      <w:kern w:val="0"/>
      <w:sz w:val="16"/>
      <w:szCs w:val="16"/>
    </w:rPr>
  </w:style>
  <w:style w:type="character" w:customStyle="1" w:styleId="on4">
    <w:name w:val="on4"/>
    <w:basedOn w:val="a0"/>
    <w:rPr>
      <w:color w:val="D70E19"/>
      <w:shd w:val="clear" w:color="auto" w:fill="FFFFFF"/>
    </w:rPr>
  </w:style>
  <w:style w:type="character" w:customStyle="1" w:styleId="codemirror-selectedtext">
    <w:name w:val="codemirror-selectedtext"/>
    <w:basedOn w:val="a0"/>
  </w:style>
  <w:style w:type="character" w:customStyle="1" w:styleId="codemirror-nonmatchingbracket">
    <w:name w:val="codemirror-nonmatchingbracket"/>
    <w:basedOn w:val="a0"/>
    <w:rPr>
      <w:color w:val="FF2222"/>
    </w:rPr>
  </w:style>
  <w:style w:type="character" w:customStyle="1" w:styleId="codemirror-matchingbracket">
    <w:name w:val="codemirror-matchingbracket"/>
    <w:basedOn w:val="a0"/>
    <w:rPr>
      <w:color w:val="00FF00"/>
    </w:rPr>
  </w:style>
  <w:style w:type="character" w:customStyle="1" w:styleId="codemirror-matchingbracket2">
    <w:name w:val="codemirror-matchingbracket2"/>
    <w:basedOn w:val="a0"/>
    <w:rPr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ck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Company>CNSTOCK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ZHONGM</cp:lastModifiedBy>
  <cp:revision>2</cp:revision>
  <cp:lastPrinted>2021-11-24T01:59:00Z</cp:lastPrinted>
  <dcterms:created xsi:type="dcterms:W3CDTF">2022-12-18T16:00:00Z</dcterms:created>
  <dcterms:modified xsi:type="dcterms:W3CDTF">2022-12-18T16:00:00Z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