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FC" w:rsidRPr="00BE05FC" w:rsidRDefault="00BE05FC" w:rsidP="00070C2C">
      <w:pPr>
        <w:spacing w:line="500" w:lineRule="exact"/>
        <w:jc w:val="center"/>
        <w:rPr>
          <w:rFonts w:ascii="黑体" w:eastAsia="黑体" w:hAnsi="黑体"/>
          <w:sz w:val="30"/>
          <w:szCs w:val="30"/>
        </w:rPr>
      </w:pPr>
      <w:r w:rsidRPr="00BE05FC">
        <w:rPr>
          <w:rFonts w:ascii="黑体" w:eastAsia="黑体" w:hAnsi="黑体" w:hint="eastAsia"/>
          <w:sz w:val="30"/>
          <w:szCs w:val="30"/>
        </w:rPr>
        <w:t>申万菱信基金管理有限公司</w:t>
      </w:r>
    </w:p>
    <w:p w:rsidR="00C84140" w:rsidRPr="00BE05FC" w:rsidRDefault="00C84140" w:rsidP="009206DF">
      <w:pPr>
        <w:spacing w:afterLines="50" w:line="500" w:lineRule="exact"/>
        <w:jc w:val="center"/>
        <w:rPr>
          <w:rFonts w:ascii="黑体" w:eastAsia="黑体" w:hAnsi="黑体"/>
          <w:sz w:val="30"/>
          <w:szCs w:val="30"/>
        </w:rPr>
      </w:pPr>
      <w:r w:rsidRPr="00BE05FC">
        <w:rPr>
          <w:rFonts w:ascii="黑体" w:eastAsia="黑体" w:hAnsi="黑体" w:hint="eastAsia"/>
          <w:sz w:val="30"/>
          <w:szCs w:val="30"/>
        </w:rPr>
        <w:t>关于</w:t>
      </w:r>
      <w:r w:rsidR="00B153C9">
        <w:rPr>
          <w:rFonts w:ascii="黑体" w:eastAsia="黑体" w:hAnsi="黑体" w:hint="eastAsia"/>
          <w:sz w:val="30"/>
          <w:szCs w:val="30"/>
        </w:rPr>
        <w:t>旗下部分基金</w:t>
      </w:r>
      <w:r w:rsidR="00E25011" w:rsidRPr="00BE05FC">
        <w:rPr>
          <w:rFonts w:ascii="黑体" w:eastAsia="黑体" w:hAnsi="黑体" w:hint="eastAsia"/>
          <w:sz w:val="30"/>
          <w:szCs w:val="30"/>
        </w:rPr>
        <w:t>新增</w:t>
      </w:r>
      <w:r w:rsidRPr="00BE05FC">
        <w:rPr>
          <w:rFonts w:ascii="黑体" w:eastAsia="黑体" w:hAnsi="黑体" w:hint="eastAsia"/>
          <w:sz w:val="30"/>
          <w:szCs w:val="30"/>
        </w:rPr>
        <w:t>代销机构</w:t>
      </w:r>
      <w:r w:rsidR="000B530F">
        <w:rPr>
          <w:rFonts w:ascii="黑体" w:eastAsia="黑体" w:hAnsi="黑体" w:hint="eastAsia"/>
          <w:sz w:val="30"/>
          <w:szCs w:val="30"/>
        </w:rPr>
        <w:t>及</w:t>
      </w:r>
      <w:r w:rsidR="00070C2C">
        <w:rPr>
          <w:rFonts w:ascii="黑体" w:eastAsia="黑体" w:hAnsi="黑体" w:hint="eastAsia"/>
          <w:sz w:val="30"/>
          <w:szCs w:val="30"/>
        </w:rPr>
        <w:t>开通相关业务</w:t>
      </w:r>
      <w:r w:rsidRPr="00BE05FC">
        <w:rPr>
          <w:rFonts w:ascii="黑体" w:eastAsia="黑体" w:hAnsi="黑体" w:hint="eastAsia"/>
          <w:sz w:val="30"/>
          <w:szCs w:val="30"/>
        </w:rPr>
        <w:t>的公告</w:t>
      </w:r>
    </w:p>
    <w:p w:rsidR="00890EB2" w:rsidRDefault="00AB6267" w:rsidP="00B153C9">
      <w:pPr>
        <w:spacing w:line="500" w:lineRule="exact"/>
        <w:ind w:firstLineChars="200" w:firstLine="480"/>
        <w:rPr>
          <w:rFonts w:ascii="宋体" w:eastAsia="宋体" w:hAnsi="宋体"/>
          <w:sz w:val="24"/>
          <w:szCs w:val="24"/>
        </w:rPr>
      </w:pPr>
      <w:r w:rsidRPr="00070C2C">
        <w:rPr>
          <w:rFonts w:ascii="宋体" w:eastAsia="宋体" w:hAnsi="宋体" w:hint="eastAsia"/>
          <w:sz w:val="24"/>
          <w:szCs w:val="24"/>
        </w:rPr>
        <w:t>为满足广大投资者的理财需求，经申万菱信基金管理有限公司（以下简称“本公司”）与</w:t>
      </w:r>
      <w:r w:rsidR="006A1924">
        <w:rPr>
          <w:rFonts w:ascii="宋体" w:eastAsia="宋体" w:hAnsi="宋体" w:hint="eastAsia"/>
          <w:sz w:val="24"/>
          <w:szCs w:val="24"/>
        </w:rPr>
        <w:t>东方财富证券</w:t>
      </w:r>
      <w:r w:rsidR="00CA73A8">
        <w:rPr>
          <w:rFonts w:ascii="宋体" w:eastAsia="宋体" w:hAnsi="宋体" w:hint="eastAsia"/>
          <w:sz w:val="24"/>
          <w:szCs w:val="24"/>
        </w:rPr>
        <w:t>股份有限公司（以下简称“</w:t>
      </w:r>
      <w:r w:rsidR="006A1924">
        <w:rPr>
          <w:rFonts w:ascii="宋体" w:eastAsia="宋体" w:hAnsi="宋体" w:hint="eastAsia"/>
          <w:sz w:val="24"/>
          <w:szCs w:val="24"/>
        </w:rPr>
        <w:t>东方财富证券</w:t>
      </w:r>
      <w:r w:rsidR="00CA73A8">
        <w:rPr>
          <w:rFonts w:ascii="宋体" w:eastAsia="宋体" w:hAnsi="宋体" w:hint="eastAsia"/>
          <w:sz w:val="24"/>
          <w:szCs w:val="24"/>
        </w:rPr>
        <w:t>”）</w:t>
      </w:r>
      <w:r w:rsidR="006A1924">
        <w:rPr>
          <w:rFonts w:ascii="宋体" w:eastAsia="宋体" w:hAnsi="宋体" w:hint="eastAsia"/>
          <w:sz w:val="24"/>
          <w:szCs w:val="24"/>
        </w:rPr>
        <w:t>和</w:t>
      </w:r>
      <w:r w:rsidR="006A1924" w:rsidRPr="006A1924">
        <w:rPr>
          <w:rFonts w:ascii="宋体" w:eastAsia="宋体" w:hAnsi="宋体" w:hint="eastAsia"/>
          <w:sz w:val="24"/>
          <w:szCs w:val="24"/>
        </w:rPr>
        <w:t>华瑞保险销售有限公司</w:t>
      </w:r>
      <w:r w:rsidR="006A1924">
        <w:rPr>
          <w:rFonts w:ascii="宋体" w:eastAsia="宋体" w:hAnsi="宋体" w:hint="eastAsia"/>
          <w:sz w:val="24"/>
          <w:szCs w:val="24"/>
        </w:rPr>
        <w:t>（以下简称“华瑞保险”）</w:t>
      </w:r>
      <w:r w:rsidR="00D81F61">
        <w:rPr>
          <w:rFonts w:ascii="宋体" w:eastAsia="宋体" w:hAnsi="宋体" w:hint="eastAsia"/>
          <w:sz w:val="24"/>
          <w:szCs w:val="24"/>
        </w:rPr>
        <w:t>和兴业银行股份有限公司（以下简称“兴业银行”）</w:t>
      </w:r>
      <w:r w:rsidRPr="00070C2C">
        <w:rPr>
          <w:rFonts w:ascii="宋体" w:eastAsia="宋体" w:hAnsi="宋体" w:hint="eastAsia"/>
          <w:sz w:val="24"/>
          <w:szCs w:val="24"/>
        </w:rPr>
        <w:t>协商一致，本公司旗下</w:t>
      </w:r>
      <w:r w:rsidR="00B153C9">
        <w:rPr>
          <w:rFonts w:ascii="宋体" w:eastAsia="宋体" w:hAnsi="宋体" w:hint="eastAsia"/>
          <w:sz w:val="24"/>
          <w:szCs w:val="24"/>
        </w:rPr>
        <w:t>部分基金</w:t>
      </w:r>
      <w:r w:rsidR="00D81F61">
        <w:rPr>
          <w:rFonts w:ascii="宋体" w:eastAsia="宋体" w:hAnsi="宋体" w:hint="eastAsia"/>
          <w:sz w:val="24"/>
          <w:szCs w:val="24"/>
        </w:rPr>
        <w:t>新增东方财富证券、华瑞保险和兴业银行银银平台</w:t>
      </w:r>
      <w:r w:rsidR="007E2D28">
        <w:rPr>
          <w:rFonts w:ascii="宋体" w:eastAsia="宋体" w:hAnsi="宋体" w:hint="eastAsia"/>
          <w:sz w:val="24"/>
          <w:szCs w:val="24"/>
        </w:rPr>
        <w:t>为代销机构并开通</w:t>
      </w:r>
      <w:r w:rsidR="00CA73A8">
        <w:rPr>
          <w:rFonts w:ascii="宋体" w:eastAsia="宋体" w:hAnsi="宋体" w:hint="eastAsia"/>
          <w:sz w:val="24"/>
          <w:szCs w:val="24"/>
        </w:rPr>
        <w:t>申购、赎回、定期定额投资和基金转换等业务</w:t>
      </w:r>
      <w:r w:rsidR="00B153C9" w:rsidRPr="00B153C9">
        <w:rPr>
          <w:rFonts w:ascii="宋体" w:eastAsia="宋体" w:hAnsi="宋体" w:hint="eastAsia"/>
          <w:sz w:val="24"/>
          <w:szCs w:val="24"/>
        </w:rPr>
        <w:t>（</w:t>
      </w:r>
      <w:r w:rsidR="006A1924">
        <w:rPr>
          <w:rFonts w:ascii="宋体" w:eastAsia="宋体" w:hAnsi="宋体" w:hint="eastAsia"/>
          <w:sz w:val="24"/>
          <w:szCs w:val="24"/>
        </w:rPr>
        <w:t>产品</w:t>
      </w:r>
      <w:r w:rsidR="00B153C9" w:rsidRPr="00B153C9">
        <w:rPr>
          <w:rFonts w:ascii="宋体" w:eastAsia="宋体" w:hAnsi="宋体" w:hint="eastAsia"/>
          <w:sz w:val="24"/>
          <w:szCs w:val="24"/>
        </w:rPr>
        <w:t>未开通相关业务的除外）</w:t>
      </w:r>
      <w:r w:rsidR="00CA73A8">
        <w:rPr>
          <w:rFonts w:ascii="宋体" w:eastAsia="宋体" w:hAnsi="宋体" w:hint="eastAsia"/>
          <w:sz w:val="24"/>
          <w:szCs w:val="24"/>
        </w:rPr>
        <w:t>，</w:t>
      </w:r>
      <w:r w:rsidR="006A1924">
        <w:rPr>
          <w:rFonts w:ascii="宋体" w:eastAsia="宋体" w:hAnsi="宋体" w:hint="eastAsia"/>
          <w:sz w:val="24"/>
          <w:szCs w:val="24"/>
        </w:rPr>
        <w:t>详情如下：</w:t>
      </w:r>
    </w:p>
    <w:p w:rsidR="00B153C9" w:rsidRDefault="00B153C9" w:rsidP="00B153C9">
      <w:pPr>
        <w:pStyle w:val="a7"/>
        <w:numPr>
          <w:ilvl w:val="0"/>
          <w:numId w:val="1"/>
        </w:numPr>
        <w:spacing w:line="500" w:lineRule="exact"/>
        <w:ind w:firstLineChars="0"/>
        <w:rPr>
          <w:rFonts w:ascii="宋体" w:eastAsia="宋体" w:hAnsi="宋体"/>
          <w:sz w:val="24"/>
          <w:szCs w:val="24"/>
        </w:rPr>
      </w:pPr>
      <w:r>
        <w:rPr>
          <w:rFonts w:ascii="宋体" w:eastAsia="宋体" w:hAnsi="宋体" w:hint="eastAsia"/>
          <w:sz w:val="24"/>
          <w:szCs w:val="24"/>
        </w:rPr>
        <w:t>适用基金范围</w:t>
      </w:r>
    </w:p>
    <w:p w:rsidR="006A1924" w:rsidRDefault="006A1924" w:rsidP="006A1924">
      <w:pPr>
        <w:spacing w:line="500" w:lineRule="exact"/>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022</w:t>
      </w:r>
      <w:r>
        <w:rPr>
          <w:rFonts w:ascii="宋体" w:eastAsia="宋体" w:hAnsi="宋体" w:hint="eastAsia"/>
          <w:sz w:val="24"/>
          <w:szCs w:val="24"/>
        </w:rPr>
        <w:t>年1</w:t>
      </w:r>
      <w:r>
        <w:rPr>
          <w:rFonts w:ascii="宋体" w:eastAsia="宋体" w:hAnsi="宋体"/>
          <w:sz w:val="24"/>
          <w:szCs w:val="24"/>
        </w:rPr>
        <w:t>2</w:t>
      </w:r>
      <w:r>
        <w:rPr>
          <w:rFonts w:ascii="宋体" w:eastAsia="宋体" w:hAnsi="宋体" w:hint="eastAsia"/>
          <w:sz w:val="24"/>
          <w:szCs w:val="24"/>
        </w:rPr>
        <w:t>月</w:t>
      </w:r>
      <w:r>
        <w:rPr>
          <w:rFonts w:ascii="宋体" w:eastAsia="宋体" w:hAnsi="宋体"/>
          <w:sz w:val="24"/>
          <w:szCs w:val="24"/>
        </w:rPr>
        <w:t>7</w:t>
      </w:r>
      <w:r>
        <w:rPr>
          <w:rFonts w:ascii="宋体" w:eastAsia="宋体" w:hAnsi="宋体" w:hint="eastAsia"/>
          <w:sz w:val="24"/>
          <w:szCs w:val="24"/>
        </w:rPr>
        <w:t>日起，投资者可通过的东方财富证券办理下表所列基金产品的相关业务。</w:t>
      </w:r>
    </w:p>
    <w:tbl>
      <w:tblPr>
        <w:tblW w:w="5000" w:type="pct"/>
        <w:tblLayout w:type="fixed"/>
        <w:tblLook w:val="04A0"/>
      </w:tblPr>
      <w:tblGrid>
        <w:gridCol w:w="1159"/>
        <w:gridCol w:w="6264"/>
        <w:gridCol w:w="1099"/>
      </w:tblGrid>
      <w:tr w:rsidR="006A1924" w:rsidRPr="006A1924" w:rsidTr="006A1924">
        <w:trPr>
          <w:trHeight w:val="285"/>
        </w:trPr>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基金代码</w:t>
            </w:r>
          </w:p>
        </w:tc>
        <w:tc>
          <w:tcPr>
            <w:tcW w:w="3675" w:type="pct"/>
            <w:tcBorders>
              <w:top w:val="single" w:sz="4" w:space="0" w:color="auto"/>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基金</w:t>
            </w:r>
            <w:r w:rsidR="00D81F61">
              <w:rPr>
                <w:rFonts w:ascii="宋体" w:eastAsia="宋体" w:hAnsi="宋体" w:cs="宋体" w:hint="eastAsia"/>
                <w:color w:val="000000"/>
                <w:kern w:val="0"/>
              </w:rPr>
              <w:t>名称</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TA类别</w:t>
            </w:r>
          </w:p>
        </w:tc>
      </w:tr>
      <w:tr w:rsidR="006A1924" w:rsidRPr="006A1924" w:rsidTr="006A1924">
        <w:trPr>
          <w:trHeight w:val="285"/>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007799</w:t>
            </w:r>
          </w:p>
        </w:tc>
        <w:tc>
          <w:tcPr>
            <w:tcW w:w="367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申万菱信中小企业100指数证券投资基金（LOF）C</w:t>
            </w:r>
          </w:p>
        </w:tc>
        <w:tc>
          <w:tcPr>
            <w:tcW w:w="64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中登TA</w:t>
            </w:r>
          </w:p>
        </w:tc>
      </w:tr>
      <w:tr w:rsidR="006A1924" w:rsidRPr="006A1924" w:rsidTr="006A1924">
        <w:trPr>
          <w:trHeight w:val="285"/>
        </w:trPr>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007983</w:t>
            </w:r>
          </w:p>
        </w:tc>
        <w:tc>
          <w:tcPr>
            <w:tcW w:w="367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申万菱信中证研发创新100交易型开放式指数证券投资基金联接基金A</w:t>
            </w:r>
          </w:p>
        </w:tc>
        <w:tc>
          <w:tcPr>
            <w:tcW w:w="64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007984</w:t>
            </w:r>
          </w:p>
        </w:tc>
        <w:tc>
          <w:tcPr>
            <w:tcW w:w="367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申万菱信中证研发创新100交易型开放式指数证券投资基金联接基金C</w:t>
            </w:r>
          </w:p>
        </w:tc>
        <w:tc>
          <w:tcPr>
            <w:tcW w:w="64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001727</w:t>
            </w:r>
          </w:p>
        </w:tc>
        <w:tc>
          <w:tcPr>
            <w:tcW w:w="367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申万菱信安鑫回报灵活配置混合型证券投资基金C</w:t>
            </w:r>
          </w:p>
        </w:tc>
        <w:tc>
          <w:tcPr>
            <w:tcW w:w="64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011800</w:t>
            </w:r>
          </w:p>
        </w:tc>
        <w:tc>
          <w:tcPr>
            <w:tcW w:w="367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申万菱信价值精选混合型证券投资基金A</w:t>
            </w:r>
          </w:p>
        </w:tc>
        <w:tc>
          <w:tcPr>
            <w:tcW w:w="64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010735</w:t>
            </w:r>
          </w:p>
        </w:tc>
        <w:tc>
          <w:tcPr>
            <w:tcW w:w="367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申万菱信稳健养老目标一年持有期混合型发起式基金中基金（FOF）</w:t>
            </w:r>
          </w:p>
        </w:tc>
        <w:tc>
          <w:tcPr>
            <w:tcW w:w="64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011488</w:t>
            </w:r>
          </w:p>
        </w:tc>
        <w:tc>
          <w:tcPr>
            <w:tcW w:w="367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申万菱信乐享混合型证券投资基金</w:t>
            </w:r>
          </w:p>
        </w:tc>
        <w:tc>
          <w:tcPr>
            <w:tcW w:w="64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012051</w:t>
            </w:r>
          </w:p>
        </w:tc>
        <w:tc>
          <w:tcPr>
            <w:tcW w:w="367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申万菱信乐道三年持有期混合型证券投资基金</w:t>
            </w:r>
          </w:p>
        </w:tc>
        <w:tc>
          <w:tcPr>
            <w:tcW w:w="64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007391</w:t>
            </w:r>
          </w:p>
        </w:tc>
        <w:tc>
          <w:tcPr>
            <w:tcW w:w="367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申万菱信安泰丰利债券型证券投资基金A</w:t>
            </w:r>
          </w:p>
        </w:tc>
        <w:tc>
          <w:tcPr>
            <w:tcW w:w="64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007392</w:t>
            </w:r>
          </w:p>
        </w:tc>
        <w:tc>
          <w:tcPr>
            <w:tcW w:w="367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申万菱信安泰丰利债券型证券投资基金C</w:t>
            </w:r>
          </w:p>
        </w:tc>
        <w:tc>
          <w:tcPr>
            <w:tcW w:w="64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008968</w:t>
            </w:r>
          </w:p>
        </w:tc>
        <w:tc>
          <w:tcPr>
            <w:tcW w:w="367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申万菱信安泰鼎利一年定期开放债券型发起式证券投资基金</w:t>
            </w:r>
          </w:p>
        </w:tc>
        <w:tc>
          <w:tcPr>
            <w:tcW w:w="64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009084</w:t>
            </w:r>
          </w:p>
        </w:tc>
        <w:tc>
          <w:tcPr>
            <w:tcW w:w="367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申万菱信安泰鑫利纯债一年定期开放债券型发起式证券投资基金</w:t>
            </w:r>
          </w:p>
        </w:tc>
        <w:tc>
          <w:tcPr>
            <w:tcW w:w="64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009543</w:t>
            </w:r>
          </w:p>
        </w:tc>
        <w:tc>
          <w:tcPr>
            <w:tcW w:w="367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申万菱信安泰富利三年定期开放债券型证券投资基金A</w:t>
            </w:r>
          </w:p>
        </w:tc>
        <w:tc>
          <w:tcPr>
            <w:tcW w:w="64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lastRenderedPageBreak/>
              <w:t>009544</w:t>
            </w:r>
          </w:p>
        </w:tc>
        <w:tc>
          <w:tcPr>
            <w:tcW w:w="367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申万菱信安泰富利三年定期开放债券型证券投资基金C</w:t>
            </w:r>
          </w:p>
        </w:tc>
        <w:tc>
          <w:tcPr>
            <w:tcW w:w="64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011985</w:t>
            </w:r>
          </w:p>
        </w:tc>
        <w:tc>
          <w:tcPr>
            <w:tcW w:w="367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申万菱信合利纯债债券型证券投资基金A</w:t>
            </w:r>
          </w:p>
        </w:tc>
        <w:tc>
          <w:tcPr>
            <w:tcW w:w="64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011986</w:t>
            </w:r>
          </w:p>
        </w:tc>
        <w:tc>
          <w:tcPr>
            <w:tcW w:w="367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申万菱信合利纯债债券型证券投资基金C</w:t>
            </w:r>
          </w:p>
        </w:tc>
        <w:tc>
          <w:tcPr>
            <w:tcW w:w="64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012626</w:t>
            </w:r>
          </w:p>
        </w:tc>
        <w:tc>
          <w:tcPr>
            <w:tcW w:w="367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申万菱信汇元宝债券型证券投资基金A</w:t>
            </w:r>
          </w:p>
        </w:tc>
        <w:tc>
          <w:tcPr>
            <w:tcW w:w="64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012627</w:t>
            </w:r>
          </w:p>
        </w:tc>
        <w:tc>
          <w:tcPr>
            <w:tcW w:w="367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申万菱信汇元宝债券型证券投资基金C</w:t>
            </w:r>
          </w:p>
        </w:tc>
        <w:tc>
          <w:tcPr>
            <w:tcW w:w="64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013325</w:t>
            </w:r>
          </w:p>
        </w:tc>
        <w:tc>
          <w:tcPr>
            <w:tcW w:w="367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申万菱信恒利三个月定期开放债券型证券投资基金</w:t>
            </w:r>
          </w:p>
        </w:tc>
        <w:tc>
          <w:tcPr>
            <w:tcW w:w="64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014383</w:t>
            </w:r>
          </w:p>
        </w:tc>
        <w:tc>
          <w:tcPr>
            <w:tcW w:w="367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申万菱信集利三个月定期开放债券型证券投资基金</w:t>
            </w:r>
          </w:p>
        </w:tc>
        <w:tc>
          <w:tcPr>
            <w:tcW w:w="645" w:type="pct"/>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bl>
    <w:p w:rsidR="006A1924" w:rsidRDefault="006A1924" w:rsidP="006A1924">
      <w:pPr>
        <w:spacing w:line="500" w:lineRule="exact"/>
        <w:ind w:firstLineChars="200" w:firstLine="480"/>
        <w:rPr>
          <w:rFonts w:ascii="宋体" w:eastAsia="宋体" w:hAnsi="宋体"/>
          <w:sz w:val="24"/>
          <w:szCs w:val="24"/>
        </w:rPr>
      </w:pPr>
      <w:r>
        <w:rPr>
          <w:rFonts w:ascii="宋体" w:eastAsia="宋体" w:hAnsi="宋体" w:hint="eastAsia"/>
          <w:sz w:val="24"/>
          <w:szCs w:val="24"/>
        </w:rPr>
        <w:t>2、2</w:t>
      </w:r>
      <w:r>
        <w:rPr>
          <w:rFonts w:ascii="宋体" w:eastAsia="宋体" w:hAnsi="宋体"/>
          <w:sz w:val="24"/>
          <w:szCs w:val="24"/>
        </w:rPr>
        <w:t>022</w:t>
      </w:r>
      <w:r>
        <w:rPr>
          <w:rFonts w:ascii="宋体" w:eastAsia="宋体" w:hAnsi="宋体" w:hint="eastAsia"/>
          <w:sz w:val="24"/>
          <w:szCs w:val="24"/>
        </w:rPr>
        <w:t>年1</w:t>
      </w:r>
      <w:r>
        <w:rPr>
          <w:rFonts w:ascii="宋体" w:eastAsia="宋体" w:hAnsi="宋体"/>
          <w:sz w:val="24"/>
          <w:szCs w:val="24"/>
        </w:rPr>
        <w:t>2</w:t>
      </w:r>
      <w:r>
        <w:rPr>
          <w:rFonts w:ascii="宋体" w:eastAsia="宋体" w:hAnsi="宋体" w:hint="eastAsia"/>
          <w:sz w:val="24"/>
          <w:szCs w:val="24"/>
        </w:rPr>
        <w:t>月</w:t>
      </w:r>
      <w:r>
        <w:rPr>
          <w:rFonts w:ascii="宋体" w:eastAsia="宋体" w:hAnsi="宋体"/>
          <w:sz w:val="24"/>
          <w:szCs w:val="24"/>
        </w:rPr>
        <w:t>7</w:t>
      </w:r>
      <w:r>
        <w:rPr>
          <w:rFonts w:ascii="宋体" w:eastAsia="宋体" w:hAnsi="宋体" w:hint="eastAsia"/>
          <w:sz w:val="24"/>
          <w:szCs w:val="24"/>
        </w:rPr>
        <w:t>日起，投资者可通过的华瑞保险办理下表所列基金产品的相关业务。</w:t>
      </w:r>
    </w:p>
    <w:tbl>
      <w:tblPr>
        <w:tblW w:w="0" w:type="auto"/>
        <w:tblLook w:val="04A0"/>
      </w:tblPr>
      <w:tblGrid>
        <w:gridCol w:w="1129"/>
        <w:gridCol w:w="6096"/>
        <w:gridCol w:w="1071"/>
      </w:tblGrid>
      <w:tr w:rsidR="006A1924" w:rsidRPr="006A1924" w:rsidTr="006A1924">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基金代码</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基金</w:t>
            </w:r>
            <w:r w:rsidR="00D81F61">
              <w:rPr>
                <w:rFonts w:ascii="宋体" w:eastAsia="宋体" w:hAnsi="宋体" w:cs="宋体" w:hint="eastAsia"/>
                <w:color w:val="000000"/>
                <w:kern w:val="0"/>
              </w:rPr>
              <w:t>名称</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TA类别</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015157</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申万菱信行业轮动股票型证券投资基金C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015159</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申万菱信智能驱动股票型证券投资基金C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009557</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申万菱信创业板量化精选股票型证券投资基金A</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010505</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申万菱信创业板量化精选股票型证券投资基金C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005433</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申万菱信医药先锋股票型证券投资基金A</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015171</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申万菱信医药先锋股票型证券投资基金C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012210</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申万菱信智能汽车股票型证券投资基金A</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012211</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申万菱信智能汽车股票型证券投资基金C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163109</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申万菱信深证成份指数型证券投资基金A</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中登TA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015177</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申万菱信深证成份指数型证券投资基金C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中登TA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163118</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申万菱信中证申万医药生物指数型证券投资基金A</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中登TA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015176</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申万菱信中证申万医药生物指数型证券投资基金C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中登TA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163111</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申万菱信中小企业100指数证券投资基金（LOF）A</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中登TA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007799</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申万菱信中小企业100指数证券投资基金（LOF）C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中登TA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007983</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申万菱信中证研发创新100交易型开放式指数证券投资基金联接基金A</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007984</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申万菱信中证研发创新100交易型开放式指数证券投资基金联接</w:t>
            </w:r>
            <w:r w:rsidRPr="006A1924">
              <w:rPr>
                <w:rFonts w:ascii="宋体" w:eastAsia="宋体" w:hAnsi="宋体" w:cs="宋体" w:hint="eastAsia"/>
                <w:color w:val="000000"/>
                <w:kern w:val="0"/>
              </w:rPr>
              <w:lastRenderedPageBreak/>
              <w:t>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lastRenderedPageBreak/>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lastRenderedPageBreak/>
              <w:t>015921</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申万菱信国证2000指数增强型发起式证券投资基金A</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015922</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申万菱信国证2000指数增强型发起式证券投资基金C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015173</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申万菱信竞争优势混合型证券投资基金C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015254</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申万菱信消费增长混合型证券投资基金C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011800</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申万菱信价值精选混合型证券投资基金A</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015158</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申万菱信价值精选混合型证券投资基金C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008895</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申万菱信量化对冲策略灵活配置混合型发起式证券投资基金</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010735</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申万菱信稳健养老目标一年持有期混合型发起式基金中基金（FOF）</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011488</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申万菱信乐享混合型证券投资基金</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012051</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申万菱信乐道三年持有期混合型证券投资基金</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013634</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申万菱信双利混合型证券投资基金A</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013635</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申万菱信双利混合型证券投资基金C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013085</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申万菱信乐同混合型证券投资基金A</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013086</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申万菱信乐同混合型证券投资基金C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007391</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申万菱信安泰丰利债券型证券投资基金A</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007392</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申万菱信安泰丰利债券型证券投资基金C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008968</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申万菱信安泰鼎利一年定期开放债券型发起式证券投资基金</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009084</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申万菱信安泰鑫利纯债一年定期开放债券型发起式证券投资基金</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009543</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申万菱信安泰富利三年定期开放债券型证券投资基金A</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009544</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申万菱信安泰富利三年定期开放债券型证券投资基金C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011985</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申万菱信合利纯债债券型证券投资基金A</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011986</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申万菱信合利纯债债券型证券投资基金C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012626</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申万菱信汇元宝债券型证券投资基金A</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012627</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申万菱信汇元宝债券型证券投资基金C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013325</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申万菱信恒利三个月定期开放债券型证券投资基金</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014383</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申万菱信集利三个月定期开放债券型证券投资基金</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014861</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申万菱信双禧混合型发起式证券投资基金A</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014862</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申万菱信双禧混合型发起式证券投资基金C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015295</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申万菱信鑫享稳健混合型发起式证券投资基金A</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015296</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申万菱信鑫享稳健混合型发起式证券投资基金C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015914</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申万菱信养老目标日期2040三年持有期混合型发起式基金中基金（FOF）</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015919</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申万菱信专精特新主题混合型发起式证券投资基金A</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015920</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申万菱信专精特新主题混合型发起式证券投资基金C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016101</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申万菱信碳中和智选混合型发起式证券投资基金A</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016102</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申万菱信碳中和智选混合型发起式证券投资基金C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015167</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申万菱信可转换债券债券型证券投资基金C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006609</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申万菱信安泰瑞利中短债债券型证券投资基金A</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007240</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申万菱信安泰瑞利中短债债券型证券投资基金C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015489</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申万菱信稳鑫30天滚动持有短债债券型发起式证券投资基金A</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r w:rsidR="006A1924" w:rsidRPr="006A1924" w:rsidTr="006A1924">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015490</w:t>
            </w:r>
          </w:p>
        </w:tc>
        <w:tc>
          <w:tcPr>
            <w:tcW w:w="6096"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申万菱信稳鑫30天滚动持有短债债券型发起式证券投资基金C</w:t>
            </w:r>
          </w:p>
        </w:tc>
        <w:tc>
          <w:tcPr>
            <w:tcW w:w="1071" w:type="dxa"/>
            <w:tcBorders>
              <w:top w:val="nil"/>
              <w:left w:val="nil"/>
              <w:bottom w:val="single" w:sz="4" w:space="0" w:color="auto"/>
              <w:right w:val="single" w:sz="4" w:space="0" w:color="auto"/>
            </w:tcBorders>
            <w:shd w:val="clear" w:color="auto" w:fill="auto"/>
            <w:noWrap/>
            <w:vAlign w:val="center"/>
            <w:hideMark/>
          </w:tcPr>
          <w:p w:rsidR="006A1924" w:rsidRPr="006A1924" w:rsidRDefault="006A1924" w:rsidP="006A1924">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自建TA</w:t>
            </w:r>
          </w:p>
        </w:tc>
      </w:tr>
    </w:tbl>
    <w:p w:rsidR="00D81F61" w:rsidRDefault="00D81F61" w:rsidP="006A1924">
      <w:pPr>
        <w:spacing w:line="500" w:lineRule="exact"/>
        <w:ind w:firstLineChars="200" w:firstLine="480"/>
        <w:rPr>
          <w:rFonts w:ascii="宋体" w:eastAsia="宋体" w:hAnsi="宋体"/>
          <w:sz w:val="24"/>
          <w:szCs w:val="24"/>
        </w:rPr>
      </w:pPr>
      <w:r>
        <w:rPr>
          <w:rFonts w:ascii="宋体" w:eastAsia="宋体" w:hAnsi="宋体" w:hint="eastAsia"/>
          <w:sz w:val="24"/>
          <w:szCs w:val="24"/>
        </w:rPr>
        <w:t>3、2</w:t>
      </w:r>
      <w:r>
        <w:rPr>
          <w:rFonts w:ascii="宋体" w:eastAsia="宋体" w:hAnsi="宋体"/>
          <w:sz w:val="24"/>
          <w:szCs w:val="24"/>
        </w:rPr>
        <w:t>022</w:t>
      </w:r>
      <w:r>
        <w:rPr>
          <w:rFonts w:ascii="宋体" w:eastAsia="宋体" w:hAnsi="宋体" w:hint="eastAsia"/>
          <w:sz w:val="24"/>
          <w:szCs w:val="24"/>
        </w:rPr>
        <w:t>年1</w:t>
      </w:r>
      <w:r>
        <w:rPr>
          <w:rFonts w:ascii="宋体" w:eastAsia="宋体" w:hAnsi="宋体"/>
          <w:sz w:val="24"/>
          <w:szCs w:val="24"/>
        </w:rPr>
        <w:t>2</w:t>
      </w:r>
      <w:r>
        <w:rPr>
          <w:rFonts w:ascii="宋体" w:eastAsia="宋体" w:hAnsi="宋体" w:hint="eastAsia"/>
          <w:sz w:val="24"/>
          <w:szCs w:val="24"/>
        </w:rPr>
        <w:t>月8日起，投资者可通过的兴业银行银银平台办理下表所列基金产品的相关业务。</w:t>
      </w:r>
    </w:p>
    <w:tbl>
      <w:tblPr>
        <w:tblW w:w="5000" w:type="pct"/>
        <w:tblLayout w:type="fixed"/>
        <w:tblLook w:val="04A0"/>
      </w:tblPr>
      <w:tblGrid>
        <w:gridCol w:w="1159"/>
        <w:gridCol w:w="6409"/>
        <w:gridCol w:w="954"/>
      </w:tblGrid>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D81F61" w:rsidRPr="00D81F61" w:rsidRDefault="00D81F61" w:rsidP="00D81F61">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基金代码</w:t>
            </w:r>
          </w:p>
        </w:tc>
        <w:tc>
          <w:tcPr>
            <w:tcW w:w="3760" w:type="pct"/>
            <w:tcBorders>
              <w:top w:val="single" w:sz="4" w:space="0" w:color="auto"/>
              <w:left w:val="nil"/>
              <w:bottom w:val="single" w:sz="4" w:space="0" w:color="auto"/>
              <w:right w:val="single" w:sz="4" w:space="0" w:color="auto"/>
            </w:tcBorders>
            <w:shd w:val="clear" w:color="auto" w:fill="auto"/>
            <w:noWrap/>
            <w:vAlign w:val="center"/>
          </w:tcPr>
          <w:p w:rsidR="00D81F61" w:rsidRPr="00D81F61" w:rsidRDefault="00D81F61" w:rsidP="00D81F61">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基金</w:t>
            </w:r>
            <w:r>
              <w:rPr>
                <w:rFonts w:ascii="宋体" w:eastAsia="宋体" w:hAnsi="宋体" w:cs="宋体" w:hint="eastAsia"/>
                <w:color w:val="000000"/>
                <w:kern w:val="0"/>
              </w:rPr>
              <w:t>名称</w:t>
            </w:r>
          </w:p>
        </w:tc>
        <w:tc>
          <w:tcPr>
            <w:tcW w:w="560" w:type="pct"/>
            <w:tcBorders>
              <w:top w:val="single" w:sz="4" w:space="0" w:color="auto"/>
              <w:left w:val="nil"/>
              <w:bottom w:val="single" w:sz="4" w:space="0" w:color="auto"/>
              <w:right w:val="single" w:sz="4" w:space="0" w:color="auto"/>
            </w:tcBorders>
            <w:shd w:val="clear" w:color="auto" w:fill="auto"/>
            <w:noWrap/>
            <w:vAlign w:val="center"/>
          </w:tcPr>
          <w:p w:rsidR="00D81F61" w:rsidRPr="00D81F61" w:rsidRDefault="00D81F61" w:rsidP="00D81F61">
            <w:pPr>
              <w:widowControl/>
              <w:spacing w:line="500" w:lineRule="exact"/>
              <w:jc w:val="center"/>
              <w:rPr>
                <w:rFonts w:ascii="宋体" w:eastAsia="宋体" w:hAnsi="宋体" w:cs="宋体"/>
                <w:color w:val="000000"/>
                <w:kern w:val="0"/>
              </w:rPr>
            </w:pPr>
            <w:r w:rsidRPr="006A1924">
              <w:rPr>
                <w:rFonts w:ascii="宋体" w:eastAsia="宋体" w:hAnsi="宋体" w:cs="宋体" w:hint="eastAsia"/>
                <w:color w:val="000000"/>
                <w:kern w:val="0"/>
              </w:rPr>
              <w:t>TA类别</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310368</w:t>
            </w:r>
          </w:p>
        </w:tc>
        <w:tc>
          <w:tcPr>
            <w:tcW w:w="3760" w:type="pct"/>
            <w:tcBorders>
              <w:top w:val="single" w:sz="4" w:space="0" w:color="auto"/>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申万菱信竞争优势混合型证券投资基金A</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自建TA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015173</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申万菱信竞争优势混合型证券投资基金C</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自建TA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012051</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申万菱信乐道三年持有期混合型证券投资基金</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自建TA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011488</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申万菱信乐享混合型证券投资基金</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自建TA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310308</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申万菱信盛利精选证券投资基金</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自建TA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310328</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申万菱信新动力混合型证券投资基金</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自建TA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012210</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申万菱信智能汽车股票型证券投资基金A</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自建TA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012211</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申万菱信智能汽车股票型证券投资基金C</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自建TA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005825</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申万菱信智能驱动股票型证券投资基金A</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自建TA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015159</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申万菱信智能驱动股票型证券投资基金C</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自建TA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003986</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申万菱信中证500指数优选增强型证券投资基金A</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自建TA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007794</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申万菱信中证500指数优选增强型证券投资基金C</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自建TA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310398</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申万菱信沪深300价值指数证券投资基金A</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自建TA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007800</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申万菱信沪深300价值指数证券投资基金C</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自建TA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007983</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申万菱信中证研发创新100交易型开放式指数证券投资基金联接基金A</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自建TA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007984</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申万菱信中证研发创新100交易型开放式指数证券投资基金联接基金C</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自建TA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163116</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申万菱信中证申万电子行业投资指数型证券投资基金（LOF）A</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中登TA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010531</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申万菱信中证申万电子行业投资指数型证券投资基金（LOF）C</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中登TA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163109</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申万菱信深证成份指数型证券投资基金A</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中登TA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015177</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申万菱信深证成份指数型证券投资基金C</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中登TA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163118</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申万菱信中证申万医药生物指数型证券投资基金A</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中登TA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015176</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申万菱信中证申万医药生物指数型证券投资基金C</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中登TA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163111</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申万菱信中小企业100指数证券投资基金（LOF）A</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中登TA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007799</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申万菱信中小企业100指数证券投资基金（LOF）C</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中登TA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163114</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申万菱信中证环保产业指数型证券投资基金（LOF）A</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中登TA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010419</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申万菱信中证环保产业指数型证券投资基金（LOF）C</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中登TA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163115</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申万菱信中证军工指数型证券投资基金A</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中登TA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016209</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申万菱信中证军工指数型证券投资基金C</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中登TA</w:t>
            </w:r>
          </w:p>
        </w:tc>
      </w:tr>
      <w:tr w:rsidR="00D81F61" w:rsidRPr="00D81F61" w:rsidTr="00D81F61">
        <w:trPr>
          <w:trHeight w:val="285"/>
        </w:trPr>
        <w:tc>
          <w:tcPr>
            <w:tcW w:w="680"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163113</w:t>
            </w:r>
          </w:p>
        </w:tc>
        <w:tc>
          <w:tcPr>
            <w:tcW w:w="37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申万菱信中证申万证券行业指数型证券投资基金A</w:t>
            </w:r>
          </w:p>
        </w:tc>
        <w:tc>
          <w:tcPr>
            <w:tcW w:w="560" w:type="pct"/>
            <w:tcBorders>
              <w:top w:val="nil"/>
              <w:left w:val="nil"/>
              <w:bottom w:val="single" w:sz="4" w:space="0" w:color="auto"/>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中登TA</w:t>
            </w:r>
          </w:p>
        </w:tc>
      </w:tr>
      <w:tr w:rsidR="00D81F61" w:rsidRPr="00D81F61" w:rsidTr="00D81F61">
        <w:trPr>
          <w:trHeight w:val="285"/>
        </w:trPr>
        <w:tc>
          <w:tcPr>
            <w:tcW w:w="680" w:type="pct"/>
            <w:tcBorders>
              <w:top w:val="single" w:sz="4" w:space="0" w:color="auto"/>
              <w:left w:val="single" w:sz="4" w:space="0" w:color="000000"/>
              <w:bottom w:val="single" w:sz="4" w:space="0" w:color="5B9BD5"/>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015178</w:t>
            </w:r>
          </w:p>
        </w:tc>
        <w:tc>
          <w:tcPr>
            <w:tcW w:w="3760" w:type="pct"/>
            <w:tcBorders>
              <w:top w:val="single" w:sz="4" w:space="0" w:color="auto"/>
              <w:left w:val="single" w:sz="4" w:space="0" w:color="auto"/>
              <w:bottom w:val="single" w:sz="4" w:space="0" w:color="5B9BD5"/>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申万菱信中证申万证券行业指数型证券投资基金C</w:t>
            </w:r>
          </w:p>
        </w:tc>
        <w:tc>
          <w:tcPr>
            <w:tcW w:w="560" w:type="pct"/>
            <w:tcBorders>
              <w:top w:val="single" w:sz="4" w:space="0" w:color="auto"/>
              <w:left w:val="single" w:sz="4" w:space="0" w:color="auto"/>
              <w:bottom w:val="single" w:sz="4" w:space="0" w:color="5B9BD5"/>
              <w:right w:val="single" w:sz="4" w:space="0" w:color="auto"/>
            </w:tcBorders>
            <w:shd w:val="clear" w:color="auto" w:fill="auto"/>
            <w:noWrap/>
            <w:vAlign w:val="center"/>
            <w:hideMark/>
          </w:tcPr>
          <w:p w:rsidR="00D81F61" w:rsidRPr="00D81F61" w:rsidRDefault="00D81F61" w:rsidP="00D81F61">
            <w:pPr>
              <w:widowControl/>
              <w:spacing w:line="500" w:lineRule="exact"/>
              <w:jc w:val="center"/>
              <w:rPr>
                <w:rFonts w:ascii="宋体" w:eastAsia="宋体" w:hAnsi="宋体" w:cs="宋体"/>
                <w:color w:val="000000"/>
                <w:kern w:val="0"/>
              </w:rPr>
            </w:pPr>
            <w:r w:rsidRPr="00D81F61">
              <w:rPr>
                <w:rFonts w:ascii="宋体" w:eastAsia="宋体" w:hAnsi="宋体" w:cs="宋体" w:hint="eastAsia"/>
                <w:color w:val="000000"/>
                <w:kern w:val="0"/>
              </w:rPr>
              <w:t>中登TA</w:t>
            </w:r>
          </w:p>
        </w:tc>
      </w:tr>
    </w:tbl>
    <w:p w:rsidR="006A1924" w:rsidRDefault="006A1924" w:rsidP="006A1924">
      <w:pPr>
        <w:spacing w:line="500" w:lineRule="exact"/>
        <w:ind w:firstLineChars="200" w:firstLine="480"/>
        <w:rPr>
          <w:rFonts w:ascii="宋体" w:eastAsia="宋体" w:hAnsi="宋体"/>
          <w:sz w:val="24"/>
          <w:szCs w:val="24"/>
        </w:rPr>
      </w:pPr>
      <w:bookmarkStart w:id="0" w:name="_GoBack"/>
      <w:bookmarkEnd w:id="0"/>
      <w:r>
        <w:rPr>
          <w:rFonts w:ascii="宋体" w:eastAsia="宋体" w:hAnsi="宋体" w:hint="eastAsia"/>
          <w:sz w:val="24"/>
          <w:szCs w:val="24"/>
        </w:rPr>
        <w:t>注：1、</w:t>
      </w:r>
      <w:r w:rsidRPr="00BB0EB8">
        <w:rPr>
          <w:rFonts w:ascii="宋体" w:eastAsia="宋体" w:hAnsi="宋体" w:hint="eastAsia"/>
          <w:sz w:val="24"/>
          <w:szCs w:val="24"/>
        </w:rPr>
        <w:t>本公司旗下自建TA基金与中登（“中登”为中国证券登记结算有限公司的简称）TA基金之间不能相互转换。</w:t>
      </w:r>
      <w:r w:rsidRPr="00253AF9">
        <w:rPr>
          <w:rFonts w:ascii="宋体" w:eastAsia="宋体" w:hAnsi="宋体" w:hint="eastAsia"/>
          <w:sz w:val="24"/>
          <w:szCs w:val="24"/>
        </w:rPr>
        <w:t>2、定期开放类基金产品的业务办理时间以本公司相关公告为准。</w:t>
      </w:r>
      <w:r>
        <w:rPr>
          <w:rFonts w:ascii="宋体" w:eastAsia="宋体" w:hAnsi="宋体" w:hint="eastAsia"/>
          <w:sz w:val="24"/>
          <w:szCs w:val="24"/>
        </w:rPr>
        <w:t>3、</w:t>
      </w:r>
      <w:r w:rsidRPr="00070C2C">
        <w:rPr>
          <w:rFonts w:ascii="宋体" w:eastAsia="宋体" w:hAnsi="宋体" w:hint="eastAsia"/>
          <w:sz w:val="24"/>
          <w:szCs w:val="24"/>
        </w:rPr>
        <w:t>具体业务规则以</w:t>
      </w:r>
      <w:r>
        <w:rPr>
          <w:rFonts w:ascii="宋体" w:eastAsia="宋体" w:hAnsi="宋体" w:hint="eastAsia"/>
          <w:sz w:val="24"/>
          <w:szCs w:val="24"/>
        </w:rPr>
        <w:t>各代销机构的规定为准。</w:t>
      </w:r>
    </w:p>
    <w:p w:rsidR="006166C0" w:rsidRPr="005A334B" w:rsidRDefault="00B153C9" w:rsidP="00B153C9">
      <w:pPr>
        <w:spacing w:line="500" w:lineRule="exact"/>
        <w:ind w:left="480"/>
        <w:rPr>
          <w:rFonts w:ascii="宋体" w:eastAsia="宋体" w:hAnsi="宋体"/>
          <w:sz w:val="24"/>
          <w:szCs w:val="24"/>
        </w:rPr>
      </w:pPr>
      <w:r>
        <w:rPr>
          <w:rFonts w:ascii="宋体" w:eastAsia="宋体" w:hAnsi="宋体" w:hint="eastAsia"/>
          <w:sz w:val="24"/>
          <w:szCs w:val="24"/>
        </w:rPr>
        <w:t>二、咨询方式</w:t>
      </w:r>
    </w:p>
    <w:p w:rsidR="00E25011" w:rsidRPr="00070C2C" w:rsidRDefault="00C97E58" w:rsidP="00B153C9">
      <w:pPr>
        <w:spacing w:line="500" w:lineRule="exact"/>
        <w:ind w:firstLineChars="200" w:firstLine="480"/>
        <w:rPr>
          <w:rFonts w:ascii="宋体" w:eastAsia="宋体" w:hAnsi="宋体"/>
          <w:sz w:val="24"/>
          <w:szCs w:val="24"/>
        </w:rPr>
      </w:pPr>
      <w:r>
        <w:rPr>
          <w:rFonts w:ascii="宋体" w:eastAsia="宋体" w:hAnsi="宋体" w:hint="eastAsia"/>
          <w:sz w:val="24"/>
          <w:szCs w:val="24"/>
        </w:rPr>
        <w:t>1、</w:t>
      </w:r>
      <w:r w:rsidR="006A1924">
        <w:rPr>
          <w:rFonts w:ascii="宋体" w:eastAsia="宋体" w:hAnsi="宋体" w:hint="eastAsia"/>
          <w:sz w:val="24"/>
          <w:szCs w:val="24"/>
        </w:rPr>
        <w:t>东方财富证券股份有限公司</w:t>
      </w:r>
    </w:p>
    <w:p w:rsidR="006A1924" w:rsidRDefault="006A1924" w:rsidP="006A1924">
      <w:pPr>
        <w:spacing w:line="500" w:lineRule="exact"/>
        <w:ind w:firstLineChars="200" w:firstLine="480"/>
        <w:rPr>
          <w:rFonts w:ascii="宋体" w:eastAsia="宋体" w:hAnsi="宋体"/>
          <w:sz w:val="24"/>
          <w:szCs w:val="24"/>
        </w:rPr>
      </w:pPr>
      <w:r w:rsidRPr="00070C2C">
        <w:rPr>
          <w:rFonts w:ascii="宋体" w:eastAsia="宋体" w:hAnsi="宋体" w:hint="eastAsia"/>
          <w:sz w:val="24"/>
          <w:szCs w:val="24"/>
        </w:rPr>
        <w:t>客服电话：</w:t>
      </w:r>
      <w:r w:rsidRPr="000B530F">
        <w:rPr>
          <w:rFonts w:ascii="宋体" w:eastAsia="宋体" w:hAnsi="宋体"/>
          <w:sz w:val="24"/>
          <w:szCs w:val="24"/>
        </w:rPr>
        <w:t>95</w:t>
      </w:r>
      <w:r>
        <w:rPr>
          <w:rFonts w:ascii="宋体" w:eastAsia="宋体" w:hAnsi="宋体"/>
          <w:sz w:val="24"/>
          <w:szCs w:val="24"/>
        </w:rPr>
        <w:t>357</w:t>
      </w:r>
    </w:p>
    <w:p w:rsidR="006A1924" w:rsidRDefault="000B530F" w:rsidP="00B153C9">
      <w:pPr>
        <w:spacing w:line="500" w:lineRule="exact"/>
        <w:ind w:firstLineChars="200" w:firstLine="480"/>
        <w:rPr>
          <w:rFonts w:ascii="宋体" w:eastAsia="宋体" w:hAnsi="宋体"/>
          <w:sz w:val="24"/>
          <w:szCs w:val="24"/>
        </w:rPr>
      </w:pPr>
      <w:r w:rsidRPr="00070C2C">
        <w:rPr>
          <w:rFonts w:ascii="宋体" w:eastAsia="宋体" w:hAnsi="宋体" w:hint="eastAsia"/>
          <w:sz w:val="24"/>
          <w:szCs w:val="24"/>
        </w:rPr>
        <w:t>官方网站：</w:t>
      </w:r>
      <w:r w:rsidR="006A1924" w:rsidRPr="003D641A">
        <w:rPr>
          <w:rFonts w:ascii="宋体" w:eastAsia="宋体" w:hAnsi="宋体"/>
          <w:sz w:val="24"/>
          <w:szCs w:val="24"/>
        </w:rPr>
        <w:t>www.xzsec.com</w:t>
      </w:r>
    </w:p>
    <w:p w:rsidR="006A1924" w:rsidRDefault="00CA73A8" w:rsidP="00B153C9">
      <w:pPr>
        <w:spacing w:line="500" w:lineRule="exact"/>
        <w:ind w:firstLineChars="200" w:firstLine="480"/>
        <w:rPr>
          <w:rFonts w:ascii="宋体" w:eastAsia="宋体" w:hAnsi="宋体"/>
          <w:sz w:val="24"/>
          <w:szCs w:val="24"/>
        </w:rPr>
      </w:pPr>
      <w:r>
        <w:rPr>
          <w:rFonts w:ascii="宋体" w:eastAsia="宋体" w:hAnsi="宋体"/>
          <w:sz w:val="24"/>
          <w:szCs w:val="24"/>
        </w:rPr>
        <w:t>2</w:t>
      </w:r>
      <w:r w:rsidR="003748D9">
        <w:rPr>
          <w:rFonts w:ascii="宋体" w:eastAsia="宋体" w:hAnsi="宋体" w:hint="eastAsia"/>
          <w:sz w:val="24"/>
          <w:szCs w:val="24"/>
        </w:rPr>
        <w:t>、</w:t>
      </w:r>
      <w:r w:rsidR="006A1924" w:rsidRPr="006A1924">
        <w:rPr>
          <w:rFonts w:ascii="宋体" w:eastAsia="宋体" w:hAnsi="宋体" w:hint="eastAsia"/>
          <w:sz w:val="24"/>
          <w:szCs w:val="24"/>
        </w:rPr>
        <w:t>华瑞保险销售有限公司</w:t>
      </w:r>
    </w:p>
    <w:p w:rsidR="006A1924" w:rsidRDefault="006A1924" w:rsidP="00B153C9">
      <w:pPr>
        <w:spacing w:line="500" w:lineRule="exact"/>
        <w:ind w:firstLineChars="200" w:firstLine="480"/>
        <w:rPr>
          <w:rFonts w:ascii="宋体" w:eastAsia="宋体" w:hAnsi="宋体"/>
          <w:sz w:val="24"/>
          <w:szCs w:val="24"/>
        </w:rPr>
      </w:pPr>
      <w:r>
        <w:rPr>
          <w:rFonts w:ascii="宋体" w:eastAsia="宋体" w:hAnsi="宋体" w:hint="eastAsia"/>
          <w:sz w:val="24"/>
          <w:szCs w:val="24"/>
        </w:rPr>
        <w:t>客服电话：</w:t>
      </w:r>
      <w:r w:rsidRPr="006A1924">
        <w:rPr>
          <w:rFonts w:ascii="宋体" w:eastAsia="宋体" w:hAnsi="宋体"/>
          <w:sz w:val="24"/>
          <w:szCs w:val="24"/>
        </w:rPr>
        <w:t>952303</w:t>
      </w:r>
    </w:p>
    <w:p w:rsidR="006A1924" w:rsidRDefault="006A1924" w:rsidP="00B153C9">
      <w:pPr>
        <w:spacing w:line="500" w:lineRule="exact"/>
        <w:ind w:firstLineChars="200" w:firstLine="480"/>
        <w:rPr>
          <w:rFonts w:ascii="宋体" w:eastAsia="宋体" w:hAnsi="宋体"/>
          <w:sz w:val="24"/>
          <w:szCs w:val="24"/>
        </w:rPr>
      </w:pPr>
      <w:r>
        <w:rPr>
          <w:rFonts w:ascii="宋体" w:eastAsia="宋体" w:hAnsi="宋体" w:hint="eastAsia"/>
          <w:sz w:val="24"/>
          <w:szCs w:val="24"/>
        </w:rPr>
        <w:t>官方网站：</w:t>
      </w:r>
      <w:r w:rsidRPr="006A1924">
        <w:rPr>
          <w:rFonts w:ascii="宋体" w:eastAsia="宋体" w:hAnsi="宋体"/>
          <w:sz w:val="24"/>
          <w:szCs w:val="24"/>
        </w:rPr>
        <w:t>www.huaruisales.com</w:t>
      </w:r>
    </w:p>
    <w:p w:rsidR="00D81F61" w:rsidRDefault="006A1924" w:rsidP="00B153C9">
      <w:pPr>
        <w:spacing w:line="500" w:lineRule="exact"/>
        <w:ind w:firstLineChars="200" w:firstLine="480"/>
        <w:rPr>
          <w:rFonts w:ascii="宋体" w:eastAsia="宋体" w:hAnsi="宋体"/>
          <w:sz w:val="24"/>
          <w:szCs w:val="24"/>
        </w:rPr>
      </w:pPr>
      <w:r>
        <w:rPr>
          <w:rFonts w:ascii="宋体" w:eastAsia="宋体" w:hAnsi="宋体" w:hint="eastAsia"/>
          <w:sz w:val="24"/>
          <w:szCs w:val="24"/>
        </w:rPr>
        <w:t>3、</w:t>
      </w:r>
      <w:r w:rsidR="00D81F61">
        <w:rPr>
          <w:rFonts w:ascii="宋体" w:eastAsia="宋体" w:hAnsi="宋体" w:hint="eastAsia"/>
          <w:sz w:val="24"/>
          <w:szCs w:val="24"/>
        </w:rPr>
        <w:t>兴业银行银银平台</w:t>
      </w:r>
    </w:p>
    <w:p w:rsidR="00D81F61" w:rsidRDefault="00D81F61" w:rsidP="00B153C9">
      <w:pPr>
        <w:spacing w:line="500" w:lineRule="exact"/>
        <w:ind w:firstLineChars="200" w:firstLine="480"/>
        <w:rPr>
          <w:rFonts w:ascii="宋体" w:eastAsia="宋体" w:hAnsi="宋体"/>
          <w:sz w:val="24"/>
          <w:szCs w:val="24"/>
        </w:rPr>
      </w:pPr>
      <w:r>
        <w:rPr>
          <w:rFonts w:ascii="宋体" w:eastAsia="宋体" w:hAnsi="宋体" w:hint="eastAsia"/>
          <w:sz w:val="24"/>
          <w:szCs w:val="24"/>
        </w:rPr>
        <w:t>客服电话：</w:t>
      </w:r>
      <w:r w:rsidRPr="00D81F61">
        <w:rPr>
          <w:rFonts w:ascii="宋体" w:eastAsia="宋体" w:hAnsi="宋体" w:hint="eastAsia"/>
          <w:sz w:val="24"/>
          <w:szCs w:val="24"/>
        </w:rPr>
        <w:t>95561</w:t>
      </w:r>
    </w:p>
    <w:p w:rsidR="00D81F61" w:rsidRPr="00D81F61" w:rsidRDefault="00D81F61" w:rsidP="00B153C9">
      <w:pPr>
        <w:spacing w:line="500" w:lineRule="exact"/>
        <w:ind w:firstLineChars="200" w:firstLine="480"/>
        <w:rPr>
          <w:rFonts w:ascii="宋体" w:eastAsia="宋体" w:hAnsi="宋体"/>
          <w:sz w:val="24"/>
          <w:szCs w:val="24"/>
        </w:rPr>
      </w:pPr>
      <w:r>
        <w:rPr>
          <w:rFonts w:ascii="宋体" w:eastAsia="宋体" w:hAnsi="宋体" w:hint="eastAsia"/>
          <w:sz w:val="24"/>
          <w:szCs w:val="24"/>
        </w:rPr>
        <w:t>官方网站：</w:t>
      </w:r>
      <w:r w:rsidRPr="00D81F61">
        <w:rPr>
          <w:rFonts w:ascii="宋体" w:eastAsia="宋体" w:hAnsi="宋体" w:hint="eastAsia"/>
          <w:sz w:val="24"/>
          <w:szCs w:val="24"/>
        </w:rPr>
        <w:t>f.cib.com.cn/firm/main/mainx</w:t>
      </w:r>
    </w:p>
    <w:p w:rsidR="00C97E58" w:rsidRPr="00C97E58" w:rsidRDefault="00D81F61" w:rsidP="00B153C9">
      <w:pPr>
        <w:spacing w:line="500" w:lineRule="exact"/>
        <w:ind w:firstLineChars="200" w:firstLine="480"/>
        <w:rPr>
          <w:rFonts w:ascii="宋体" w:eastAsia="宋体" w:hAnsi="宋体"/>
          <w:sz w:val="24"/>
          <w:szCs w:val="24"/>
        </w:rPr>
      </w:pPr>
      <w:r>
        <w:rPr>
          <w:rFonts w:ascii="宋体" w:eastAsia="宋体" w:hAnsi="宋体" w:hint="eastAsia"/>
          <w:sz w:val="24"/>
          <w:szCs w:val="24"/>
        </w:rPr>
        <w:t>4、</w:t>
      </w:r>
      <w:r w:rsidR="00C97E58" w:rsidRPr="00C97E58">
        <w:rPr>
          <w:rFonts w:ascii="宋体" w:eastAsia="宋体" w:hAnsi="宋体" w:hint="eastAsia"/>
          <w:sz w:val="24"/>
          <w:szCs w:val="24"/>
        </w:rPr>
        <w:t>申万菱信基金管理有限公司</w:t>
      </w:r>
    </w:p>
    <w:p w:rsidR="006A1924" w:rsidRPr="00C97E58" w:rsidRDefault="006A1924" w:rsidP="006A1924">
      <w:pPr>
        <w:spacing w:line="500" w:lineRule="exact"/>
        <w:ind w:firstLineChars="200" w:firstLine="480"/>
        <w:rPr>
          <w:rFonts w:ascii="宋体" w:eastAsia="宋体" w:hAnsi="宋体"/>
          <w:sz w:val="24"/>
          <w:szCs w:val="24"/>
        </w:rPr>
      </w:pPr>
      <w:r w:rsidRPr="00C97E58">
        <w:rPr>
          <w:rFonts w:ascii="宋体" w:eastAsia="宋体" w:hAnsi="宋体" w:hint="eastAsia"/>
          <w:sz w:val="24"/>
          <w:szCs w:val="24"/>
        </w:rPr>
        <w:t>客服电话：</w:t>
      </w:r>
      <w:r w:rsidRPr="00C97E58">
        <w:rPr>
          <w:rFonts w:ascii="宋体" w:eastAsia="宋体" w:hAnsi="宋体"/>
          <w:sz w:val="24"/>
          <w:szCs w:val="24"/>
        </w:rPr>
        <w:t>400-880-8588（免长途话费）或021-962299</w:t>
      </w:r>
    </w:p>
    <w:p w:rsidR="00C97E58" w:rsidRPr="00C97E58" w:rsidRDefault="00BB0EB8" w:rsidP="00B153C9">
      <w:pPr>
        <w:spacing w:line="500" w:lineRule="exact"/>
        <w:ind w:firstLineChars="200" w:firstLine="480"/>
        <w:rPr>
          <w:rFonts w:ascii="宋体" w:eastAsia="宋体" w:hAnsi="宋体"/>
          <w:sz w:val="24"/>
          <w:szCs w:val="24"/>
        </w:rPr>
      </w:pPr>
      <w:r>
        <w:rPr>
          <w:rFonts w:ascii="宋体" w:eastAsia="宋体" w:hAnsi="宋体" w:hint="eastAsia"/>
          <w:sz w:val="24"/>
          <w:szCs w:val="24"/>
        </w:rPr>
        <w:t>官方</w:t>
      </w:r>
      <w:r w:rsidR="00C97E58" w:rsidRPr="00C97E58">
        <w:rPr>
          <w:rFonts w:ascii="宋体" w:eastAsia="宋体" w:hAnsi="宋体" w:hint="eastAsia"/>
          <w:sz w:val="24"/>
          <w:szCs w:val="24"/>
        </w:rPr>
        <w:t>网站：</w:t>
      </w:r>
      <w:r w:rsidR="00C97E58" w:rsidRPr="00C97E58">
        <w:rPr>
          <w:rFonts w:ascii="宋体" w:eastAsia="宋体" w:hAnsi="宋体"/>
          <w:sz w:val="24"/>
          <w:szCs w:val="24"/>
        </w:rPr>
        <w:t>www.swsmu.com</w:t>
      </w:r>
    </w:p>
    <w:p w:rsidR="00C84140" w:rsidRPr="00070C2C" w:rsidRDefault="00C84140" w:rsidP="00B153C9">
      <w:pPr>
        <w:spacing w:line="500" w:lineRule="exact"/>
        <w:ind w:firstLineChars="200" w:firstLine="480"/>
        <w:rPr>
          <w:rFonts w:ascii="宋体" w:eastAsia="宋体" w:hAnsi="宋体"/>
          <w:sz w:val="24"/>
          <w:szCs w:val="24"/>
        </w:rPr>
      </w:pPr>
      <w:r w:rsidRPr="00070C2C">
        <w:rPr>
          <w:rFonts w:ascii="宋体" w:eastAsia="宋体" w:hAnsi="宋体" w:hint="eastAsia"/>
          <w:sz w:val="24"/>
          <w:szCs w:val="24"/>
        </w:rPr>
        <w:t>欢迎广大投资者垂询、惠顾办理本公司旗下各基金的开户、</w:t>
      </w:r>
      <w:r w:rsidR="00AF6356" w:rsidRPr="00070C2C">
        <w:rPr>
          <w:rFonts w:ascii="宋体" w:eastAsia="宋体" w:hAnsi="宋体" w:hint="eastAsia"/>
          <w:sz w:val="24"/>
          <w:szCs w:val="24"/>
        </w:rPr>
        <w:t>认购、申购、定投、转换等</w:t>
      </w:r>
      <w:r w:rsidRPr="00070C2C">
        <w:rPr>
          <w:rFonts w:ascii="宋体" w:eastAsia="宋体" w:hAnsi="宋体" w:hint="eastAsia"/>
          <w:sz w:val="24"/>
          <w:szCs w:val="24"/>
        </w:rPr>
        <w:t>业务。</w:t>
      </w:r>
    </w:p>
    <w:p w:rsidR="00C84140" w:rsidRDefault="00C84140" w:rsidP="00B153C9">
      <w:pPr>
        <w:spacing w:line="500" w:lineRule="exact"/>
        <w:ind w:firstLineChars="200" w:firstLine="480"/>
        <w:rPr>
          <w:rFonts w:ascii="宋体" w:eastAsia="宋体" w:hAnsi="宋体"/>
          <w:sz w:val="24"/>
          <w:szCs w:val="24"/>
        </w:rPr>
      </w:pPr>
      <w:r w:rsidRPr="00070C2C">
        <w:rPr>
          <w:rFonts w:ascii="宋体" w:eastAsia="宋体" w:hAnsi="宋体" w:hint="eastAsia"/>
          <w:sz w:val="24"/>
          <w:szCs w:val="24"/>
        </w:rPr>
        <w:t>特此公告。</w:t>
      </w:r>
    </w:p>
    <w:p w:rsidR="00C84140" w:rsidRPr="00070C2C" w:rsidRDefault="00C84140" w:rsidP="00B153C9">
      <w:pPr>
        <w:spacing w:line="500" w:lineRule="exact"/>
        <w:jc w:val="right"/>
        <w:rPr>
          <w:rFonts w:ascii="宋体" w:eastAsia="宋体" w:hAnsi="宋体"/>
          <w:sz w:val="24"/>
          <w:szCs w:val="24"/>
        </w:rPr>
      </w:pPr>
      <w:r w:rsidRPr="00070C2C">
        <w:rPr>
          <w:rFonts w:ascii="宋体" w:eastAsia="宋体" w:hAnsi="宋体" w:hint="eastAsia"/>
          <w:sz w:val="24"/>
          <w:szCs w:val="24"/>
        </w:rPr>
        <w:t>申万菱信基金管理有限公司</w:t>
      </w:r>
    </w:p>
    <w:p w:rsidR="00C84140" w:rsidRPr="000D53AC" w:rsidRDefault="00C84140" w:rsidP="00B153C9">
      <w:pPr>
        <w:spacing w:line="500" w:lineRule="exact"/>
        <w:jc w:val="right"/>
        <w:rPr>
          <w:rFonts w:asciiTheme="minorEastAsia" w:hAnsiTheme="minorEastAsia"/>
          <w:sz w:val="24"/>
          <w:szCs w:val="24"/>
        </w:rPr>
      </w:pPr>
      <w:r w:rsidRPr="00070C2C">
        <w:rPr>
          <w:rFonts w:ascii="宋体" w:eastAsia="宋体" w:hAnsi="宋体" w:hint="eastAsia"/>
          <w:sz w:val="24"/>
          <w:szCs w:val="24"/>
        </w:rPr>
        <w:t>20</w:t>
      </w:r>
      <w:r w:rsidR="008B072A" w:rsidRPr="00070C2C">
        <w:rPr>
          <w:rFonts w:ascii="宋体" w:eastAsia="宋体" w:hAnsi="宋体" w:hint="eastAsia"/>
          <w:sz w:val="24"/>
          <w:szCs w:val="24"/>
        </w:rPr>
        <w:t>2</w:t>
      </w:r>
      <w:r w:rsidR="00070C2C" w:rsidRPr="00070C2C">
        <w:rPr>
          <w:rFonts w:ascii="宋体" w:eastAsia="宋体" w:hAnsi="宋体"/>
          <w:sz w:val="24"/>
          <w:szCs w:val="24"/>
        </w:rPr>
        <w:t>2</w:t>
      </w:r>
      <w:r w:rsidRPr="00070C2C">
        <w:rPr>
          <w:rFonts w:ascii="宋体" w:eastAsia="宋体" w:hAnsi="宋体" w:hint="eastAsia"/>
          <w:sz w:val="24"/>
          <w:szCs w:val="24"/>
        </w:rPr>
        <w:t>年</w:t>
      </w:r>
      <w:r w:rsidR="006A1924">
        <w:rPr>
          <w:rFonts w:ascii="宋体" w:eastAsia="宋体" w:hAnsi="宋体"/>
          <w:sz w:val="24"/>
          <w:szCs w:val="24"/>
        </w:rPr>
        <w:t>12</w:t>
      </w:r>
      <w:r w:rsidRPr="00070C2C">
        <w:rPr>
          <w:rFonts w:ascii="宋体" w:eastAsia="宋体" w:hAnsi="宋体" w:hint="eastAsia"/>
          <w:sz w:val="24"/>
          <w:szCs w:val="24"/>
        </w:rPr>
        <w:t>月</w:t>
      </w:r>
      <w:r w:rsidR="006A1924">
        <w:rPr>
          <w:rFonts w:ascii="宋体" w:eastAsia="宋体" w:hAnsi="宋体"/>
          <w:sz w:val="24"/>
          <w:szCs w:val="24"/>
        </w:rPr>
        <w:t>7</w:t>
      </w:r>
      <w:r w:rsidRPr="00070C2C">
        <w:rPr>
          <w:rFonts w:ascii="宋体" w:eastAsia="宋体" w:hAnsi="宋体" w:hint="eastAsia"/>
          <w:sz w:val="24"/>
          <w:szCs w:val="24"/>
        </w:rPr>
        <w:t>日</w:t>
      </w:r>
    </w:p>
    <w:sectPr w:rsidR="00C84140" w:rsidRPr="000D53AC" w:rsidSect="000236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CF5" w:rsidRDefault="00D07CF5" w:rsidP="005D4BEE">
      <w:r>
        <w:separator/>
      </w:r>
    </w:p>
  </w:endnote>
  <w:endnote w:type="continuationSeparator" w:id="0">
    <w:p w:rsidR="00D07CF5" w:rsidRDefault="00D07CF5" w:rsidP="005D4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CF5" w:rsidRDefault="00D07CF5" w:rsidP="005D4BEE">
      <w:r>
        <w:separator/>
      </w:r>
    </w:p>
  </w:footnote>
  <w:footnote w:type="continuationSeparator" w:id="0">
    <w:p w:rsidR="00D07CF5" w:rsidRDefault="00D07CF5" w:rsidP="005D4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01648"/>
    <w:multiLevelType w:val="hybridMultilevel"/>
    <w:tmpl w:val="E7D42DEA"/>
    <w:lvl w:ilvl="0" w:tplc="FC24B922">
      <w:start w:val="1"/>
      <w:numFmt w:val="decimal"/>
      <w:suff w:val="nothing"/>
      <w:lvlText w:val="%1、"/>
      <w:lvlJc w:val="left"/>
      <w:pPr>
        <w:ind w:left="90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8A78F3"/>
    <w:multiLevelType w:val="hybridMultilevel"/>
    <w:tmpl w:val="11F2EFE0"/>
    <w:lvl w:ilvl="0" w:tplc="B93841B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4140"/>
    <w:rsid w:val="0002360D"/>
    <w:rsid w:val="00023BF5"/>
    <w:rsid w:val="0005384C"/>
    <w:rsid w:val="00062E5E"/>
    <w:rsid w:val="0006394B"/>
    <w:rsid w:val="00070C2C"/>
    <w:rsid w:val="0008747A"/>
    <w:rsid w:val="000A49AD"/>
    <w:rsid w:val="000B530F"/>
    <w:rsid w:val="000B62C9"/>
    <w:rsid w:val="000D53AC"/>
    <w:rsid w:val="00253AF9"/>
    <w:rsid w:val="00270DD4"/>
    <w:rsid w:val="00304C74"/>
    <w:rsid w:val="003477BB"/>
    <w:rsid w:val="00363A10"/>
    <w:rsid w:val="003748D9"/>
    <w:rsid w:val="003D5218"/>
    <w:rsid w:val="003D641A"/>
    <w:rsid w:val="00462D99"/>
    <w:rsid w:val="00467228"/>
    <w:rsid w:val="004C2C5D"/>
    <w:rsid w:val="004C5270"/>
    <w:rsid w:val="004F51DB"/>
    <w:rsid w:val="00502B4E"/>
    <w:rsid w:val="005119FF"/>
    <w:rsid w:val="005A334B"/>
    <w:rsid w:val="005D4BEE"/>
    <w:rsid w:val="006132E0"/>
    <w:rsid w:val="006166C0"/>
    <w:rsid w:val="00622BA6"/>
    <w:rsid w:val="00657E09"/>
    <w:rsid w:val="00662087"/>
    <w:rsid w:val="00675900"/>
    <w:rsid w:val="006A1924"/>
    <w:rsid w:val="006C1367"/>
    <w:rsid w:val="0071668B"/>
    <w:rsid w:val="00777F23"/>
    <w:rsid w:val="007A0644"/>
    <w:rsid w:val="007B04A5"/>
    <w:rsid w:val="007E2D28"/>
    <w:rsid w:val="00890EB2"/>
    <w:rsid w:val="008B05C7"/>
    <w:rsid w:val="008B072A"/>
    <w:rsid w:val="008C7D9E"/>
    <w:rsid w:val="009206DF"/>
    <w:rsid w:val="00993121"/>
    <w:rsid w:val="00A305EB"/>
    <w:rsid w:val="00A56168"/>
    <w:rsid w:val="00AB6267"/>
    <w:rsid w:val="00AF6356"/>
    <w:rsid w:val="00B153C9"/>
    <w:rsid w:val="00B25E5D"/>
    <w:rsid w:val="00B44206"/>
    <w:rsid w:val="00B562EB"/>
    <w:rsid w:val="00B827CA"/>
    <w:rsid w:val="00BB0EB8"/>
    <w:rsid w:val="00BE05FC"/>
    <w:rsid w:val="00C301EB"/>
    <w:rsid w:val="00C84140"/>
    <w:rsid w:val="00C97E58"/>
    <w:rsid w:val="00CA73A8"/>
    <w:rsid w:val="00D07CF5"/>
    <w:rsid w:val="00D51E54"/>
    <w:rsid w:val="00D565F2"/>
    <w:rsid w:val="00D81F61"/>
    <w:rsid w:val="00DB2266"/>
    <w:rsid w:val="00DB550B"/>
    <w:rsid w:val="00DF2B34"/>
    <w:rsid w:val="00E25011"/>
    <w:rsid w:val="00E460F9"/>
    <w:rsid w:val="00E55787"/>
    <w:rsid w:val="00E72DB5"/>
    <w:rsid w:val="00EA238D"/>
    <w:rsid w:val="00EC4B43"/>
    <w:rsid w:val="00ED6FF1"/>
    <w:rsid w:val="00EE5D6B"/>
    <w:rsid w:val="00EF046C"/>
    <w:rsid w:val="00F0654A"/>
    <w:rsid w:val="00F06A67"/>
    <w:rsid w:val="00F62DC9"/>
    <w:rsid w:val="00F77FB0"/>
    <w:rsid w:val="00FA0BD7"/>
    <w:rsid w:val="00FB2D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6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F51DB"/>
    <w:rPr>
      <w:color w:val="0000FF" w:themeColor="hyperlink"/>
      <w:u w:val="single"/>
    </w:rPr>
  </w:style>
  <w:style w:type="paragraph" w:styleId="a4">
    <w:name w:val="header"/>
    <w:basedOn w:val="a"/>
    <w:link w:val="Char"/>
    <w:uiPriority w:val="99"/>
    <w:unhideWhenUsed/>
    <w:rsid w:val="005D4B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D4BEE"/>
    <w:rPr>
      <w:sz w:val="18"/>
      <w:szCs w:val="18"/>
    </w:rPr>
  </w:style>
  <w:style w:type="paragraph" w:styleId="a5">
    <w:name w:val="footer"/>
    <w:basedOn w:val="a"/>
    <w:link w:val="Char0"/>
    <w:uiPriority w:val="99"/>
    <w:unhideWhenUsed/>
    <w:rsid w:val="005D4BEE"/>
    <w:pPr>
      <w:tabs>
        <w:tab w:val="center" w:pos="4153"/>
        <w:tab w:val="right" w:pos="8306"/>
      </w:tabs>
      <w:snapToGrid w:val="0"/>
      <w:jc w:val="left"/>
    </w:pPr>
    <w:rPr>
      <w:sz w:val="18"/>
      <w:szCs w:val="18"/>
    </w:rPr>
  </w:style>
  <w:style w:type="character" w:customStyle="1" w:styleId="Char0">
    <w:name w:val="页脚 Char"/>
    <w:basedOn w:val="a0"/>
    <w:link w:val="a5"/>
    <w:uiPriority w:val="99"/>
    <w:rsid w:val="005D4BEE"/>
    <w:rPr>
      <w:sz w:val="18"/>
      <w:szCs w:val="18"/>
    </w:rPr>
  </w:style>
  <w:style w:type="table" w:styleId="a6">
    <w:name w:val="Table Grid"/>
    <w:basedOn w:val="a1"/>
    <w:uiPriority w:val="59"/>
    <w:rsid w:val="00053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44206"/>
    <w:pPr>
      <w:ind w:firstLineChars="200" w:firstLine="420"/>
    </w:pPr>
  </w:style>
  <w:style w:type="character" w:styleId="a8">
    <w:name w:val="annotation reference"/>
    <w:basedOn w:val="a0"/>
    <w:uiPriority w:val="99"/>
    <w:semiHidden/>
    <w:unhideWhenUsed/>
    <w:rsid w:val="00F62DC9"/>
    <w:rPr>
      <w:sz w:val="21"/>
      <w:szCs w:val="21"/>
    </w:rPr>
  </w:style>
  <w:style w:type="paragraph" w:styleId="a9">
    <w:name w:val="annotation text"/>
    <w:basedOn w:val="a"/>
    <w:link w:val="Char1"/>
    <w:uiPriority w:val="99"/>
    <w:semiHidden/>
    <w:unhideWhenUsed/>
    <w:rsid w:val="00F62DC9"/>
    <w:pPr>
      <w:jc w:val="left"/>
    </w:pPr>
  </w:style>
  <w:style w:type="character" w:customStyle="1" w:styleId="Char1">
    <w:name w:val="批注文字 Char"/>
    <w:basedOn w:val="a0"/>
    <w:link w:val="a9"/>
    <w:uiPriority w:val="99"/>
    <w:semiHidden/>
    <w:rsid w:val="00F62DC9"/>
  </w:style>
  <w:style w:type="paragraph" w:styleId="aa">
    <w:name w:val="annotation subject"/>
    <w:basedOn w:val="a9"/>
    <w:next w:val="a9"/>
    <w:link w:val="Char2"/>
    <w:uiPriority w:val="99"/>
    <w:semiHidden/>
    <w:unhideWhenUsed/>
    <w:rsid w:val="00F62DC9"/>
    <w:rPr>
      <w:b/>
      <w:bCs/>
    </w:rPr>
  </w:style>
  <w:style w:type="character" w:customStyle="1" w:styleId="Char2">
    <w:name w:val="批注主题 Char"/>
    <w:basedOn w:val="Char1"/>
    <w:link w:val="aa"/>
    <w:uiPriority w:val="99"/>
    <w:semiHidden/>
    <w:rsid w:val="00F62DC9"/>
    <w:rPr>
      <w:b/>
      <w:bCs/>
    </w:rPr>
  </w:style>
  <w:style w:type="paragraph" w:styleId="ab">
    <w:name w:val="Balloon Text"/>
    <w:basedOn w:val="a"/>
    <w:link w:val="Char3"/>
    <w:uiPriority w:val="99"/>
    <w:semiHidden/>
    <w:unhideWhenUsed/>
    <w:rsid w:val="00F62DC9"/>
    <w:rPr>
      <w:sz w:val="18"/>
      <w:szCs w:val="18"/>
    </w:rPr>
  </w:style>
  <w:style w:type="character" w:customStyle="1" w:styleId="Char3">
    <w:name w:val="批注框文本 Char"/>
    <w:basedOn w:val="a0"/>
    <w:link w:val="ab"/>
    <w:uiPriority w:val="99"/>
    <w:semiHidden/>
    <w:rsid w:val="00F62DC9"/>
    <w:rPr>
      <w:sz w:val="18"/>
      <w:szCs w:val="18"/>
    </w:rPr>
  </w:style>
  <w:style w:type="paragraph" w:styleId="ac">
    <w:name w:val="Revision"/>
    <w:hidden/>
    <w:uiPriority w:val="99"/>
    <w:semiHidden/>
    <w:rsid w:val="00467228"/>
  </w:style>
</w:styles>
</file>

<file path=word/webSettings.xml><?xml version="1.0" encoding="utf-8"?>
<w:webSettings xmlns:r="http://schemas.openxmlformats.org/officeDocument/2006/relationships" xmlns:w="http://schemas.openxmlformats.org/wordprocessingml/2006/main">
  <w:divs>
    <w:div w:id="76632223">
      <w:bodyDiv w:val="1"/>
      <w:marLeft w:val="0"/>
      <w:marRight w:val="0"/>
      <w:marTop w:val="0"/>
      <w:marBottom w:val="0"/>
      <w:divBdr>
        <w:top w:val="none" w:sz="0" w:space="0" w:color="auto"/>
        <w:left w:val="none" w:sz="0" w:space="0" w:color="auto"/>
        <w:bottom w:val="none" w:sz="0" w:space="0" w:color="auto"/>
        <w:right w:val="none" w:sz="0" w:space="0" w:color="auto"/>
      </w:divBdr>
    </w:div>
    <w:div w:id="336346593">
      <w:bodyDiv w:val="1"/>
      <w:marLeft w:val="0"/>
      <w:marRight w:val="0"/>
      <w:marTop w:val="0"/>
      <w:marBottom w:val="0"/>
      <w:divBdr>
        <w:top w:val="none" w:sz="0" w:space="0" w:color="auto"/>
        <w:left w:val="none" w:sz="0" w:space="0" w:color="auto"/>
        <w:bottom w:val="none" w:sz="0" w:space="0" w:color="auto"/>
        <w:right w:val="none" w:sz="0" w:space="0" w:color="auto"/>
      </w:divBdr>
    </w:div>
    <w:div w:id="411855479">
      <w:bodyDiv w:val="1"/>
      <w:marLeft w:val="0"/>
      <w:marRight w:val="0"/>
      <w:marTop w:val="0"/>
      <w:marBottom w:val="0"/>
      <w:divBdr>
        <w:top w:val="none" w:sz="0" w:space="0" w:color="auto"/>
        <w:left w:val="none" w:sz="0" w:space="0" w:color="auto"/>
        <w:bottom w:val="none" w:sz="0" w:space="0" w:color="auto"/>
        <w:right w:val="none" w:sz="0" w:space="0" w:color="auto"/>
      </w:divBdr>
    </w:div>
    <w:div w:id="459037904">
      <w:bodyDiv w:val="1"/>
      <w:marLeft w:val="0"/>
      <w:marRight w:val="0"/>
      <w:marTop w:val="0"/>
      <w:marBottom w:val="0"/>
      <w:divBdr>
        <w:top w:val="none" w:sz="0" w:space="0" w:color="auto"/>
        <w:left w:val="none" w:sz="0" w:space="0" w:color="auto"/>
        <w:bottom w:val="none" w:sz="0" w:space="0" w:color="auto"/>
        <w:right w:val="none" w:sz="0" w:space="0" w:color="auto"/>
      </w:divBdr>
    </w:div>
    <w:div w:id="548759250">
      <w:bodyDiv w:val="1"/>
      <w:marLeft w:val="0"/>
      <w:marRight w:val="0"/>
      <w:marTop w:val="0"/>
      <w:marBottom w:val="0"/>
      <w:divBdr>
        <w:top w:val="none" w:sz="0" w:space="0" w:color="auto"/>
        <w:left w:val="none" w:sz="0" w:space="0" w:color="auto"/>
        <w:bottom w:val="none" w:sz="0" w:space="0" w:color="auto"/>
        <w:right w:val="none" w:sz="0" w:space="0" w:color="auto"/>
      </w:divBdr>
    </w:div>
    <w:div w:id="919801338">
      <w:bodyDiv w:val="1"/>
      <w:marLeft w:val="0"/>
      <w:marRight w:val="0"/>
      <w:marTop w:val="0"/>
      <w:marBottom w:val="0"/>
      <w:divBdr>
        <w:top w:val="none" w:sz="0" w:space="0" w:color="auto"/>
        <w:left w:val="none" w:sz="0" w:space="0" w:color="auto"/>
        <w:bottom w:val="none" w:sz="0" w:space="0" w:color="auto"/>
        <w:right w:val="none" w:sz="0" w:space="0" w:color="auto"/>
      </w:divBdr>
    </w:div>
    <w:div w:id="923805807">
      <w:bodyDiv w:val="1"/>
      <w:marLeft w:val="0"/>
      <w:marRight w:val="0"/>
      <w:marTop w:val="0"/>
      <w:marBottom w:val="0"/>
      <w:divBdr>
        <w:top w:val="none" w:sz="0" w:space="0" w:color="auto"/>
        <w:left w:val="none" w:sz="0" w:space="0" w:color="auto"/>
        <w:bottom w:val="none" w:sz="0" w:space="0" w:color="auto"/>
        <w:right w:val="none" w:sz="0" w:space="0" w:color="auto"/>
      </w:divBdr>
    </w:div>
    <w:div w:id="1016225005">
      <w:bodyDiv w:val="1"/>
      <w:marLeft w:val="0"/>
      <w:marRight w:val="0"/>
      <w:marTop w:val="0"/>
      <w:marBottom w:val="0"/>
      <w:divBdr>
        <w:top w:val="none" w:sz="0" w:space="0" w:color="auto"/>
        <w:left w:val="none" w:sz="0" w:space="0" w:color="auto"/>
        <w:bottom w:val="none" w:sz="0" w:space="0" w:color="auto"/>
        <w:right w:val="none" w:sz="0" w:space="0" w:color="auto"/>
      </w:divBdr>
    </w:div>
    <w:div w:id="1110516648">
      <w:bodyDiv w:val="1"/>
      <w:marLeft w:val="0"/>
      <w:marRight w:val="0"/>
      <w:marTop w:val="0"/>
      <w:marBottom w:val="0"/>
      <w:divBdr>
        <w:top w:val="none" w:sz="0" w:space="0" w:color="auto"/>
        <w:left w:val="none" w:sz="0" w:space="0" w:color="auto"/>
        <w:bottom w:val="none" w:sz="0" w:space="0" w:color="auto"/>
        <w:right w:val="none" w:sz="0" w:space="0" w:color="auto"/>
      </w:divBdr>
    </w:div>
    <w:div w:id="1167011622">
      <w:bodyDiv w:val="1"/>
      <w:marLeft w:val="0"/>
      <w:marRight w:val="0"/>
      <w:marTop w:val="0"/>
      <w:marBottom w:val="0"/>
      <w:divBdr>
        <w:top w:val="none" w:sz="0" w:space="0" w:color="auto"/>
        <w:left w:val="none" w:sz="0" w:space="0" w:color="auto"/>
        <w:bottom w:val="none" w:sz="0" w:space="0" w:color="auto"/>
        <w:right w:val="none" w:sz="0" w:space="0" w:color="auto"/>
      </w:divBdr>
    </w:div>
    <w:div w:id="1446729857">
      <w:bodyDiv w:val="1"/>
      <w:marLeft w:val="0"/>
      <w:marRight w:val="0"/>
      <w:marTop w:val="0"/>
      <w:marBottom w:val="0"/>
      <w:divBdr>
        <w:top w:val="none" w:sz="0" w:space="0" w:color="auto"/>
        <w:left w:val="none" w:sz="0" w:space="0" w:color="auto"/>
        <w:bottom w:val="none" w:sz="0" w:space="0" w:color="auto"/>
        <w:right w:val="none" w:sz="0" w:space="0" w:color="auto"/>
      </w:divBdr>
    </w:div>
    <w:div w:id="1566984721">
      <w:bodyDiv w:val="1"/>
      <w:marLeft w:val="0"/>
      <w:marRight w:val="0"/>
      <w:marTop w:val="0"/>
      <w:marBottom w:val="0"/>
      <w:divBdr>
        <w:top w:val="none" w:sz="0" w:space="0" w:color="auto"/>
        <w:left w:val="none" w:sz="0" w:space="0" w:color="auto"/>
        <w:bottom w:val="none" w:sz="0" w:space="0" w:color="auto"/>
        <w:right w:val="none" w:sz="0" w:space="0" w:color="auto"/>
      </w:divBdr>
    </w:div>
    <w:div w:id="1732388006">
      <w:bodyDiv w:val="1"/>
      <w:marLeft w:val="0"/>
      <w:marRight w:val="0"/>
      <w:marTop w:val="0"/>
      <w:marBottom w:val="0"/>
      <w:divBdr>
        <w:top w:val="none" w:sz="0" w:space="0" w:color="auto"/>
        <w:left w:val="none" w:sz="0" w:space="0" w:color="auto"/>
        <w:bottom w:val="none" w:sz="0" w:space="0" w:color="auto"/>
        <w:right w:val="none" w:sz="0" w:space="0" w:color="auto"/>
      </w:divBdr>
    </w:div>
    <w:div w:id="1732849994">
      <w:bodyDiv w:val="1"/>
      <w:marLeft w:val="0"/>
      <w:marRight w:val="0"/>
      <w:marTop w:val="0"/>
      <w:marBottom w:val="0"/>
      <w:divBdr>
        <w:top w:val="none" w:sz="0" w:space="0" w:color="auto"/>
        <w:left w:val="none" w:sz="0" w:space="0" w:color="auto"/>
        <w:bottom w:val="none" w:sz="0" w:space="0" w:color="auto"/>
        <w:right w:val="none" w:sz="0" w:space="0" w:color="auto"/>
      </w:divBdr>
    </w:div>
    <w:div w:id="1753352547">
      <w:bodyDiv w:val="1"/>
      <w:marLeft w:val="0"/>
      <w:marRight w:val="0"/>
      <w:marTop w:val="0"/>
      <w:marBottom w:val="0"/>
      <w:divBdr>
        <w:top w:val="none" w:sz="0" w:space="0" w:color="auto"/>
        <w:left w:val="none" w:sz="0" w:space="0" w:color="auto"/>
        <w:bottom w:val="none" w:sz="0" w:space="0" w:color="auto"/>
        <w:right w:val="none" w:sz="0" w:space="0" w:color="auto"/>
      </w:divBdr>
    </w:div>
    <w:div w:id="1764523232">
      <w:bodyDiv w:val="1"/>
      <w:marLeft w:val="0"/>
      <w:marRight w:val="0"/>
      <w:marTop w:val="0"/>
      <w:marBottom w:val="0"/>
      <w:divBdr>
        <w:top w:val="none" w:sz="0" w:space="0" w:color="auto"/>
        <w:left w:val="none" w:sz="0" w:space="0" w:color="auto"/>
        <w:bottom w:val="none" w:sz="0" w:space="0" w:color="auto"/>
        <w:right w:val="none" w:sz="0" w:space="0" w:color="auto"/>
      </w:divBdr>
    </w:div>
    <w:div w:id="1975524987">
      <w:bodyDiv w:val="1"/>
      <w:marLeft w:val="0"/>
      <w:marRight w:val="0"/>
      <w:marTop w:val="0"/>
      <w:marBottom w:val="0"/>
      <w:divBdr>
        <w:top w:val="none" w:sz="0" w:space="0" w:color="auto"/>
        <w:left w:val="none" w:sz="0" w:space="0" w:color="auto"/>
        <w:bottom w:val="none" w:sz="0" w:space="0" w:color="auto"/>
        <w:right w:val="none" w:sz="0" w:space="0" w:color="auto"/>
      </w:divBdr>
    </w:div>
    <w:div w:id="2051220633">
      <w:bodyDiv w:val="1"/>
      <w:marLeft w:val="0"/>
      <w:marRight w:val="0"/>
      <w:marTop w:val="0"/>
      <w:marBottom w:val="0"/>
      <w:divBdr>
        <w:top w:val="none" w:sz="0" w:space="0" w:color="auto"/>
        <w:left w:val="none" w:sz="0" w:space="0" w:color="auto"/>
        <w:bottom w:val="none" w:sz="0" w:space="0" w:color="auto"/>
        <w:right w:val="none" w:sz="0" w:space="0" w:color="auto"/>
      </w:divBdr>
    </w:div>
    <w:div w:id="2112048957">
      <w:bodyDiv w:val="1"/>
      <w:marLeft w:val="0"/>
      <w:marRight w:val="0"/>
      <w:marTop w:val="0"/>
      <w:marBottom w:val="0"/>
      <w:divBdr>
        <w:top w:val="none" w:sz="0" w:space="0" w:color="auto"/>
        <w:left w:val="none" w:sz="0" w:space="0" w:color="auto"/>
        <w:bottom w:val="none" w:sz="0" w:space="0" w:color="auto"/>
        <w:right w:val="none" w:sz="0" w:space="0" w:color="auto"/>
      </w:divBdr>
      <w:divsChild>
        <w:div w:id="7093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3905</Characters>
  <Application>Microsoft Office Word</Application>
  <DocSecurity>4</DocSecurity>
  <Lines>32</Lines>
  <Paragraphs>9</Paragraphs>
  <ScaleCrop>false</ScaleCrop>
  <Company>Microsoft</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张淑静</dc:creator>
  <cp:lastModifiedBy>ZHONGM</cp:lastModifiedBy>
  <cp:revision>2</cp:revision>
  <dcterms:created xsi:type="dcterms:W3CDTF">2022-12-06T16:01:00Z</dcterms:created>
  <dcterms:modified xsi:type="dcterms:W3CDTF">2022-12-06T16:01:00Z</dcterms:modified>
</cp:coreProperties>
</file>