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91" w:rsidRDefault="002F1FEE">
      <w:pPr>
        <w:pStyle w:val="Default"/>
        <w:jc w:val="center"/>
        <w:rPr>
          <w:b/>
          <w:sz w:val="28"/>
          <w:szCs w:val="23"/>
        </w:rPr>
      </w:pPr>
      <w:r w:rsidRPr="002F1FEE">
        <w:rPr>
          <w:rFonts w:hint="eastAsia"/>
          <w:b/>
          <w:sz w:val="28"/>
          <w:szCs w:val="23"/>
        </w:rPr>
        <w:t>中银基金管理有限公司关于新增</w:t>
      </w:r>
      <w:r w:rsidR="009704E8" w:rsidRPr="009704E8">
        <w:rPr>
          <w:rFonts w:hint="eastAsia"/>
          <w:b/>
          <w:sz w:val="28"/>
          <w:szCs w:val="23"/>
        </w:rPr>
        <w:t>国泰君安证券股份有限公司</w:t>
      </w:r>
      <w:r w:rsidRPr="002F1FEE">
        <w:rPr>
          <w:rFonts w:hint="eastAsia"/>
          <w:b/>
          <w:sz w:val="28"/>
          <w:szCs w:val="23"/>
        </w:rPr>
        <w:t>为</w:t>
      </w:r>
    </w:p>
    <w:p w:rsidR="00444806" w:rsidRDefault="00D47491">
      <w:pPr>
        <w:pStyle w:val="Default"/>
        <w:jc w:val="center"/>
        <w:rPr>
          <w:b/>
          <w:sz w:val="28"/>
          <w:szCs w:val="23"/>
        </w:rPr>
      </w:pPr>
      <w:r>
        <w:rPr>
          <w:rFonts w:hint="eastAsia"/>
          <w:b/>
          <w:sz w:val="28"/>
          <w:szCs w:val="23"/>
        </w:rPr>
        <w:t>旗下部分</w:t>
      </w:r>
      <w:r w:rsidR="00435ABC" w:rsidRPr="00435ABC">
        <w:rPr>
          <w:rFonts w:hint="eastAsia"/>
          <w:b/>
          <w:sz w:val="28"/>
          <w:szCs w:val="23"/>
        </w:rPr>
        <w:t>基金</w:t>
      </w:r>
      <w:r w:rsidR="002F1FEE" w:rsidRPr="002F1FEE">
        <w:rPr>
          <w:rFonts w:hint="eastAsia"/>
          <w:b/>
          <w:sz w:val="28"/>
          <w:szCs w:val="23"/>
        </w:rPr>
        <w:t>销售机构的公告</w:t>
      </w:r>
    </w:p>
    <w:p w:rsidR="00851B98" w:rsidRDefault="00851B98" w:rsidP="00E72AD6">
      <w:pPr>
        <w:pStyle w:val="Default"/>
        <w:spacing w:line="360" w:lineRule="auto"/>
        <w:ind w:firstLineChars="200" w:firstLine="480"/>
        <w:jc w:val="both"/>
        <w:rPr>
          <w:szCs w:val="21"/>
        </w:rPr>
      </w:pPr>
    </w:p>
    <w:p w:rsidR="00851B98" w:rsidRDefault="00C15637" w:rsidP="009704E8">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9704E8" w:rsidRPr="009704E8">
        <w:rPr>
          <w:rFonts w:hAnsi="Times New Roman" w:hint="eastAsia"/>
          <w:szCs w:val="21"/>
        </w:rPr>
        <w:t>国泰君安证券股份有限公司</w:t>
      </w:r>
      <w:r w:rsidR="004D6590">
        <w:rPr>
          <w:rFonts w:hAnsi="Times New Roman" w:hint="eastAsia"/>
          <w:szCs w:val="21"/>
        </w:rPr>
        <w:t>（以下简称“</w:t>
      </w:r>
      <w:r w:rsidR="009704E8" w:rsidRPr="009704E8">
        <w:rPr>
          <w:rFonts w:hAnsi="Times New Roman" w:hint="eastAsia"/>
          <w:szCs w:val="21"/>
        </w:rPr>
        <w:t>国泰君安</w:t>
      </w:r>
      <w:r w:rsidR="004D6590">
        <w:rPr>
          <w:rFonts w:hAnsi="Times New Roman" w:hint="eastAsia"/>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9704E8" w:rsidRPr="009704E8">
        <w:rPr>
          <w:rFonts w:hAnsi="Times New Roman" w:hint="eastAsia"/>
          <w:szCs w:val="21"/>
        </w:rPr>
        <w:t>国泰君安</w:t>
      </w:r>
      <w:r>
        <w:rPr>
          <w:rFonts w:hAnsi="Times New Roman" w:hint="eastAsia"/>
          <w:color w:val="auto"/>
          <w:szCs w:val="21"/>
        </w:rPr>
        <w:t>将于</w:t>
      </w:r>
      <w:r w:rsidR="00D47491">
        <w:rPr>
          <w:rFonts w:ascii="Times New Roman" w:hAnsi="Times New Roman" w:cs="Times New Roman"/>
          <w:color w:val="auto"/>
          <w:szCs w:val="21"/>
        </w:rPr>
        <w:t>2022</w:t>
      </w:r>
      <w:r w:rsidR="00D47491">
        <w:rPr>
          <w:rFonts w:ascii="Times New Roman" w:hAnsi="Times New Roman" w:cs="Times New Roman"/>
          <w:color w:val="auto"/>
          <w:szCs w:val="21"/>
        </w:rPr>
        <w:t>年</w:t>
      </w:r>
      <w:r w:rsidR="0007447D">
        <w:rPr>
          <w:rFonts w:ascii="Times New Roman" w:hAnsi="Times New Roman" w:cs="Times New Roman"/>
          <w:color w:val="auto"/>
          <w:szCs w:val="21"/>
        </w:rPr>
        <w:t>1</w:t>
      </w:r>
      <w:r w:rsidR="009704E8">
        <w:rPr>
          <w:rFonts w:ascii="Times New Roman" w:hAnsi="Times New Roman" w:cs="Times New Roman"/>
          <w:color w:val="auto"/>
          <w:szCs w:val="21"/>
        </w:rPr>
        <w:t>2</w:t>
      </w:r>
      <w:r w:rsidR="00D47491">
        <w:rPr>
          <w:rFonts w:ascii="Times New Roman" w:hAnsi="Times New Roman" w:cs="Times New Roman"/>
          <w:color w:val="auto"/>
          <w:szCs w:val="21"/>
        </w:rPr>
        <w:t>月</w:t>
      </w:r>
      <w:r w:rsidR="009704E8">
        <w:rPr>
          <w:rFonts w:ascii="Times New Roman" w:hAnsi="Times New Roman" w:cs="Times New Roman"/>
          <w:color w:val="auto"/>
          <w:szCs w:val="21"/>
        </w:rPr>
        <w:t>2</w:t>
      </w:r>
      <w:r w:rsidR="00D47491">
        <w:rPr>
          <w:rFonts w:ascii="Times New Roman" w:hAnsi="Times New Roman" w:cs="Times New Roman"/>
          <w:color w:val="auto"/>
          <w:szCs w:val="21"/>
        </w:rPr>
        <w:t>日</w:t>
      </w:r>
      <w:r>
        <w:rPr>
          <w:rFonts w:hAnsi="Times New Roman" w:hint="eastAsia"/>
          <w:color w:val="auto"/>
          <w:szCs w:val="21"/>
        </w:rPr>
        <w:t>起开始销售</w:t>
      </w:r>
      <w:r w:rsidR="00D47491">
        <w:rPr>
          <w:rFonts w:hAnsi="宋体" w:hint="eastAsia"/>
        </w:rPr>
        <w:t>本公司旗下部分</w:t>
      </w:r>
      <w:r w:rsidR="00435ABC" w:rsidRPr="00CC1E34">
        <w:rPr>
          <w:rFonts w:hAnsi="宋体" w:hint="eastAsia"/>
        </w:rPr>
        <w:t>基金</w:t>
      </w:r>
      <w:r>
        <w:rPr>
          <w:rFonts w:hAnsi="Times New Roman" w:hint="eastAsia"/>
          <w:color w:val="auto"/>
          <w:szCs w:val="21"/>
        </w:rPr>
        <w:t>，</w:t>
      </w:r>
      <w:r>
        <w:rPr>
          <w:rFonts w:asciiTheme="minorEastAsia" w:hAnsiTheme="minorEastAsia" w:cs="SimSun,Bold" w:hint="eastAsia"/>
          <w:bCs/>
          <w:color w:val="auto"/>
        </w:rPr>
        <w:t>具体业务规则、费率优惠活动内容及办理程序</w:t>
      </w:r>
      <w:r>
        <w:rPr>
          <w:rFonts w:asciiTheme="minorEastAsia" w:hAnsiTheme="minorEastAsia" w:cs="SimSun,Bold" w:hint="eastAsia"/>
          <w:bCs/>
          <w:color w:val="000000" w:themeColor="text1"/>
        </w:rPr>
        <w:t>等相关规则以</w:t>
      </w:r>
      <w:r w:rsidR="009704E8" w:rsidRPr="009704E8">
        <w:rPr>
          <w:rFonts w:asciiTheme="minorEastAsia" w:hAnsiTheme="minorEastAsia" w:cs="SimSun,Bold" w:hint="eastAsia"/>
          <w:bCs/>
          <w:color w:val="000000" w:themeColor="text1"/>
        </w:rPr>
        <w:t>国泰君安</w:t>
      </w:r>
      <w:r>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CA59DF" w:rsidRDefault="00CA59DF" w:rsidP="009704E8">
      <w:pPr>
        <w:pStyle w:val="Default"/>
        <w:spacing w:line="360" w:lineRule="auto"/>
        <w:ind w:firstLineChars="200" w:firstLine="482"/>
        <w:jc w:val="both"/>
        <w:rPr>
          <w:rFonts w:hAnsi="Times New Roman"/>
          <w:b/>
          <w:szCs w:val="21"/>
        </w:rPr>
      </w:pPr>
    </w:p>
    <w:p w:rsidR="00444806" w:rsidRDefault="00C15637" w:rsidP="00FE5CBC">
      <w:pPr>
        <w:pStyle w:val="Default"/>
        <w:numPr>
          <w:ilvl w:val="0"/>
          <w:numId w:val="3"/>
        </w:numPr>
        <w:spacing w:line="360" w:lineRule="auto"/>
        <w:rPr>
          <w:rFonts w:hAnsi="Times New Roman"/>
          <w:b/>
          <w:szCs w:val="21"/>
        </w:rPr>
      </w:pPr>
      <w:r>
        <w:rPr>
          <w:rFonts w:hAnsi="Times New Roman" w:hint="eastAsia"/>
          <w:b/>
          <w:szCs w:val="21"/>
        </w:rPr>
        <w:t>适用基金</w:t>
      </w:r>
    </w:p>
    <w:tbl>
      <w:tblPr>
        <w:tblStyle w:val="a6"/>
        <w:tblW w:w="4647" w:type="pct"/>
        <w:tblInd w:w="540" w:type="dxa"/>
        <w:tblLayout w:type="fixed"/>
        <w:tblLook w:val="04A0"/>
      </w:tblPr>
      <w:tblGrid>
        <w:gridCol w:w="1621"/>
        <w:gridCol w:w="7115"/>
      </w:tblGrid>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hint="eastAsia"/>
              </w:rPr>
              <w:t>产品代码</w:t>
            </w:r>
          </w:p>
        </w:tc>
        <w:tc>
          <w:tcPr>
            <w:tcW w:w="4072" w:type="pct"/>
            <w:noWrap/>
          </w:tcPr>
          <w:p w:rsidR="00CA59DF" w:rsidRPr="00FE5CBC" w:rsidRDefault="00CA59DF" w:rsidP="00FE5CBC">
            <w:pPr>
              <w:pStyle w:val="Default"/>
              <w:snapToGrid w:val="0"/>
              <w:rPr>
                <w:rFonts w:hAnsi="宋体"/>
              </w:rPr>
            </w:pPr>
            <w:r w:rsidRPr="00FE5CBC">
              <w:rPr>
                <w:rFonts w:hAnsi="宋体" w:hint="eastAsia"/>
              </w:rPr>
              <w:t>基金全称</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000057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中银消费主题混合型证券投资基金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000305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中银中高等级债券型证券投资基金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000372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中银惠利纯债半年定期开放债券型证券投资基金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000432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中银优秀企业混合型证券投资基金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004548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中银中高等级债券型证券投资基金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008146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中银添瑞</w:t>
            </w:r>
            <w:r w:rsidRPr="00FE5CBC">
              <w:rPr>
                <w:rFonts w:hAnsi="宋体"/>
              </w:rPr>
              <w:t>6个月定期开放债券型证券投资基金A类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008147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中银添瑞</w:t>
            </w:r>
            <w:r w:rsidRPr="00FE5CBC">
              <w:rPr>
                <w:rFonts w:hAnsi="宋体"/>
              </w:rPr>
              <w:t>6个月定期开放债券型证券投资基金C类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008936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中银产业债债券型证券投资基金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010083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中银欣享利率债债券型证券投资基金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015386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中银主题策略混合型证券投资基金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163823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中银稳健策略灵活配置混合型证券投资基金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163827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中银产业债债券型证券投资基金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bookmarkStart w:id="0" w:name="_GoBack"/>
            <w:bookmarkEnd w:id="0"/>
            <w:r w:rsidRPr="00FE5CBC">
              <w:rPr>
                <w:rFonts w:hAnsi="宋体"/>
              </w:rPr>
              <w:t>380010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中银聚享债券型证券投资基金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380011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中银聚享债券型证券投资基金</w:t>
            </w:r>
            <w:r w:rsidRPr="00FE5CBC">
              <w:rPr>
                <w:rFonts w:hAnsi="宋体"/>
              </w:rPr>
              <w:t>B类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000539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中银活期宝货币市场基金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000591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中银健康生活混合型证券投资基金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000699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中银薪钱包货币市场基金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000805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中银新经济灵活配置混合型证券投资基金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000817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中银安心回报半年定期开放债券型证券投资基金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000939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中银研究精选灵活配置混合型证券投资基金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000996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中银新动力股票型证券投资基金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001035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中银恒利半年定期开放债券型证券投资基金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001127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中银宏观策略灵活配置混合型证券投资基金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001235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中银国有企业债债券型证券投资基金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001370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中银新趋势灵活配置混合型证券投资基金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001476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中银智能制造股票型证券投资基金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001677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中银战略新兴产业股票型证券投资基金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002054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中银新财富灵活配置混合型证券投资基金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002056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中银新财富灵活配置混合型证券投资基金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002057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中银新机遇灵活配置混合型证券投资基金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lastRenderedPageBreak/>
              <w:t>002058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中银新机遇灵活配置混合型证券投资基金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002195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中银机构现金管理货币市场基金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002261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中银宝利灵活配置混合型证券投资基金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002262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中银宝利灵活配置混合型证券投资基金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002286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中银美元债债券型证券投资基金</w:t>
            </w:r>
            <w:r w:rsidRPr="00FE5CBC">
              <w:rPr>
                <w:rFonts w:hAnsi="宋体"/>
              </w:rPr>
              <w:t>(QDII)</w:t>
            </w:r>
            <w:r>
              <w:rPr>
                <w:rFonts w:hAnsi="宋体" w:hint="eastAsia"/>
              </w:rPr>
              <w:t>人民币</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002288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中银稳进策略灵活配置混合型证券投资基金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002413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中银瑞利灵活配置混合型证券投资基金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002414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中银瑞利灵活配置混合型证券投资基金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002430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中银丰利灵活配置混合型证券投资基金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002431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中银丰利灵活配置混合型证券投资基金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002434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中银宏利灵活配置混合型证券投资基金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中银宏利灵活配置混合型证券投资基金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002461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中银珍利灵活配置混合型证券投资基金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002462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中银珍利灵活配置混合型证券投资基金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002502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中银腾利灵活配置混合型证券投资基金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002503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中银腾利灵活配置混合型证券投资基金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002535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中银鑫利灵活配置混合型证券投资基金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002536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中银鑫利灵活配置混合型证券投资基金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中银颐利灵活配置混合型证券投资基金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中银颐利灵活配置混合型证券投资基金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中银益利灵活配置混合型证券投资基金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中银益利灵活配置混合型证券投资基金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中银裕利灵活配置混合型证券投资基金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002619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中银裕利灵活配置混合型证券投资基金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002826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中银永利半年定期开放债券型证券投资基金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002985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中银季季红定期开放债券型证券投资基金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003717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中银量化精选灵活配置混合型证券投资基金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003848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中银广利灵活配置混合型证券投资基金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003849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中银广利灵活配置混合型证券投资基金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003850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中银锦利灵活配置混合型证券投资基金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003851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中银锦利灵活配置混合型证券投资基金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003966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中银润利灵活配置混合型证券投资基金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003967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中银润利灵活配置混合型证券投资基金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004502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中银如意宝货币市场基金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004767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中银智享债券型证券投资基金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004844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中银利享定期开放债券型证券投资基金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004881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中银量化价值混合型证券投资基金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005029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中银产业精选混合型证券投资基金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005162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中银如意宝货币市场基金</w:t>
            </w:r>
            <w:r w:rsidRPr="00FE5CBC">
              <w:rPr>
                <w:rFonts w:hAnsi="宋体"/>
              </w:rPr>
              <w:t>B类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005274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中银景福回报混合型证券投资基金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005545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中银改革红利灵活配置混合型证券投资基金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005689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中银医疗保健灵活配置混合型证券投资基金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005690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中银安享债券型证券投资基金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006224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中银中债</w:t>
            </w:r>
            <w:r w:rsidRPr="00FE5CBC">
              <w:rPr>
                <w:rFonts w:hAnsi="宋体"/>
              </w:rPr>
              <w:t>3-5年期农发行债券指数证券投资基金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006243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中银双息回报混合型证券投资基金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lastRenderedPageBreak/>
              <w:t>006331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中银国有企业债债券型证券投资基金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006421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中银弘享债券型证券投资基金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006677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中银稳汇短债债券型证券投资基金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006678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中银稳汇短债债券型证券投资基金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006846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中银福建国有企业债</w:t>
            </w:r>
            <w:r w:rsidRPr="00FE5CBC">
              <w:rPr>
                <w:rFonts w:hAnsi="宋体"/>
              </w:rPr>
              <w:t>6个月定期开放债券型证券投资基金A类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006847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中银福建国有企业债</w:t>
            </w:r>
            <w:r w:rsidRPr="00FE5CBC">
              <w:rPr>
                <w:rFonts w:hAnsi="宋体"/>
              </w:rPr>
              <w:t>6个月定期开放债券型证券投资基金C类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006853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中银汇享债券型证券投资基金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006952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中银景元回报混合型证券投资基金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007035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中银中债</w:t>
            </w:r>
            <w:r w:rsidRPr="00FE5CBC">
              <w:rPr>
                <w:rFonts w:hAnsi="宋体"/>
              </w:rPr>
              <w:t>1-3年期国开行债券指数证券投资基金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007318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中银民丰回报混合型证券投资基金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007335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中银中债</w:t>
            </w:r>
            <w:r w:rsidRPr="00FE5CBC">
              <w:rPr>
                <w:rFonts w:hAnsi="宋体"/>
              </w:rPr>
              <w:t>1-3年期农发行债券指数证券投资基金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007566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中银宁享债券型证券投资基金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007708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中银瑞福浮动净值型发起式货币市场基金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007709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中银瑞福浮动净值型发起式货币市场基金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007718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中银创新医疗混合型证券投资基金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007752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中银招利债券型证券投资基金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007753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中银招利债券型证券投资基金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008095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中银亚太精选债券型证券投资基金</w:t>
            </w:r>
            <w:r w:rsidRPr="00FE5CBC">
              <w:rPr>
                <w:rFonts w:hAnsi="宋体"/>
              </w:rPr>
              <w:t>(QDII)A类人民币</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008096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中银亚太精选债券型证券投资基金</w:t>
            </w:r>
            <w:r w:rsidRPr="00FE5CBC">
              <w:rPr>
                <w:rFonts w:hAnsi="宋体"/>
              </w:rPr>
              <w:t>(QDII)C类人民币</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008202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中银恒裕</w:t>
            </w:r>
            <w:r w:rsidRPr="00FE5CBC">
              <w:rPr>
                <w:rFonts w:hAnsi="宋体"/>
              </w:rPr>
              <w:t>9个月持有期债券型证券投资基金A类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008203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中银恒裕</w:t>
            </w:r>
            <w:r w:rsidRPr="00FE5CBC">
              <w:rPr>
                <w:rFonts w:hAnsi="宋体"/>
              </w:rPr>
              <w:t>9个月持有期债券型证券投资基金C类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008232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中银恒优</w:t>
            </w:r>
            <w:r w:rsidRPr="00FE5CBC">
              <w:rPr>
                <w:rFonts w:hAnsi="宋体"/>
              </w:rPr>
              <w:t>12个月持有期债券型证券投资基金A类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008233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中银恒优</w:t>
            </w:r>
            <w:r w:rsidRPr="00FE5CBC">
              <w:rPr>
                <w:rFonts w:hAnsi="宋体"/>
              </w:rPr>
              <w:t>12个月持有期债券型证券投资基金C类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008773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中银景泰回报混合型证券投资基金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009026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中银高质量发展机遇混合型证券投资基金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009255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中银添盛</w:t>
            </w:r>
            <w:r w:rsidRPr="00FE5CBC">
              <w:rPr>
                <w:rFonts w:hAnsi="宋体"/>
              </w:rPr>
              <w:t>39个月定期开放债券型证券投资基金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009345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中银顺兴回报一年持有期混合型证券投资基金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009346</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中银顺兴回报一年持有期混合型证券投资基金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009379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中银成长优选股票型证券投资基金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009411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中银科技创新一年定期开放混合型证券投资基金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009414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中银大健康股票型证券投资基金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009477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中银上海金交易型开放式证券投资基金联接基金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009478</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中银上海金交易型开放式证券投资基金联接基金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009479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中银中证</w:t>
            </w:r>
            <w:r w:rsidRPr="00FE5CBC">
              <w:rPr>
                <w:rFonts w:hAnsi="宋体"/>
              </w:rPr>
              <w:t>100交易型开放式指数证券投资基金联接基金A类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009480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中银中证</w:t>
            </w:r>
            <w:r w:rsidRPr="00FE5CBC">
              <w:rPr>
                <w:rFonts w:hAnsi="宋体"/>
              </w:rPr>
              <w:t>100交易型开放式指数证券投资基金联接基金C类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009877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中银内核驱动股票型证券投资基金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009924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中银中债</w:t>
            </w:r>
            <w:r w:rsidRPr="00FE5CBC">
              <w:rPr>
                <w:rFonts w:hAnsi="宋体"/>
              </w:rPr>
              <w:t>1-5年期国开行债券指数证券投资基金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010159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中银医疗保健灵活配置混合型证券投资基金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010204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中银港股通优势成长股票型证券投资基金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010311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中银量化价值混合型证券投资基金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010321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中银大健康股票型证券投资基金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010484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中银量化精选灵活配置混合型证券投资基金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010487</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中银顺盈回报一年持有期混合型证券投资基金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010500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中银创新医疗混合型证券投资基金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010509</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中银彭博政策性银行债券</w:t>
            </w:r>
            <w:r w:rsidRPr="00FE5CBC">
              <w:rPr>
                <w:rFonts w:hAnsi="宋体"/>
              </w:rPr>
              <w:t>1-5年指数证券投资基金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010812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中银战略新兴产业股票型证券投资基金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010884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中银臻享债券型证券投资基金</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010933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中银稳汇短债债券型证券投资基金</w:t>
            </w:r>
            <w:r w:rsidRPr="00FE5CBC">
              <w:rPr>
                <w:rFonts w:hAnsi="宋体"/>
              </w:rPr>
              <w:t>E类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011044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中银顺泽回报一年持有期混合型证券投资基金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011045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中银顺泽回报一年持有期混合型证券投资基金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011482</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中银顺宁回报</w:t>
            </w:r>
            <w:r w:rsidRPr="00FE5CBC">
              <w:rPr>
                <w:rFonts w:hAnsi="宋体"/>
              </w:rPr>
              <w:t>6个月持有期混合型证券投资基金A类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011483</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中银顺宁回报</w:t>
            </w:r>
            <w:r w:rsidRPr="00FE5CBC">
              <w:rPr>
                <w:rFonts w:hAnsi="宋体"/>
              </w:rPr>
              <w:t>6个月持有期混合型证券投资基金C类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012134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中银嘉享</w:t>
            </w:r>
            <w:r w:rsidRPr="00FE5CBC">
              <w:rPr>
                <w:rFonts w:hAnsi="宋体"/>
              </w:rPr>
              <w:t>3个月定期开放债券型证券投资基金A类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012181</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中银智能制造股票型证券投资基金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012204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中银通利债券型证券投资基金</w:t>
            </w:r>
            <w:r w:rsidRPr="00FE5CBC">
              <w:rPr>
                <w:rFonts w:hAnsi="宋体"/>
              </w:rPr>
              <w:t>A类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012205</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中银通利债券型证券投资基金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012264</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中银研究精选灵活配置混合型证券投资基金</w:t>
            </w:r>
            <w:r w:rsidRPr="00FE5CBC">
              <w:rPr>
                <w:rFonts w:hAnsi="宋体"/>
              </w:rPr>
              <w:t>C类</w:t>
            </w:r>
          </w:p>
        </w:tc>
      </w:tr>
      <w:tr w:rsidR="00CA59DF" w:rsidRPr="00CA59DF" w:rsidTr="00CA59DF">
        <w:trPr>
          <w:trHeight w:val="288"/>
        </w:trPr>
        <w:tc>
          <w:tcPr>
            <w:tcW w:w="928" w:type="pct"/>
            <w:noWrap/>
          </w:tcPr>
          <w:p w:rsidR="00CA59DF" w:rsidRPr="00FE5CBC" w:rsidRDefault="00CA59DF" w:rsidP="00FE5CBC">
            <w:pPr>
              <w:pStyle w:val="Default"/>
              <w:snapToGrid w:val="0"/>
              <w:rPr>
                <w:rFonts w:hAnsi="宋体"/>
              </w:rPr>
            </w:pPr>
            <w:r w:rsidRPr="00FE5CBC">
              <w:rPr>
                <w:rFonts w:hAnsi="宋体"/>
              </w:rPr>
              <w:t>012600</w:t>
            </w:r>
          </w:p>
        </w:tc>
        <w:tc>
          <w:tcPr>
            <w:tcW w:w="4072" w:type="pct"/>
            <w:noWrap/>
          </w:tcPr>
          <w:p w:rsidR="00CA59DF" w:rsidRPr="00FE5CBC" w:rsidRDefault="00CA59DF" w:rsidP="00FE5CBC">
            <w:pPr>
              <w:pStyle w:val="Default"/>
              <w:snapToGrid w:val="0"/>
              <w:rPr>
                <w:rFonts w:hAnsi="宋体"/>
              </w:rPr>
            </w:pPr>
            <w:r w:rsidRPr="00FE5CBC">
              <w:rPr>
                <w:rFonts w:hAnsi="宋体" w:hint="eastAsia"/>
              </w:rPr>
              <w:t>中银内核驱动股票型证券投资基金</w:t>
            </w:r>
            <w:r w:rsidRPr="00FE5CBC">
              <w:rPr>
                <w:rFonts w:hAnsi="宋体"/>
              </w:rPr>
              <w:t>C类</w:t>
            </w:r>
          </w:p>
        </w:tc>
      </w:tr>
    </w:tbl>
    <w:p w:rsidR="00CA59DF" w:rsidRDefault="00CA59DF" w:rsidP="00CA59DF">
      <w:pPr>
        <w:pStyle w:val="Default"/>
        <w:snapToGrid w:val="0"/>
        <w:rPr>
          <w:rFonts w:hAnsi="Times New Roman"/>
          <w:b/>
          <w:szCs w:val="21"/>
        </w:rPr>
      </w:pPr>
    </w:p>
    <w:p w:rsidR="00444806" w:rsidRDefault="00C15637" w:rsidP="00FE5CBC">
      <w:pPr>
        <w:pStyle w:val="Default"/>
        <w:snapToGrid w:val="0"/>
        <w:rPr>
          <w:rFonts w:hAnsi="Times New Roman"/>
          <w:b/>
          <w:szCs w:val="21"/>
        </w:rPr>
      </w:pPr>
      <w:r>
        <w:rPr>
          <w:rFonts w:hAnsi="Times New Roman" w:hint="eastAsia"/>
          <w:b/>
          <w:szCs w:val="21"/>
        </w:rPr>
        <w:t>二、投资者可以通过以下途径咨询有关详情</w:t>
      </w:r>
    </w:p>
    <w:p w:rsidR="00444806" w:rsidRDefault="00C15637">
      <w:pPr>
        <w:pStyle w:val="Default"/>
        <w:numPr>
          <w:ilvl w:val="0"/>
          <w:numId w:val="1"/>
        </w:numPr>
        <w:spacing w:line="360" w:lineRule="auto"/>
        <w:rPr>
          <w:rFonts w:hAnsi="Times New Roman"/>
          <w:szCs w:val="21"/>
        </w:rPr>
      </w:pPr>
      <w:r>
        <w:rPr>
          <w:rFonts w:hAnsi="Times New Roman" w:hint="eastAsia"/>
          <w:szCs w:val="21"/>
        </w:rPr>
        <w:t>中银基金管理有限公司</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444806" w:rsidRDefault="007A3E7E">
      <w:pPr>
        <w:pStyle w:val="Default"/>
        <w:numPr>
          <w:ilvl w:val="0"/>
          <w:numId w:val="1"/>
        </w:numPr>
        <w:spacing w:line="360" w:lineRule="auto"/>
        <w:rPr>
          <w:rFonts w:hAnsi="Times New Roman"/>
          <w:szCs w:val="21"/>
        </w:rPr>
      </w:pPr>
      <w:r w:rsidRPr="007A3E7E">
        <w:rPr>
          <w:rFonts w:hAnsi="Times New Roman" w:hint="eastAsia"/>
          <w:szCs w:val="21"/>
        </w:rPr>
        <w:t>国泰君安证券股份有限公司</w:t>
      </w:r>
    </w:p>
    <w:p w:rsidR="00444806" w:rsidRDefault="00C15637">
      <w:pPr>
        <w:pStyle w:val="Default"/>
        <w:spacing w:line="360" w:lineRule="auto"/>
        <w:ind w:firstLineChars="200" w:firstLine="480"/>
        <w:rPr>
          <w:rFonts w:hAnsi="Times New Roman"/>
          <w:szCs w:val="21"/>
        </w:rPr>
      </w:pPr>
      <w:r>
        <w:rPr>
          <w:rFonts w:hAnsi="Times New Roman" w:hint="eastAsia"/>
          <w:szCs w:val="21"/>
        </w:rPr>
        <w:t>客户服务热线：</w:t>
      </w:r>
      <w:r w:rsidR="007A3E7E" w:rsidRPr="007A3E7E">
        <w:rPr>
          <w:rFonts w:hAnsi="Times New Roman"/>
          <w:szCs w:val="21"/>
        </w:rPr>
        <w:t>95521</w:t>
      </w:r>
    </w:p>
    <w:p w:rsidR="00851B98" w:rsidRDefault="00C15637" w:rsidP="008A3835">
      <w:pPr>
        <w:pStyle w:val="Default"/>
        <w:spacing w:line="360" w:lineRule="auto"/>
        <w:ind w:firstLineChars="200" w:firstLine="480"/>
        <w:rPr>
          <w:rFonts w:hAnsi="Times New Roman"/>
          <w:szCs w:val="21"/>
        </w:rPr>
      </w:pPr>
      <w:r>
        <w:rPr>
          <w:rFonts w:hAnsi="Times New Roman" w:hint="eastAsia"/>
          <w:szCs w:val="21"/>
        </w:rPr>
        <w:t>公司网站：</w:t>
      </w:r>
      <w:r w:rsidR="007A3E7E" w:rsidRPr="007A3E7E">
        <w:rPr>
          <w:rFonts w:hAnsi="Times New Roman"/>
          <w:szCs w:val="21"/>
        </w:rPr>
        <w:t>www.gtja.com</w:t>
      </w:r>
    </w:p>
    <w:p w:rsidR="00CA59DF" w:rsidRDefault="00CA59DF">
      <w:pPr>
        <w:pStyle w:val="Default"/>
        <w:spacing w:line="360" w:lineRule="auto"/>
        <w:ind w:firstLineChars="200" w:firstLine="480"/>
        <w:rPr>
          <w:rFonts w:hAnsi="Times New Roman"/>
          <w:szCs w:val="21"/>
        </w:rPr>
      </w:pPr>
    </w:p>
    <w:p w:rsidR="00444806" w:rsidRDefault="00C15637">
      <w:pPr>
        <w:pStyle w:val="Default"/>
        <w:spacing w:line="360" w:lineRule="auto"/>
        <w:ind w:firstLineChars="200" w:firstLine="480"/>
        <w:rPr>
          <w:rFonts w:hAnsi="Times New Roman"/>
          <w:szCs w:val="21"/>
        </w:rPr>
      </w:pPr>
      <w:r>
        <w:rPr>
          <w:rFonts w:hAnsi="Times New Roman" w:hint="eastAsia"/>
          <w:szCs w:val="21"/>
        </w:rPr>
        <w:t>风险提示：</w:t>
      </w:r>
    </w:p>
    <w:p w:rsidR="00851B98" w:rsidRDefault="00C15637" w:rsidP="008A3835">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7A3E7E" w:rsidRPr="007A3E7E">
        <w:rPr>
          <w:rFonts w:hAnsi="Times New Roman" w:hint="eastAsia"/>
          <w:szCs w:val="21"/>
        </w:rPr>
        <w:t>投资于货币市场基金并不等同于将资金作为存款存放在银行或存款类金融机构。</w:t>
      </w:r>
      <w:r>
        <w:rPr>
          <w:rFonts w:hAnsi="Times New Roman" w:hint="eastAsia"/>
          <w:szCs w:val="21"/>
        </w:rPr>
        <w:t>投资者投资基金前应认真阅读基金合同、招募说明书</w:t>
      </w:r>
      <w:r w:rsidR="0083311C">
        <w:rPr>
          <w:rFonts w:hAnsi="Times New Roman" w:hint="eastAsia"/>
          <w:szCs w:val="21"/>
        </w:rPr>
        <w:t>、</w:t>
      </w:r>
      <w:r w:rsidR="0083311C">
        <w:rPr>
          <w:rFonts w:hAnsi="Times New Roman"/>
          <w:szCs w:val="21"/>
        </w:rPr>
        <w:t>产品资料</w:t>
      </w:r>
      <w:r w:rsidR="0083311C">
        <w:rPr>
          <w:rFonts w:hAnsi="Times New Roman" w:hint="eastAsia"/>
          <w:szCs w:val="21"/>
        </w:rPr>
        <w:t>概要</w:t>
      </w:r>
      <w:r>
        <w:rPr>
          <w:rFonts w:hAnsi="Times New Roman" w:hint="eastAsia"/>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特此公告</w:t>
      </w:r>
      <w:r w:rsidR="002F1FEE">
        <w:rPr>
          <w:rFonts w:hAnsi="Times New Roman" w:hint="eastAsia"/>
          <w:szCs w:val="21"/>
        </w:rPr>
        <w:t>。</w:t>
      </w:r>
    </w:p>
    <w:p w:rsidR="00444806" w:rsidRDefault="00444806">
      <w:pPr>
        <w:pStyle w:val="Default"/>
        <w:spacing w:line="360" w:lineRule="auto"/>
        <w:ind w:firstLineChars="200" w:firstLine="480"/>
        <w:jc w:val="both"/>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Pr="00E72AD6" w:rsidRDefault="00C15637" w:rsidP="00E72AD6">
      <w:pPr>
        <w:spacing w:line="360" w:lineRule="auto"/>
        <w:ind w:firstLineChars="200" w:firstLine="480"/>
        <w:jc w:val="right"/>
        <w:rPr>
          <w:sz w:val="24"/>
        </w:rPr>
      </w:pPr>
      <w:r>
        <w:rPr>
          <w:rFonts w:ascii="Times New Roman" w:hAnsi="Times New Roman" w:cs="Times New Roman"/>
          <w:sz w:val="24"/>
          <w:szCs w:val="21"/>
        </w:rPr>
        <w:t xml:space="preserve">     </w:t>
      </w:r>
      <w:r w:rsidR="00D47491">
        <w:rPr>
          <w:rFonts w:ascii="Times New Roman" w:hAnsi="Times New Roman" w:cs="Times New Roman"/>
          <w:sz w:val="24"/>
          <w:szCs w:val="21"/>
        </w:rPr>
        <w:t>2022</w:t>
      </w:r>
      <w:r w:rsidR="00D47491">
        <w:rPr>
          <w:rFonts w:ascii="Times New Roman" w:hAnsi="Times New Roman" w:cs="Times New Roman"/>
          <w:sz w:val="24"/>
          <w:szCs w:val="21"/>
        </w:rPr>
        <w:t>年</w:t>
      </w:r>
      <w:r w:rsidR="008A3835">
        <w:rPr>
          <w:rFonts w:ascii="Times New Roman" w:hAnsi="Times New Roman" w:cs="Times New Roman"/>
          <w:sz w:val="24"/>
          <w:szCs w:val="21"/>
        </w:rPr>
        <w:t>1</w:t>
      </w:r>
      <w:r w:rsidR="00CA59DF">
        <w:rPr>
          <w:rFonts w:ascii="Times New Roman" w:hAnsi="Times New Roman" w:cs="Times New Roman"/>
          <w:sz w:val="24"/>
          <w:szCs w:val="21"/>
        </w:rPr>
        <w:t>2</w:t>
      </w:r>
      <w:r w:rsidR="00D47491">
        <w:rPr>
          <w:rFonts w:ascii="Times New Roman" w:hAnsi="Times New Roman" w:cs="Times New Roman"/>
          <w:sz w:val="24"/>
          <w:szCs w:val="21"/>
        </w:rPr>
        <w:t>月</w:t>
      </w:r>
      <w:r w:rsidR="00CA59DF">
        <w:rPr>
          <w:rFonts w:ascii="Times New Roman" w:hAnsi="Times New Roman" w:cs="Times New Roman"/>
          <w:sz w:val="24"/>
          <w:szCs w:val="21"/>
        </w:rPr>
        <w:t>2</w:t>
      </w:r>
      <w:r w:rsidR="00D47491">
        <w:rPr>
          <w:rFonts w:ascii="Times New Roman" w:hAnsi="Times New Roman" w:cs="Times New Roman"/>
          <w:sz w:val="24"/>
          <w:szCs w:val="21"/>
        </w:rPr>
        <w:t>日</w:t>
      </w:r>
    </w:p>
    <w:sectPr w:rsidR="00444806" w:rsidRPr="00E72AD6" w:rsidSect="00FA64EC">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09" w:rsidRDefault="00846F09" w:rsidP="004B47B9">
      <w:r>
        <w:separator/>
      </w:r>
    </w:p>
  </w:endnote>
  <w:endnote w:type="continuationSeparator" w:id="0">
    <w:p w:rsidR="00846F09" w:rsidRDefault="00846F09"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09" w:rsidRDefault="00846F09" w:rsidP="004B47B9">
      <w:r>
        <w:separator/>
      </w:r>
    </w:p>
  </w:footnote>
  <w:footnote w:type="continuationSeparator" w:id="0">
    <w:p w:rsidR="00846F09" w:rsidRDefault="00846F09"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06A"/>
    <w:multiLevelType w:val="hybridMultilevel"/>
    <w:tmpl w:val="9D60097C"/>
    <w:lvl w:ilvl="0" w:tplc="70A4D30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F7C1378"/>
    <w:multiLevelType w:val="hybridMultilevel"/>
    <w:tmpl w:val="27A67734"/>
    <w:lvl w:ilvl="0" w:tplc="41E8F1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34015"/>
    <w:rsid w:val="000430A0"/>
    <w:rsid w:val="00044DBB"/>
    <w:rsid w:val="0005086D"/>
    <w:rsid w:val="0007447D"/>
    <w:rsid w:val="000771B2"/>
    <w:rsid w:val="00077DAC"/>
    <w:rsid w:val="00080F22"/>
    <w:rsid w:val="0009704C"/>
    <w:rsid w:val="000C091A"/>
    <w:rsid w:val="000F37A3"/>
    <w:rsid w:val="00121570"/>
    <w:rsid w:val="00244261"/>
    <w:rsid w:val="00247D93"/>
    <w:rsid w:val="002A6C40"/>
    <w:rsid w:val="002D1BCD"/>
    <w:rsid w:val="002F1FEE"/>
    <w:rsid w:val="002F379C"/>
    <w:rsid w:val="00310B5B"/>
    <w:rsid w:val="00322381"/>
    <w:rsid w:val="00322880"/>
    <w:rsid w:val="00322A5A"/>
    <w:rsid w:val="003515AE"/>
    <w:rsid w:val="00371C8D"/>
    <w:rsid w:val="00382DBD"/>
    <w:rsid w:val="0038561A"/>
    <w:rsid w:val="00387602"/>
    <w:rsid w:val="00393703"/>
    <w:rsid w:val="003B4CEE"/>
    <w:rsid w:val="003D0912"/>
    <w:rsid w:val="003D5F52"/>
    <w:rsid w:val="003E7B63"/>
    <w:rsid w:val="00435ABC"/>
    <w:rsid w:val="00441221"/>
    <w:rsid w:val="00444806"/>
    <w:rsid w:val="004604CA"/>
    <w:rsid w:val="00477A84"/>
    <w:rsid w:val="0048547E"/>
    <w:rsid w:val="004A4127"/>
    <w:rsid w:val="004A5C29"/>
    <w:rsid w:val="004B47B9"/>
    <w:rsid w:val="004C3F72"/>
    <w:rsid w:val="004D5A0B"/>
    <w:rsid w:val="004D6590"/>
    <w:rsid w:val="004E0E2A"/>
    <w:rsid w:val="004E629C"/>
    <w:rsid w:val="004F0810"/>
    <w:rsid w:val="00512DC5"/>
    <w:rsid w:val="00571E36"/>
    <w:rsid w:val="00581C0C"/>
    <w:rsid w:val="005901CD"/>
    <w:rsid w:val="005C45D2"/>
    <w:rsid w:val="00610647"/>
    <w:rsid w:val="00650CA9"/>
    <w:rsid w:val="006746D0"/>
    <w:rsid w:val="006A0FE1"/>
    <w:rsid w:val="006E105F"/>
    <w:rsid w:val="00727C74"/>
    <w:rsid w:val="00764B70"/>
    <w:rsid w:val="007A3E7E"/>
    <w:rsid w:val="007B049B"/>
    <w:rsid w:val="007B6B4A"/>
    <w:rsid w:val="007E5E60"/>
    <w:rsid w:val="007F06C2"/>
    <w:rsid w:val="008005BC"/>
    <w:rsid w:val="00813AC0"/>
    <w:rsid w:val="008200A6"/>
    <w:rsid w:val="008271DA"/>
    <w:rsid w:val="0083311C"/>
    <w:rsid w:val="00846F09"/>
    <w:rsid w:val="00851B98"/>
    <w:rsid w:val="00852D37"/>
    <w:rsid w:val="008A3835"/>
    <w:rsid w:val="008E1BE7"/>
    <w:rsid w:val="008E774D"/>
    <w:rsid w:val="00901294"/>
    <w:rsid w:val="009704E8"/>
    <w:rsid w:val="009C1492"/>
    <w:rsid w:val="00A12079"/>
    <w:rsid w:val="00A31FD5"/>
    <w:rsid w:val="00A329B7"/>
    <w:rsid w:val="00A562F8"/>
    <w:rsid w:val="00A60345"/>
    <w:rsid w:val="00A84CFE"/>
    <w:rsid w:val="00B31CE9"/>
    <w:rsid w:val="00B51321"/>
    <w:rsid w:val="00B63F07"/>
    <w:rsid w:val="00B90DE5"/>
    <w:rsid w:val="00BB23F9"/>
    <w:rsid w:val="00BB4FA0"/>
    <w:rsid w:val="00BD05F1"/>
    <w:rsid w:val="00BD6F6F"/>
    <w:rsid w:val="00BE3CE5"/>
    <w:rsid w:val="00C1219A"/>
    <w:rsid w:val="00C12A2C"/>
    <w:rsid w:val="00C15637"/>
    <w:rsid w:val="00C250BF"/>
    <w:rsid w:val="00C65A04"/>
    <w:rsid w:val="00C92609"/>
    <w:rsid w:val="00CA0AE0"/>
    <w:rsid w:val="00CA508E"/>
    <w:rsid w:val="00CA59DF"/>
    <w:rsid w:val="00CA7332"/>
    <w:rsid w:val="00CC1E34"/>
    <w:rsid w:val="00D36C3E"/>
    <w:rsid w:val="00D4028A"/>
    <w:rsid w:val="00D429DF"/>
    <w:rsid w:val="00D47491"/>
    <w:rsid w:val="00D552DA"/>
    <w:rsid w:val="00D90BC7"/>
    <w:rsid w:val="00DC5ED2"/>
    <w:rsid w:val="00DC66FF"/>
    <w:rsid w:val="00DE7896"/>
    <w:rsid w:val="00DF7E7B"/>
    <w:rsid w:val="00E11F0F"/>
    <w:rsid w:val="00E15960"/>
    <w:rsid w:val="00E205B8"/>
    <w:rsid w:val="00E5231E"/>
    <w:rsid w:val="00E57111"/>
    <w:rsid w:val="00E72AD6"/>
    <w:rsid w:val="00E8484C"/>
    <w:rsid w:val="00EA45DC"/>
    <w:rsid w:val="00EB42C3"/>
    <w:rsid w:val="00EC61B3"/>
    <w:rsid w:val="00EC686F"/>
    <w:rsid w:val="00EC72C0"/>
    <w:rsid w:val="00ED1650"/>
    <w:rsid w:val="00ED40E7"/>
    <w:rsid w:val="00ED6BA9"/>
    <w:rsid w:val="00EE63E9"/>
    <w:rsid w:val="00F6416F"/>
    <w:rsid w:val="00FA64EC"/>
    <w:rsid w:val="00FC54A4"/>
    <w:rsid w:val="00FE5CBC"/>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EC"/>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A64EC"/>
    <w:rPr>
      <w:sz w:val="18"/>
      <w:szCs w:val="18"/>
    </w:rPr>
  </w:style>
  <w:style w:type="paragraph" w:styleId="a4">
    <w:name w:val="footer"/>
    <w:basedOn w:val="a"/>
    <w:link w:val="Char0"/>
    <w:uiPriority w:val="99"/>
    <w:unhideWhenUsed/>
    <w:qFormat/>
    <w:rsid w:val="00FA64E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A64E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FA64EC"/>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FA64EC"/>
    <w:rPr>
      <w:color w:val="0563C1" w:themeColor="hyperlink"/>
      <w:u w:val="single"/>
    </w:rPr>
  </w:style>
  <w:style w:type="paragraph" w:customStyle="1" w:styleId="Default">
    <w:name w:val="Default"/>
    <w:qFormat/>
    <w:rsid w:val="00FA64EC"/>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FA64EC"/>
    <w:rPr>
      <w:rFonts w:ascii="Calibri" w:eastAsia="宋体" w:hAnsi="Calibri" w:cs="宋体"/>
      <w:sz w:val="18"/>
      <w:szCs w:val="18"/>
    </w:rPr>
  </w:style>
  <w:style w:type="character" w:customStyle="1" w:styleId="Char0">
    <w:name w:val="页脚 Char"/>
    <w:basedOn w:val="a0"/>
    <w:link w:val="a4"/>
    <w:uiPriority w:val="99"/>
    <w:qFormat/>
    <w:rsid w:val="00FA64EC"/>
    <w:rPr>
      <w:rFonts w:ascii="Calibri" w:eastAsia="宋体" w:hAnsi="Calibri" w:cs="宋体"/>
      <w:sz w:val="18"/>
      <w:szCs w:val="18"/>
    </w:rPr>
  </w:style>
  <w:style w:type="character" w:customStyle="1" w:styleId="Char">
    <w:name w:val="批注框文本 Char"/>
    <w:basedOn w:val="a0"/>
    <w:link w:val="a3"/>
    <w:uiPriority w:val="99"/>
    <w:semiHidden/>
    <w:qFormat/>
    <w:rsid w:val="00FA64EC"/>
    <w:rPr>
      <w:rFonts w:ascii="Calibri" w:eastAsia="宋体" w:hAnsi="Calibri" w:cs="宋体"/>
      <w:sz w:val="18"/>
      <w:szCs w:val="18"/>
    </w:rPr>
  </w:style>
  <w:style w:type="paragraph" w:styleId="a8">
    <w:name w:val="List Paragraph"/>
    <w:basedOn w:val="a"/>
    <w:uiPriority w:val="34"/>
    <w:qFormat/>
    <w:rsid w:val="00571E36"/>
    <w:pPr>
      <w:widowControl/>
      <w:ind w:firstLine="420"/>
    </w:pPr>
    <w:rPr>
      <w:rFonts w:ascii="等线" w:eastAsia="等线" w:hAnsi="等线"/>
      <w:kern w:val="0"/>
      <w:szCs w:val="21"/>
    </w:rPr>
  </w:style>
  <w:style w:type="paragraph" w:styleId="a9">
    <w:name w:val="Revision"/>
    <w:hidden/>
    <w:uiPriority w:val="99"/>
    <w:semiHidden/>
    <w:rsid w:val="00322A5A"/>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374163733">
      <w:bodyDiv w:val="1"/>
      <w:marLeft w:val="0"/>
      <w:marRight w:val="0"/>
      <w:marTop w:val="0"/>
      <w:marBottom w:val="0"/>
      <w:divBdr>
        <w:top w:val="none" w:sz="0" w:space="0" w:color="auto"/>
        <w:left w:val="none" w:sz="0" w:space="0" w:color="auto"/>
        <w:bottom w:val="none" w:sz="0" w:space="0" w:color="auto"/>
        <w:right w:val="none" w:sz="0" w:space="0" w:color="auto"/>
      </w:divBdr>
    </w:div>
    <w:div w:id="475605840">
      <w:bodyDiv w:val="1"/>
      <w:marLeft w:val="0"/>
      <w:marRight w:val="0"/>
      <w:marTop w:val="0"/>
      <w:marBottom w:val="0"/>
      <w:divBdr>
        <w:top w:val="none" w:sz="0" w:space="0" w:color="auto"/>
        <w:left w:val="none" w:sz="0" w:space="0" w:color="auto"/>
        <w:bottom w:val="none" w:sz="0" w:space="0" w:color="auto"/>
        <w:right w:val="none" w:sz="0" w:space="0" w:color="auto"/>
      </w:divBdr>
    </w:div>
    <w:div w:id="518008809">
      <w:bodyDiv w:val="1"/>
      <w:marLeft w:val="0"/>
      <w:marRight w:val="0"/>
      <w:marTop w:val="0"/>
      <w:marBottom w:val="0"/>
      <w:divBdr>
        <w:top w:val="none" w:sz="0" w:space="0" w:color="auto"/>
        <w:left w:val="none" w:sz="0" w:space="0" w:color="auto"/>
        <w:bottom w:val="none" w:sz="0" w:space="0" w:color="auto"/>
        <w:right w:val="none" w:sz="0" w:space="0" w:color="auto"/>
      </w:divBdr>
    </w:div>
    <w:div w:id="586502602">
      <w:bodyDiv w:val="1"/>
      <w:marLeft w:val="0"/>
      <w:marRight w:val="0"/>
      <w:marTop w:val="0"/>
      <w:marBottom w:val="0"/>
      <w:divBdr>
        <w:top w:val="none" w:sz="0" w:space="0" w:color="auto"/>
        <w:left w:val="none" w:sz="0" w:space="0" w:color="auto"/>
        <w:bottom w:val="none" w:sz="0" w:space="0" w:color="auto"/>
        <w:right w:val="none" w:sz="0" w:space="0" w:color="auto"/>
      </w:divBdr>
    </w:div>
    <w:div w:id="716658776">
      <w:bodyDiv w:val="1"/>
      <w:marLeft w:val="0"/>
      <w:marRight w:val="0"/>
      <w:marTop w:val="0"/>
      <w:marBottom w:val="0"/>
      <w:divBdr>
        <w:top w:val="none" w:sz="0" w:space="0" w:color="auto"/>
        <w:left w:val="none" w:sz="0" w:space="0" w:color="auto"/>
        <w:bottom w:val="none" w:sz="0" w:space="0" w:color="auto"/>
        <w:right w:val="none" w:sz="0" w:space="0" w:color="auto"/>
      </w:divBdr>
    </w:div>
    <w:div w:id="989096784">
      <w:bodyDiv w:val="1"/>
      <w:marLeft w:val="0"/>
      <w:marRight w:val="0"/>
      <w:marTop w:val="0"/>
      <w:marBottom w:val="0"/>
      <w:divBdr>
        <w:top w:val="none" w:sz="0" w:space="0" w:color="auto"/>
        <w:left w:val="none" w:sz="0" w:space="0" w:color="auto"/>
        <w:bottom w:val="none" w:sz="0" w:space="0" w:color="auto"/>
        <w:right w:val="none" w:sz="0" w:space="0" w:color="auto"/>
      </w:divBdr>
    </w:div>
    <w:div w:id="1133212453">
      <w:bodyDiv w:val="1"/>
      <w:marLeft w:val="0"/>
      <w:marRight w:val="0"/>
      <w:marTop w:val="0"/>
      <w:marBottom w:val="0"/>
      <w:divBdr>
        <w:top w:val="none" w:sz="0" w:space="0" w:color="auto"/>
        <w:left w:val="none" w:sz="0" w:space="0" w:color="auto"/>
        <w:bottom w:val="none" w:sz="0" w:space="0" w:color="auto"/>
        <w:right w:val="none" w:sz="0" w:space="0" w:color="auto"/>
      </w:divBdr>
    </w:div>
    <w:div w:id="1210536737">
      <w:bodyDiv w:val="1"/>
      <w:marLeft w:val="0"/>
      <w:marRight w:val="0"/>
      <w:marTop w:val="0"/>
      <w:marBottom w:val="0"/>
      <w:divBdr>
        <w:top w:val="none" w:sz="0" w:space="0" w:color="auto"/>
        <w:left w:val="none" w:sz="0" w:space="0" w:color="auto"/>
        <w:bottom w:val="none" w:sz="0" w:space="0" w:color="auto"/>
        <w:right w:val="none" w:sz="0" w:space="0" w:color="auto"/>
      </w:divBdr>
    </w:div>
    <w:div w:id="1501894634">
      <w:bodyDiv w:val="1"/>
      <w:marLeft w:val="0"/>
      <w:marRight w:val="0"/>
      <w:marTop w:val="0"/>
      <w:marBottom w:val="0"/>
      <w:divBdr>
        <w:top w:val="none" w:sz="0" w:space="0" w:color="auto"/>
        <w:left w:val="none" w:sz="0" w:space="0" w:color="auto"/>
        <w:bottom w:val="none" w:sz="0" w:space="0" w:color="auto"/>
        <w:right w:val="none" w:sz="0" w:space="0" w:color="auto"/>
      </w:divBdr>
    </w:div>
    <w:div w:id="1689792140">
      <w:bodyDiv w:val="1"/>
      <w:marLeft w:val="0"/>
      <w:marRight w:val="0"/>
      <w:marTop w:val="0"/>
      <w:marBottom w:val="0"/>
      <w:divBdr>
        <w:top w:val="none" w:sz="0" w:space="0" w:color="auto"/>
        <w:left w:val="none" w:sz="0" w:space="0" w:color="auto"/>
        <w:bottom w:val="none" w:sz="0" w:space="0" w:color="auto"/>
        <w:right w:val="none" w:sz="0" w:space="0" w:color="auto"/>
      </w:divBdr>
    </w:div>
    <w:div w:id="1775661986">
      <w:bodyDiv w:val="1"/>
      <w:marLeft w:val="0"/>
      <w:marRight w:val="0"/>
      <w:marTop w:val="0"/>
      <w:marBottom w:val="0"/>
      <w:divBdr>
        <w:top w:val="none" w:sz="0" w:space="0" w:color="auto"/>
        <w:left w:val="none" w:sz="0" w:space="0" w:color="auto"/>
        <w:bottom w:val="none" w:sz="0" w:space="0" w:color="auto"/>
        <w:right w:val="none" w:sz="0" w:space="0" w:color="auto"/>
      </w:divBdr>
    </w:div>
    <w:div w:id="2044555926">
      <w:bodyDiv w:val="1"/>
      <w:marLeft w:val="0"/>
      <w:marRight w:val="0"/>
      <w:marTop w:val="0"/>
      <w:marBottom w:val="0"/>
      <w:divBdr>
        <w:top w:val="none" w:sz="0" w:space="0" w:color="auto"/>
        <w:left w:val="none" w:sz="0" w:space="0" w:color="auto"/>
        <w:bottom w:val="none" w:sz="0" w:space="0" w:color="auto"/>
        <w:right w:val="none" w:sz="0" w:space="0" w:color="auto"/>
      </w:divBdr>
    </w:div>
    <w:div w:id="210260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4</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2022-12-01T16:01:00Z</dcterms:created>
  <dcterms:modified xsi:type="dcterms:W3CDTF">2022-12-01T16:01:00Z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