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4B" w:rsidRDefault="008D174B" w:rsidP="004C728A">
      <w:pPr>
        <w:widowControl w:val="0"/>
        <w:spacing w:line="360" w:lineRule="auto"/>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鹏华基金管理有限公司关于旗下部分基金参与中信证券股份有限公司申购（</w:t>
      </w:r>
      <w:r w:rsidR="000F016C">
        <w:rPr>
          <w:rFonts w:ascii="宋体" w:hAnsi="宋体" w:cs="宋体" w:hint="eastAsia"/>
          <w:b/>
          <w:bCs/>
          <w:sz w:val="30"/>
          <w:szCs w:val="30"/>
          <w:lang w:bidi="ar-SA"/>
        </w:rPr>
        <w:t>含</w:t>
      </w:r>
      <w:r>
        <w:rPr>
          <w:rFonts w:ascii="宋体" w:hAnsi="宋体" w:cs="宋体"/>
          <w:b/>
          <w:bCs/>
          <w:sz w:val="30"/>
          <w:szCs w:val="30"/>
          <w:lang w:val="en-US" w:eastAsia="zh-CN" w:bidi="ar-SA"/>
        </w:rPr>
        <w:t>定期定额投资）费率优惠活动的公告</w:t>
      </w:r>
    </w:p>
    <w:p w:rsidR="008D174B" w:rsidRDefault="008D174B">
      <w:pPr>
        <w:widowControl w:val="0"/>
        <w:jc w:val="both"/>
        <w:rPr>
          <w:rFonts w:eastAsia="Times New Roman"/>
          <w:sz w:val="21"/>
          <w:szCs w:val="21"/>
          <w:lang w:val="en-US" w:eastAsia="zh-CN" w:bidi="ar-SA"/>
        </w:rPr>
      </w:pP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为了答谢广大投资者长期以来的信任和支持，鹏华基金管理有限公司（以下简称“本公司”）与中信证券股份有限公司（以下简称“中信证券”）协商一致，决定参加中信证券申购（</w:t>
      </w:r>
      <w:r w:rsidR="000F016C" w:rsidRPr="000F016C">
        <w:rPr>
          <w:rFonts w:ascii="宋体" w:hAnsi="宋体" w:cs="宋体" w:hint="eastAsia"/>
          <w:sz w:val="21"/>
          <w:szCs w:val="21"/>
          <w:lang w:val="en-US" w:eastAsia="zh-CN" w:bidi="ar-SA"/>
        </w:rPr>
        <w:t>含</w:t>
      </w:r>
      <w:r>
        <w:rPr>
          <w:rFonts w:ascii="宋体" w:hAnsi="宋体" w:cs="宋体"/>
          <w:sz w:val="21"/>
          <w:szCs w:val="21"/>
          <w:lang w:val="en-US" w:eastAsia="zh-CN" w:bidi="ar-SA"/>
        </w:rPr>
        <w:t>定期定额投资）费率优惠活动。现将有关事项公告如下：</w:t>
      </w:r>
    </w:p>
    <w:p w:rsidR="008D174B" w:rsidRDefault="008D174B">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通过中信证券申购（</w:t>
      </w:r>
      <w:r w:rsidR="000F016C" w:rsidRPr="000F016C">
        <w:rPr>
          <w:rFonts w:ascii="宋体" w:hAnsi="宋体" w:cs="宋体" w:hint="eastAsia"/>
          <w:sz w:val="21"/>
          <w:szCs w:val="21"/>
          <w:lang w:val="en-US" w:eastAsia="zh-CN" w:bidi="ar-SA"/>
        </w:rPr>
        <w:t>含</w:t>
      </w:r>
      <w:r>
        <w:rPr>
          <w:rFonts w:ascii="宋体" w:hAnsi="宋体" w:cs="宋体"/>
          <w:sz w:val="21"/>
          <w:szCs w:val="21"/>
          <w:lang w:val="en-US" w:eastAsia="zh-CN" w:bidi="ar-SA"/>
        </w:rPr>
        <w:t>定期定额投资）本公司下述适用基金的投资者。</w:t>
      </w:r>
    </w:p>
    <w:p w:rsidR="008D174B" w:rsidRDefault="008D174B">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本次费率优惠活动时间自2022年12月01日起，活动结束时间中信证券或本公司将另行公告确定。</w:t>
      </w:r>
    </w:p>
    <w:p w:rsidR="008D174B" w:rsidRDefault="008D174B">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5E0"/>
      </w:tblPr>
      <w:tblGrid>
        <w:gridCol w:w="1845"/>
        <w:gridCol w:w="7574"/>
      </w:tblGrid>
      <w:tr w:rsidR="008D174B" w:rsidRPr="008D174B" w:rsidTr="008D174B">
        <w:trPr>
          <w:trHeight w:val="600"/>
        </w:trPr>
        <w:tc>
          <w:tcPr>
            <w:tcW w:w="1845" w:type="dxa"/>
            <w:shd w:val="clear" w:color="auto" w:fill="auto"/>
            <w:noWrap/>
            <w:tcMar>
              <w:top w:w="45" w:type="dxa"/>
              <w:left w:w="45" w:type="dxa"/>
              <w:bottom w:w="45" w:type="dxa"/>
              <w:right w:w="45" w:type="dxa"/>
            </w:tcMar>
            <w:vAlign w:val="center"/>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b/>
                <w:bCs/>
                <w:color w:val="000000"/>
                <w:sz w:val="21"/>
                <w:szCs w:val="21"/>
                <w:lang w:val="en-US" w:eastAsia="zh-CN" w:bidi="ar-SA"/>
              </w:rPr>
              <w:t>基金代码</w:t>
            </w:r>
          </w:p>
        </w:tc>
        <w:tc>
          <w:tcPr>
            <w:tcW w:w="7574" w:type="dxa"/>
            <w:shd w:val="clear" w:color="auto" w:fill="auto"/>
            <w:noWrap/>
            <w:tcMar>
              <w:top w:w="45" w:type="dxa"/>
              <w:left w:w="35" w:type="dxa"/>
              <w:bottom w:w="45" w:type="dxa"/>
              <w:right w:w="45" w:type="dxa"/>
            </w:tcMar>
            <w:vAlign w:val="center"/>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b/>
                <w:bCs/>
                <w:color w:val="000000"/>
                <w:sz w:val="21"/>
                <w:szCs w:val="21"/>
                <w:lang w:val="en-US" w:eastAsia="zh-CN" w:bidi="ar-SA"/>
              </w:rPr>
              <w:t>基金名称</w:t>
            </w:r>
          </w:p>
        </w:tc>
      </w:tr>
      <w:tr w:rsidR="008D174B" w:rsidRPr="008D174B" w:rsidTr="008D174B">
        <w:trPr>
          <w:trHeight w:val="600"/>
        </w:trPr>
        <w:tc>
          <w:tcPr>
            <w:tcW w:w="1845" w:type="dxa"/>
            <w:shd w:val="clear" w:color="auto" w:fill="auto"/>
            <w:noWrap/>
            <w:tcMar>
              <w:top w:w="35" w:type="dxa"/>
              <w:left w:w="4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017380</w:t>
            </w:r>
          </w:p>
        </w:tc>
        <w:tc>
          <w:tcPr>
            <w:tcW w:w="7574" w:type="dxa"/>
            <w:shd w:val="clear" w:color="auto" w:fill="auto"/>
            <w:noWrap/>
            <w:tcMar>
              <w:top w:w="35" w:type="dxa"/>
              <w:left w:w="3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鹏华养老目标日期2035三年持有期混合型基金中基金（FOF）Y类</w:t>
            </w:r>
          </w:p>
        </w:tc>
      </w:tr>
      <w:tr w:rsidR="008D174B" w:rsidRPr="008D174B" w:rsidTr="008D174B">
        <w:trPr>
          <w:trHeight w:val="600"/>
        </w:trPr>
        <w:tc>
          <w:tcPr>
            <w:tcW w:w="1845" w:type="dxa"/>
            <w:shd w:val="clear" w:color="auto" w:fill="auto"/>
            <w:noWrap/>
            <w:tcMar>
              <w:top w:w="35" w:type="dxa"/>
              <w:left w:w="4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017381</w:t>
            </w:r>
          </w:p>
        </w:tc>
        <w:tc>
          <w:tcPr>
            <w:tcW w:w="7574" w:type="dxa"/>
            <w:shd w:val="clear" w:color="auto" w:fill="auto"/>
            <w:noWrap/>
            <w:tcMar>
              <w:top w:w="35" w:type="dxa"/>
              <w:left w:w="3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鹏华养老目标日期2045三年持有期混合型发起式基金中基金(FOF)Y类</w:t>
            </w:r>
          </w:p>
        </w:tc>
      </w:tr>
      <w:tr w:rsidR="008D174B" w:rsidRPr="008D174B" w:rsidTr="008D174B">
        <w:trPr>
          <w:trHeight w:val="600"/>
        </w:trPr>
        <w:tc>
          <w:tcPr>
            <w:tcW w:w="1845" w:type="dxa"/>
            <w:shd w:val="clear" w:color="auto" w:fill="auto"/>
            <w:noWrap/>
            <w:tcMar>
              <w:top w:w="35" w:type="dxa"/>
              <w:left w:w="4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017379</w:t>
            </w:r>
          </w:p>
        </w:tc>
        <w:tc>
          <w:tcPr>
            <w:tcW w:w="7574" w:type="dxa"/>
            <w:shd w:val="clear" w:color="auto" w:fill="auto"/>
            <w:noWrap/>
            <w:tcMar>
              <w:top w:w="35" w:type="dxa"/>
              <w:left w:w="3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鹏华长乐稳健养老目标一年持有期混合型发起式基金中基金（FOF）Y类</w:t>
            </w:r>
          </w:p>
        </w:tc>
      </w:tr>
      <w:tr w:rsidR="008D174B" w:rsidRPr="008D174B" w:rsidTr="008D174B">
        <w:trPr>
          <w:trHeight w:val="613"/>
        </w:trPr>
        <w:tc>
          <w:tcPr>
            <w:tcW w:w="1845" w:type="dxa"/>
            <w:shd w:val="clear" w:color="auto" w:fill="auto"/>
            <w:noWrap/>
            <w:tcMar>
              <w:top w:w="35" w:type="dxa"/>
              <w:left w:w="4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017239</w:t>
            </w:r>
          </w:p>
        </w:tc>
        <w:tc>
          <w:tcPr>
            <w:tcW w:w="7574" w:type="dxa"/>
            <w:shd w:val="clear" w:color="auto" w:fill="auto"/>
            <w:noWrap/>
            <w:tcMar>
              <w:top w:w="35" w:type="dxa"/>
              <w:left w:w="35" w:type="dxa"/>
              <w:bottom w:w="45" w:type="dxa"/>
              <w:right w:w="45" w:type="dxa"/>
            </w:tcMar>
            <w:vAlign w:val="bottom"/>
            <w:hideMark/>
          </w:tcPr>
          <w:p w:rsidR="008D174B" w:rsidRPr="008D174B" w:rsidRDefault="008D174B" w:rsidP="008D174B">
            <w:pPr>
              <w:spacing w:before="210" w:after="210"/>
              <w:jc w:val="center"/>
              <w:rPr>
                <w:sz w:val="21"/>
                <w:szCs w:val="21"/>
                <w:lang w:val="en-US" w:eastAsia="zh-CN" w:bidi="ar-SA"/>
              </w:rPr>
            </w:pPr>
            <w:r w:rsidRPr="008D174B">
              <w:rPr>
                <w:rFonts w:ascii="宋体" w:hAnsi="宋体" w:cs="宋体"/>
                <w:color w:val="000000"/>
                <w:sz w:val="21"/>
                <w:szCs w:val="21"/>
                <w:lang w:val="en-US" w:eastAsia="zh-CN" w:bidi="ar-SA"/>
              </w:rPr>
              <w:t>鹏华长治稳健养老目标一年持有期混合型基金中基金（FOF）Y类</w:t>
            </w:r>
          </w:p>
        </w:tc>
      </w:tr>
    </w:tbl>
    <w:p w:rsidR="008D174B" w:rsidRDefault="008D174B">
      <w:pPr>
        <w:widowControl w:val="0"/>
        <w:spacing w:before="240"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活动期间，投资者通过中信证券申购（</w:t>
      </w:r>
      <w:r w:rsidR="000F016C" w:rsidRPr="000F016C">
        <w:rPr>
          <w:rFonts w:ascii="宋体" w:hAnsi="宋体" w:cs="宋体" w:hint="eastAsia"/>
          <w:sz w:val="21"/>
          <w:szCs w:val="21"/>
          <w:lang w:val="en-US" w:eastAsia="zh-CN" w:bidi="ar-SA"/>
        </w:rPr>
        <w:t>含</w:t>
      </w:r>
      <w:r>
        <w:rPr>
          <w:rFonts w:ascii="宋体" w:hAnsi="宋体" w:cs="宋体"/>
          <w:sz w:val="21"/>
          <w:szCs w:val="21"/>
          <w:lang w:val="en-US" w:eastAsia="zh-CN" w:bidi="ar-SA"/>
        </w:rPr>
        <w:t>定期定额投资）本公司上述适用基金的，可享受申购费率0折优惠。申购费率按笔收取固定金额的，不享受申购费率折扣优惠。</w:t>
      </w:r>
    </w:p>
    <w:p w:rsidR="008D174B" w:rsidRDefault="008D174B">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1、本次优惠活动内容发生调整的，以中信证券或本公司相关公告为准；</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2、优惠活动详情请参见中信证券的相关公告或宣传资料。投资者欲了解上述基金产品的详细情况，请仔细阅读上述基金的《基金合同》、《招募说明书》、基金产品资料概要及其更新等法律文件；</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lastRenderedPageBreak/>
        <w:t>3、中信证券保留对本次优惠活动的解释权，本公司对于本公告享有解释权。</w:t>
      </w:r>
    </w:p>
    <w:p w:rsidR="008D174B" w:rsidRDefault="008D174B">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1、中信证券股份有限公司</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客户服务电话：95548</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网站：www.cs.ecitic.com</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网站：www.phfund.com.cn</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8D174B" w:rsidRDefault="008D174B">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8D174B" w:rsidRDefault="008D174B">
      <w:pPr>
        <w:widowControl w:val="0"/>
        <w:ind w:firstLine="420"/>
        <w:jc w:val="both"/>
        <w:rPr>
          <w:rFonts w:eastAsia="Times New Roman"/>
          <w:sz w:val="21"/>
          <w:szCs w:val="21"/>
          <w:lang w:val="en-US" w:eastAsia="zh-CN" w:bidi="ar-SA"/>
        </w:rPr>
      </w:pPr>
    </w:p>
    <w:p w:rsidR="008D174B" w:rsidRDefault="008D174B">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8D174B" w:rsidRDefault="008D174B">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2022年12月01日</w:t>
      </w:r>
    </w:p>
    <w:p w:rsidR="00A77B3E" w:rsidRDefault="00A77B3E"/>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C4" w:rsidRDefault="008E7BC4">
      <w:r>
        <w:separator/>
      </w:r>
    </w:p>
  </w:endnote>
  <w:endnote w:type="continuationSeparator" w:id="0">
    <w:p w:rsidR="008E7BC4" w:rsidRDefault="008E7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74B" w:rsidRDefault="008D174B">
    <w:pPr>
      <w:jc w:val="center"/>
    </w:pPr>
    <w:r>
      <w:rPr>
        <w:rFonts w:ascii="宋体" w:hAnsi="宋体" w:cs="宋体"/>
        <w:sz w:val="18"/>
      </w:rPr>
      <w:fldChar w:fldCharType="begin"/>
    </w:r>
    <w:r>
      <w:rPr>
        <w:rFonts w:ascii="宋体" w:hAnsi="宋体" w:cs="宋体"/>
        <w:sz w:val="18"/>
      </w:rPr>
      <w:instrText xml:space="preserve"> PAGE </w:instrText>
    </w:r>
    <w:r>
      <w:rPr>
        <w:rFonts w:ascii="宋体" w:hAnsi="宋体" w:cs="宋体"/>
        <w:sz w:val="18"/>
      </w:rPr>
      <w:fldChar w:fldCharType="separate"/>
    </w:r>
    <w:r w:rsidR="00AA21B4">
      <w:rPr>
        <w:rFonts w:ascii="宋体" w:hAnsi="宋体" w:cs="宋体"/>
        <w:noProof/>
        <w:sz w:val="18"/>
      </w:rPr>
      <w:t>1</w:t>
    </w:r>
    <w:r>
      <w:rPr>
        <w:rFonts w:ascii="宋体" w:hAnsi="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C4" w:rsidRDefault="008E7BC4">
      <w:r>
        <w:separator/>
      </w:r>
    </w:p>
  </w:footnote>
  <w:footnote w:type="continuationSeparator" w:id="0">
    <w:p w:rsidR="008E7BC4" w:rsidRDefault="008E7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F016C"/>
    <w:rsid w:val="004C728A"/>
    <w:rsid w:val="008D174B"/>
    <w:rsid w:val="008E7BC4"/>
    <w:rsid w:val="00A77B3E"/>
    <w:rsid w:val="00AA21B4"/>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Table">
    <w:name w:val="Table"/>
    <w:basedOn w:val="a1"/>
    <w:tblPr>
      <w:tblInd w:w="0" w:type="dxa"/>
      <w:tblCellMar>
        <w:top w:w="0" w:type="dxa"/>
        <w:left w:w="108" w:type="dxa"/>
        <w:bottom w:w="0" w:type="dxa"/>
        <w:right w:w="108" w:type="dxa"/>
      </w:tblCellMar>
    </w:tblPr>
  </w:style>
  <w:style w:type="paragraph" w:styleId="1">
    <w:name w:val="toc 1"/>
    <w:basedOn w:val="a"/>
    <w:next w:val="a"/>
    <w:autoRedefine/>
    <w:rsid w:val="00805BCE"/>
    <w:pPr>
      <w:spacing w:line="360" w:lineRule="auto"/>
    </w:pPr>
    <w:rPr>
      <w:rFonts w:ascii="宋体" w:hAnsi="宋体" w:cs="宋体"/>
      <w:b/>
      <w:sz w:val="21"/>
    </w:rPr>
  </w:style>
  <w:style w:type="paragraph" w:styleId="a3">
    <w:name w:val="header"/>
    <w:basedOn w:val="a"/>
    <w:link w:val="Char"/>
    <w:rsid w:val="004C72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4C728A"/>
    <w:rPr>
      <w:sz w:val="18"/>
      <w:szCs w:val="18"/>
    </w:rPr>
  </w:style>
  <w:style w:type="paragraph" w:styleId="a4">
    <w:name w:val="footer"/>
    <w:basedOn w:val="a"/>
    <w:link w:val="Char0"/>
    <w:rsid w:val="004C728A"/>
    <w:pPr>
      <w:tabs>
        <w:tab w:val="center" w:pos="4153"/>
        <w:tab w:val="right" w:pos="8306"/>
      </w:tabs>
      <w:snapToGrid w:val="0"/>
    </w:pPr>
    <w:rPr>
      <w:sz w:val="18"/>
      <w:szCs w:val="18"/>
    </w:rPr>
  </w:style>
  <w:style w:type="character" w:customStyle="1" w:styleId="Char0">
    <w:name w:val="页脚 Char"/>
    <w:link w:val="a4"/>
    <w:rsid w:val="004C72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cp:lastModifiedBy>ZHONGM</cp:lastModifiedBy>
  <cp:revision>2</cp:revision>
  <cp:lastPrinted>1601-01-01T00:00:00Z</cp:lastPrinted>
  <dcterms:created xsi:type="dcterms:W3CDTF">2022-11-30T16:00:00Z</dcterms:created>
  <dcterms:modified xsi:type="dcterms:W3CDTF">2022-11-30T16:00:00Z</dcterms:modified>
</cp:coreProperties>
</file>