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3A04" w:rsidRDefault="008D658A">
      <w:pPr>
        <w:spacing w:line="360" w:lineRule="auto"/>
        <w:jc w:val="center"/>
        <w:rPr>
          <w:rFonts w:asciiTheme="minorEastAsia" w:hAnsiTheme="minorEastAsia"/>
          <w:b/>
          <w:sz w:val="32"/>
          <w:szCs w:val="32"/>
        </w:rPr>
      </w:pPr>
      <w:r>
        <w:rPr>
          <w:rFonts w:ascii="宋体" w:hAnsi="宋体" w:hint="eastAsia"/>
          <w:b/>
          <w:sz w:val="32"/>
          <w:szCs w:val="32"/>
        </w:rPr>
        <w:t>关于中信建投基金管理有限公司旗下部分基金</w:t>
      </w:r>
      <w:r>
        <w:rPr>
          <w:rFonts w:hint="eastAsia"/>
          <w:b/>
          <w:sz w:val="32"/>
          <w:szCs w:val="32"/>
        </w:rPr>
        <w:t>增加泛华普益基金销售有限公司</w:t>
      </w:r>
      <w:r>
        <w:rPr>
          <w:rFonts w:ascii="宋体" w:hAnsi="宋体" w:hint="eastAsia"/>
          <w:b/>
          <w:sz w:val="32"/>
          <w:szCs w:val="32"/>
        </w:rPr>
        <w:t>为代销机构并</w:t>
      </w:r>
      <w:r>
        <w:rPr>
          <w:rFonts w:asciiTheme="minorEastAsia" w:hAnsiTheme="minorEastAsia" w:hint="eastAsia"/>
          <w:b/>
          <w:sz w:val="32"/>
          <w:szCs w:val="32"/>
        </w:rPr>
        <w:t>开通定期定额投资业务及开展费率优惠的公告</w:t>
      </w:r>
    </w:p>
    <w:p w:rsidR="002A3A04" w:rsidRDefault="002A3A04">
      <w:pPr>
        <w:spacing w:line="360" w:lineRule="auto"/>
        <w:ind w:rightChars="200" w:right="420"/>
        <w:jc w:val="center"/>
        <w:rPr>
          <w:b/>
          <w:sz w:val="32"/>
          <w:szCs w:val="32"/>
        </w:rPr>
      </w:pP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根据中信建投基金管理有限公司与泛华普益基金销售有限公司（以下简称“普益基金”）签署</w:t>
      </w:r>
      <w:r>
        <w:rPr>
          <w:rFonts w:asciiTheme="minorEastAsia" w:hAnsiTheme="minorEastAsia" w:cs="Times New Roman"/>
          <w:sz w:val="24"/>
          <w:szCs w:val="24"/>
        </w:rPr>
        <w:t>的</w:t>
      </w:r>
      <w:r>
        <w:rPr>
          <w:rFonts w:asciiTheme="minorEastAsia" w:hAnsiTheme="minorEastAsia" w:cs="Times New Roman" w:hint="eastAsia"/>
          <w:sz w:val="24"/>
          <w:szCs w:val="24"/>
        </w:rPr>
        <w:t>证券投资基金销售服务协议，自</w:t>
      </w:r>
      <w:r>
        <w:rPr>
          <w:rFonts w:asciiTheme="minorEastAsia" w:hAnsiTheme="minorEastAsia" w:cs="Times New Roman"/>
          <w:sz w:val="24"/>
          <w:szCs w:val="24"/>
        </w:rPr>
        <w:t>2022</w:t>
      </w:r>
      <w:r>
        <w:rPr>
          <w:rFonts w:asciiTheme="minorEastAsia" w:hAnsiTheme="minorEastAsia" w:cs="Times New Roman" w:hint="eastAsia"/>
          <w:sz w:val="24"/>
          <w:szCs w:val="24"/>
        </w:rPr>
        <w:t>年</w:t>
      </w:r>
      <w:r>
        <w:rPr>
          <w:rFonts w:asciiTheme="minorEastAsia" w:hAnsiTheme="minorEastAsia" w:cs="Times New Roman" w:hint="eastAsia"/>
          <w:sz w:val="24"/>
          <w:szCs w:val="24"/>
        </w:rPr>
        <w:t>12</w:t>
      </w:r>
      <w:r>
        <w:rPr>
          <w:rFonts w:asciiTheme="minorEastAsia" w:hAnsiTheme="minorEastAsia" w:cs="Times New Roman" w:hint="eastAsia"/>
          <w:sz w:val="24"/>
          <w:szCs w:val="24"/>
        </w:rPr>
        <w:t>月</w:t>
      </w:r>
      <w:r>
        <w:rPr>
          <w:rFonts w:asciiTheme="minorEastAsia" w:hAnsiTheme="minorEastAsia" w:cs="Times New Roman" w:hint="eastAsia"/>
          <w:sz w:val="24"/>
          <w:szCs w:val="24"/>
        </w:rPr>
        <w:t>1</w:t>
      </w:r>
      <w:r>
        <w:rPr>
          <w:rFonts w:asciiTheme="minorEastAsia" w:hAnsiTheme="minorEastAsia" w:cs="Times New Roman" w:hint="eastAsia"/>
          <w:sz w:val="24"/>
          <w:szCs w:val="24"/>
        </w:rPr>
        <w:t>日起，增加</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为中信建投基金管理有限公司旗下部分基金的代销机构。</w:t>
      </w:r>
    </w:p>
    <w:p w:rsidR="002A3A04" w:rsidRDefault="008D658A">
      <w:pPr>
        <w:pStyle w:val="ac"/>
        <w:spacing w:line="360" w:lineRule="auto"/>
        <w:ind w:left="480" w:firstLineChars="0" w:firstLine="0"/>
        <w:rPr>
          <w:rFonts w:asciiTheme="minorEastAsia" w:hAnsiTheme="minorEastAsia"/>
          <w:sz w:val="24"/>
          <w:szCs w:val="24"/>
        </w:rPr>
      </w:pPr>
      <w:r>
        <w:rPr>
          <w:rFonts w:asciiTheme="minorEastAsia" w:hAnsiTheme="minorEastAsia" w:hint="eastAsia"/>
          <w:sz w:val="24"/>
          <w:szCs w:val="24"/>
        </w:rPr>
        <w:t>一、适用基金范围</w:t>
      </w:r>
    </w:p>
    <w:tbl>
      <w:tblPr>
        <w:tblStyle w:val="a8"/>
        <w:tblpPr w:leftFromText="180" w:rightFromText="180" w:vertAnchor="text" w:horzAnchor="page" w:tblpX="1882" w:tblpY="102"/>
        <w:tblW w:w="8500" w:type="dxa"/>
        <w:tblLook w:val="04A0"/>
      </w:tblPr>
      <w:tblGrid>
        <w:gridCol w:w="5778"/>
        <w:gridCol w:w="2722"/>
      </w:tblGrid>
      <w:tr w:rsidR="002A3A04">
        <w:tc>
          <w:tcPr>
            <w:tcW w:w="5778"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hint="eastAsia"/>
                <w:sz w:val="24"/>
                <w:szCs w:val="24"/>
              </w:rPr>
              <w:t>基金名称</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hint="eastAsia"/>
                <w:sz w:val="24"/>
                <w:szCs w:val="24"/>
              </w:rPr>
              <w:t>基金代码</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中信建投智信物联网灵活配置混合型证券投资基金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001809,C</w:t>
            </w:r>
            <w:r>
              <w:rPr>
                <w:rFonts w:asciiTheme="minorEastAsia" w:hAnsiTheme="minorEastAsia"/>
                <w:sz w:val="24"/>
                <w:szCs w:val="24"/>
              </w:rPr>
              <w:t>类</w:t>
            </w:r>
            <w:r>
              <w:rPr>
                <w:rFonts w:asciiTheme="minorEastAsia" w:hAnsiTheme="minorEastAsia"/>
                <w:sz w:val="24"/>
                <w:szCs w:val="24"/>
              </w:rPr>
              <w:t>004636</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中信建投医改灵活配置混合型证券投资基金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002408</w:t>
            </w:r>
            <w:r>
              <w:rPr>
                <w:rFonts w:asciiTheme="minorEastAsia" w:hAnsiTheme="minor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007553</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中信建投行业轮换混合型证券投资基金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003822</w:t>
            </w:r>
            <w:r>
              <w:rPr>
                <w:rFonts w:asciiTheme="minorEastAsia" w:hAnsiTheme="minor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003823</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中信建投中证</w:t>
            </w:r>
            <w:r>
              <w:rPr>
                <w:rFonts w:asciiTheme="minorEastAsia" w:hAnsiTheme="minorEastAsia" w:cs="Times New Roman" w:hint="eastAsia"/>
                <w:sz w:val="24"/>
                <w:szCs w:val="24"/>
              </w:rPr>
              <w:t>500</w:t>
            </w:r>
            <w:r>
              <w:rPr>
                <w:rFonts w:asciiTheme="minorEastAsia" w:hAnsiTheme="minorEastAsia" w:cs="Times New Roman" w:hint="eastAsia"/>
                <w:sz w:val="24"/>
                <w:szCs w:val="24"/>
              </w:rPr>
              <w:t>指数增强型证券投资基金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006440</w:t>
            </w:r>
            <w:r>
              <w:rPr>
                <w:rFonts w:asciiTheme="minorEastAsia" w:hAnsiTheme="minor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006441</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中信建投远见回报混合型证券投资基金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011868</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011869</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中信建投量化精选</w:t>
            </w:r>
            <w:r>
              <w:rPr>
                <w:rFonts w:asciiTheme="minorEastAsia" w:hAnsiTheme="minorEastAsia" w:cs="Times New Roman" w:hint="eastAsia"/>
                <w:sz w:val="24"/>
                <w:szCs w:val="24"/>
              </w:rPr>
              <w:t>6</w:t>
            </w:r>
            <w:r>
              <w:rPr>
                <w:rFonts w:asciiTheme="minorEastAsia" w:hAnsiTheme="minorEastAsia" w:cs="Times New Roman" w:hint="eastAsia"/>
                <w:sz w:val="24"/>
                <w:szCs w:val="24"/>
              </w:rPr>
              <w:t>个月持有期混合型证券投资基金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012878</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01287</w:t>
            </w:r>
            <w:r>
              <w:rPr>
                <w:rFonts w:asciiTheme="minorEastAsia" w:hAnsiTheme="minorEastAsia" w:hint="eastAsia"/>
                <w:sz w:val="24"/>
                <w:szCs w:val="24"/>
              </w:rPr>
              <w:t>9</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中信建投低碳成长混合型证券投资基金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013851</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01385</w:t>
            </w:r>
            <w:r>
              <w:rPr>
                <w:rFonts w:asciiTheme="minorEastAsia" w:hAnsiTheme="minorEastAsia" w:hint="eastAsia"/>
                <w:sz w:val="24"/>
                <w:szCs w:val="24"/>
              </w:rPr>
              <w:t>2</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中信建投品质优选一年持有期混合型证券投资基金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hint="eastAsia"/>
                <w:sz w:val="24"/>
                <w:szCs w:val="24"/>
              </w:rPr>
              <w:t>014016</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014017</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中信建投沪深</w:t>
            </w:r>
            <w:r>
              <w:rPr>
                <w:rFonts w:asciiTheme="minorEastAsia" w:hAnsiTheme="minorEastAsia" w:cs="Times New Roman" w:hint="eastAsia"/>
                <w:sz w:val="24"/>
                <w:szCs w:val="24"/>
              </w:rPr>
              <w:t>300</w:t>
            </w:r>
            <w:r>
              <w:rPr>
                <w:rFonts w:asciiTheme="minorEastAsia" w:hAnsiTheme="minorEastAsia" w:cs="Times New Roman" w:hint="eastAsia"/>
                <w:sz w:val="24"/>
                <w:szCs w:val="24"/>
              </w:rPr>
              <w:t>指数增强型证券投资基金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015061</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01506</w:t>
            </w:r>
            <w:r>
              <w:rPr>
                <w:rFonts w:asciiTheme="minorEastAsia" w:hAnsiTheme="minorEastAsia" w:hint="eastAsia"/>
                <w:sz w:val="24"/>
                <w:szCs w:val="24"/>
              </w:rPr>
              <w:t>2</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中信建投中证</w:t>
            </w:r>
            <w:r>
              <w:rPr>
                <w:rFonts w:asciiTheme="minorEastAsia" w:hAnsiTheme="minorEastAsia" w:cs="Times New Roman" w:hint="eastAsia"/>
                <w:sz w:val="24"/>
                <w:szCs w:val="24"/>
              </w:rPr>
              <w:t>1000</w:t>
            </w:r>
            <w:r>
              <w:rPr>
                <w:rFonts w:asciiTheme="minorEastAsia" w:hAnsiTheme="minorEastAsia" w:cs="Times New Roman" w:hint="eastAsia"/>
                <w:sz w:val="24"/>
                <w:szCs w:val="24"/>
              </w:rPr>
              <w:t>指数增强型证券投资基金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015784</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015785</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中信建投趋势领航两年持有期混合型证券投资基金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016265</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01626</w:t>
            </w:r>
            <w:r>
              <w:rPr>
                <w:rFonts w:asciiTheme="minorEastAsia" w:hAnsiTheme="minorEastAsia" w:hint="eastAsia"/>
                <w:sz w:val="24"/>
                <w:szCs w:val="24"/>
              </w:rPr>
              <w:t>6</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中信建投红利智选混合型证券投资基金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016774</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01677</w:t>
            </w:r>
            <w:r>
              <w:rPr>
                <w:rFonts w:asciiTheme="minorEastAsia" w:hAnsiTheme="minorEastAsia" w:hint="eastAsia"/>
                <w:sz w:val="24"/>
                <w:szCs w:val="24"/>
              </w:rPr>
              <w:t>5</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中信建投科技主题</w:t>
            </w:r>
            <w:r>
              <w:rPr>
                <w:rFonts w:asciiTheme="minorEastAsia" w:hAnsiTheme="minorEastAsia" w:cs="Times New Roman" w:hint="eastAsia"/>
                <w:sz w:val="24"/>
                <w:szCs w:val="24"/>
              </w:rPr>
              <w:t>6</w:t>
            </w:r>
            <w:r>
              <w:rPr>
                <w:rFonts w:asciiTheme="minorEastAsia" w:hAnsiTheme="minorEastAsia" w:cs="Times New Roman" w:hint="eastAsia"/>
                <w:sz w:val="24"/>
                <w:szCs w:val="24"/>
              </w:rPr>
              <w:t>个月持有期混合型证券投资基金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sz w:val="24"/>
                <w:szCs w:val="24"/>
              </w:rPr>
              <w:t>A</w:t>
            </w:r>
            <w:r>
              <w:rPr>
                <w:rFonts w:asciiTheme="minorEastAsia" w:hAnsiTheme="minorEastAsia"/>
                <w:sz w:val="24"/>
                <w:szCs w:val="24"/>
              </w:rPr>
              <w:t>类</w:t>
            </w:r>
            <w:r>
              <w:rPr>
                <w:rFonts w:asciiTheme="minorEastAsia" w:hAnsiTheme="minorEastAsia"/>
                <w:sz w:val="24"/>
                <w:szCs w:val="24"/>
              </w:rPr>
              <w:t>017034</w:t>
            </w:r>
            <w:r>
              <w:rPr>
                <w:rFonts w:asciiTheme="minorEastAsia" w:hAnsiTheme="minorEastAsia" w:hint="eastAsia"/>
                <w:sz w:val="24"/>
                <w:szCs w:val="24"/>
              </w:rPr>
              <w:t>，</w:t>
            </w:r>
            <w:r>
              <w:rPr>
                <w:rFonts w:asciiTheme="minorEastAsia" w:hAnsiTheme="minorEastAsia"/>
                <w:sz w:val="24"/>
                <w:szCs w:val="24"/>
              </w:rPr>
              <w:t>C</w:t>
            </w:r>
            <w:r>
              <w:rPr>
                <w:rFonts w:asciiTheme="minorEastAsia" w:hAnsiTheme="minorEastAsia"/>
                <w:sz w:val="24"/>
                <w:szCs w:val="24"/>
              </w:rPr>
              <w:t>类</w:t>
            </w:r>
            <w:r>
              <w:rPr>
                <w:rFonts w:asciiTheme="minorEastAsia" w:hAnsiTheme="minorEastAsia"/>
                <w:sz w:val="24"/>
                <w:szCs w:val="24"/>
              </w:rPr>
              <w:t>017035</w:t>
            </w:r>
          </w:p>
        </w:tc>
      </w:tr>
      <w:tr w:rsidR="002A3A04">
        <w:tc>
          <w:tcPr>
            <w:tcW w:w="5778" w:type="dxa"/>
            <w:vAlign w:val="center"/>
          </w:tcPr>
          <w:p w:rsidR="002A3A04" w:rsidRDefault="008D658A">
            <w:pPr>
              <w:widowControl/>
              <w:spacing w:after="180"/>
              <w:jc w:val="center"/>
              <w:rPr>
                <w:rFonts w:asciiTheme="minorEastAsia" w:hAnsiTheme="minorEastAsia" w:cs="Times New Roman"/>
                <w:sz w:val="24"/>
                <w:szCs w:val="24"/>
              </w:rPr>
            </w:pPr>
            <w:r>
              <w:rPr>
                <w:rFonts w:asciiTheme="minorEastAsia" w:hAnsiTheme="minorEastAsia" w:cs="Times New Roman" w:hint="eastAsia"/>
                <w:sz w:val="24"/>
                <w:szCs w:val="24"/>
              </w:rPr>
              <w:t>中信建投中证同业存单</w:t>
            </w:r>
            <w:r>
              <w:rPr>
                <w:rFonts w:asciiTheme="minorEastAsia" w:hAnsiTheme="minorEastAsia" w:cs="Times New Roman" w:hint="eastAsia"/>
                <w:sz w:val="24"/>
                <w:szCs w:val="24"/>
              </w:rPr>
              <w:t>AAA</w:t>
            </w:r>
            <w:r>
              <w:rPr>
                <w:rFonts w:asciiTheme="minorEastAsia" w:hAnsiTheme="minorEastAsia" w:cs="Times New Roman" w:hint="eastAsia"/>
                <w:sz w:val="24"/>
                <w:szCs w:val="24"/>
              </w:rPr>
              <w:t>指数</w:t>
            </w:r>
            <w:r>
              <w:rPr>
                <w:rFonts w:asciiTheme="minorEastAsia" w:hAnsiTheme="minorEastAsia" w:cs="Times New Roman" w:hint="eastAsia"/>
                <w:sz w:val="24"/>
                <w:szCs w:val="24"/>
              </w:rPr>
              <w:t>7</w:t>
            </w:r>
            <w:r>
              <w:rPr>
                <w:rFonts w:asciiTheme="minorEastAsia" w:hAnsiTheme="minorEastAsia" w:cs="Times New Roman" w:hint="eastAsia"/>
                <w:sz w:val="24"/>
                <w:szCs w:val="24"/>
              </w:rPr>
              <w:t>天持有期证券投资基金</w:t>
            </w:r>
          </w:p>
        </w:tc>
        <w:tc>
          <w:tcPr>
            <w:tcW w:w="2722" w:type="dxa"/>
            <w:vAlign w:val="center"/>
          </w:tcPr>
          <w:p w:rsidR="002A3A04" w:rsidRDefault="008D658A">
            <w:pPr>
              <w:widowControl/>
              <w:spacing w:after="180"/>
              <w:jc w:val="center"/>
              <w:rPr>
                <w:rFonts w:asciiTheme="minorEastAsia" w:hAnsiTheme="minorEastAsia"/>
                <w:sz w:val="24"/>
                <w:szCs w:val="24"/>
              </w:rPr>
            </w:pPr>
            <w:r>
              <w:rPr>
                <w:rFonts w:asciiTheme="minorEastAsia" w:hAnsiTheme="minorEastAsia" w:hint="eastAsia"/>
                <w:sz w:val="24"/>
                <w:szCs w:val="24"/>
              </w:rPr>
              <w:t>017183</w:t>
            </w:r>
          </w:p>
        </w:tc>
      </w:tr>
    </w:tbl>
    <w:p w:rsidR="002A3A04" w:rsidRDefault="002A3A04">
      <w:pPr>
        <w:pStyle w:val="ac"/>
        <w:spacing w:line="360" w:lineRule="auto"/>
        <w:ind w:left="480" w:firstLineChars="0" w:firstLine="0"/>
        <w:rPr>
          <w:rFonts w:asciiTheme="minorEastAsia" w:hAnsiTheme="minorEastAsia"/>
          <w:sz w:val="24"/>
          <w:szCs w:val="24"/>
        </w:rPr>
      </w:pP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二、基金开户、</w:t>
      </w:r>
      <w:r>
        <w:rPr>
          <w:rFonts w:asciiTheme="minorEastAsia" w:hAnsiTheme="minorEastAsia" w:cs="Times New Roman" w:hint="eastAsia"/>
          <w:sz w:val="24"/>
          <w:szCs w:val="24"/>
        </w:rPr>
        <w:t>认购</w:t>
      </w:r>
      <w:r>
        <w:rPr>
          <w:rFonts w:asciiTheme="minorEastAsia" w:hAnsiTheme="minorEastAsia" w:cs="Times New Roman" w:hint="eastAsia"/>
          <w:sz w:val="24"/>
          <w:szCs w:val="24"/>
        </w:rPr>
        <w:t>/</w:t>
      </w:r>
      <w:r>
        <w:rPr>
          <w:rFonts w:asciiTheme="minorEastAsia" w:hAnsiTheme="minorEastAsia" w:cs="Times New Roman" w:hint="eastAsia"/>
          <w:sz w:val="24"/>
          <w:szCs w:val="24"/>
        </w:rPr>
        <w:t>申购</w:t>
      </w:r>
      <w:r>
        <w:rPr>
          <w:rFonts w:asciiTheme="minorEastAsia" w:hAnsiTheme="minorEastAsia" w:cs="Times New Roman" w:hint="eastAsia"/>
          <w:sz w:val="24"/>
          <w:szCs w:val="24"/>
        </w:rPr>
        <w:t>、赎回等业务</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hint="eastAsia"/>
          <w:sz w:val="24"/>
          <w:szCs w:val="24"/>
        </w:rPr>
        <w:t>自</w:t>
      </w:r>
      <w:r>
        <w:rPr>
          <w:rFonts w:asciiTheme="minorEastAsia" w:hAnsiTheme="minorEastAsia"/>
          <w:sz w:val="24"/>
          <w:szCs w:val="24"/>
        </w:rPr>
        <w:t>2022</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1</w:t>
      </w:r>
      <w:r>
        <w:rPr>
          <w:rFonts w:asciiTheme="minorEastAsia" w:hAnsiTheme="minorEastAsia" w:hint="eastAsia"/>
          <w:sz w:val="24"/>
          <w:szCs w:val="24"/>
        </w:rPr>
        <w:t>日起，</w:t>
      </w:r>
      <w:r>
        <w:rPr>
          <w:rFonts w:asciiTheme="minorEastAsia" w:hAnsiTheme="minorEastAsia" w:cs="Times New Roman" w:hint="eastAsia"/>
          <w:sz w:val="24"/>
          <w:szCs w:val="24"/>
        </w:rPr>
        <w:t>投资者可通过</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办理上述基金的开户、</w:t>
      </w:r>
      <w:r>
        <w:rPr>
          <w:rFonts w:asciiTheme="minorEastAsia" w:hAnsiTheme="minorEastAsia" w:cs="Times New Roman" w:hint="eastAsia"/>
          <w:sz w:val="24"/>
          <w:szCs w:val="24"/>
        </w:rPr>
        <w:t>认购</w:t>
      </w:r>
      <w:r>
        <w:rPr>
          <w:rFonts w:asciiTheme="minorEastAsia" w:hAnsiTheme="minorEastAsia" w:cs="Times New Roman" w:hint="eastAsia"/>
          <w:sz w:val="24"/>
          <w:szCs w:val="24"/>
        </w:rPr>
        <w:lastRenderedPageBreak/>
        <w:t>/</w:t>
      </w:r>
      <w:r>
        <w:rPr>
          <w:rFonts w:asciiTheme="minorEastAsia" w:hAnsiTheme="minorEastAsia" w:cs="Times New Roman" w:hint="eastAsia"/>
          <w:sz w:val="24"/>
          <w:szCs w:val="24"/>
        </w:rPr>
        <w:t>申购</w:t>
      </w:r>
      <w:r>
        <w:rPr>
          <w:rFonts w:asciiTheme="minorEastAsia" w:hAnsiTheme="minorEastAsia" w:cs="Times New Roman" w:hint="eastAsia"/>
          <w:sz w:val="24"/>
          <w:szCs w:val="24"/>
        </w:rPr>
        <w:t>、赎回等业务，具体的业务流程、办理时间和办理方式以</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的规定为准。</w:t>
      </w:r>
      <w:r>
        <w:rPr>
          <w:rFonts w:asciiTheme="minorEastAsia" w:hAnsiTheme="minorEastAsia" w:hint="eastAsia"/>
          <w:sz w:val="24"/>
          <w:szCs w:val="24"/>
        </w:rPr>
        <w:t>投资者通过</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认购</w:t>
      </w:r>
      <w:r>
        <w:rPr>
          <w:rFonts w:asciiTheme="minorEastAsia" w:hAnsiTheme="minorEastAsia" w:cs="Times New Roman" w:hint="eastAsia"/>
          <w:sz w:val="24"/>
          <w:szCs w:val="24"/>
        </w:rPr>
        <w:t>/</w:t>
      </w:r>
      <w:r>
        <w:rPr>
          <w:rFonts w:asciiTheme="minorEastAsia" w:hAnsiTheme="minorEastAsia" w:cs="Times New Roman" w:hint="eastAsia"/>
          <w:sz w:val="24"/>
          <w:szCs w:val="24"/>
        </w:rPr>
        <w:t>申购</w:t>
      </w:r>
      <w:r>
        <w:rPr>
          <w:rFonts w:asciiTheme="minorEastAsia" w:hAnsiTheme="minorEastAsia" w:hint="eastAsia"/>
          <w:sz w:val="24"/>
          <w:szCs w:val="24"/>
        </w:rPr>
        <w:t>上述基金，首次最低</w:t>
      </w:r>
      <w:r>
        <w:rPr>
          <w:rFonts w:asciiTheme="minorEastAsia" w:hAnsiTheme="minorEastAsia" w:cs="Times New Roman" w:hint="eastAsia"/>
          <w:sz w:val="24"/>
          <w:szCs w:val="24"/>
        </w:rPr>
        <w:t>认购</w:t>
      </w:r>
      <w:r>
        <w:rPr>
          <w:rFonts w:asciiTheme="minorEastAsia" w:hAnsiTheme="minorEastAsia" w:cs="Times New Roman" w:hint="eastAsia"/>
          <w:sz w:val="24"/>
          <w:szCs w:val="24"/>
        </w:rPr>
        <w:t>/</w:t>
      </w:r>
      <w:r>
        <w:rPr>
          <w:rFonts w:asciiTheme="minorEastAsia" w:hAnsiTheme="minorEastAsia" w:cs="Times New Roman" w:hint="eastAsia"/>
          <w:sz w:val="24"/>
          <w:szCs w:val="24"/>
        </w:rPr>
        <w:t>申购</w:t>
      </w:r>
      <w:r>
        <w:rPr>
          <w:rFonts w:asciiTheme="minorEastAsia" w:hAnsiTheme="minorEastAsia" w:hint="eastAsia"/>
          <w:sz w:val="24"/>
          <w:szCs w:val="24"/>
        </w:rPr>
        <w:t>金额为</w:t>
      </w:r>
      <w:r>
        <w:rPr>
          <w:rFonts w:asciiTheme="minorEastAsia" w:hAnsiTheme="minorEastAsia" w:hint="eastAsia"/>
          <w:sz w:val="24"/>
          <w:szCs w:val="24"/>
        </w:rPr>
        <w:t>1</w:t>
      </w:r>
      <w:r>
        <w:rPr>
          <w:rFonts w:asciiTheme="minorEastAsia" w:hAnsiTheme="minorEastAsia" w:hint="eastAsia"/>
          <w:sz w:val="24"/>
          <w:szCs w:val="24"/>
        </w:rPr>
        <w:t>0</w:t>
      </w:r>
      <w:r>
        <w:rPr>
          <w:rFonts w:asciiTheme="minorEastAsia" w:hAnsiTheme="minorEastAsia" w:hint="eastAsia"/>
          <w:sz w:val="24"/>
          <w:szCs w:val="24"/>
        </w:rPr>
        <w:t>元（含</w:t>
      </w:r>
      <w:r>
        <w:rPr>
          <w:rFonts w:asciiTheme="minorEastAsia" w:hAnsiTheme="minorEastAsia" w:hint="eastAsia"/>
          <w:sz w:val="24"/>
          <w:szCs w:val="24"/>
        </w:rPr>
        <w:t>1</w:t>
      </w:r>
      <w:r>
        <w:rPr>
          <w:rFonts w:asciiTheme="minorEastAsia" w:hAnsiTheme="minorEastAsia" w:hint="eastAsia"/>
          <w:sz w:val="24"/>
          <w:szCs w:val="24"/>
        </w:rPr>
        <w:t>0</w:t>
      </w:r>
      <w:r>
        <w:rPr>
          <w:rFonts w:asciiTheme="minorEastAsia" w:hAnsiTheme="minorEastAsia" w:hint="eastAsia"/>
          <w:sz w:val="24"/>
          <w:szCs w:val="24"/>
        </w:rPr>
        <w:t>元）</w:t>
      </w:r>
      <w:r>
        <w:rPr>
          <w:rFonts w:asciiTheme="minorEastAsia" w:hAnsiTheme="minorEastAsia" w:hint="eastAsia"/>
          <w:sz w:val="24"/>
          <w:szCs w:val="24"/>
        </w:rPr>
        <w:t>。</w:t>
      </w: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三</w:t>
      </w:r>
      <w:r>
        <w:rPr>
          <w:rFonts w:asciiTheme="minorEastAsia" w:hAnsiTheme="minorEastAsia" w:cs="Times New Roman" w:hint="eastAsia"/>
          <w:sz w:val="24"/>
          <w:szCs w:val="24"/>
        </w:rPr>
        <w:t>、定期定额投资业务</w:t>
      </w:r>
    </w:p>
    <w:p w:rsidR="002A3A04" w:rsidRDefault="008D658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“定期定额投资业务”是基金申购业务的一种方式，投资者可以通过</w:t>
      </w:r>
      <w:r>
        <w:rPr>
          <w:rFonts w:asciiTheme="minorEastAsia" w:hAnsiTheme="minorEastAsia" w:cs="Times New Roman" w:hint="eastAsia"/>
          <w:sz w:val="24"/>
          <w:szCs w:val="24"/>
        </w:rPr>
        <w:t>普益基金</w:t>
      </w:r>
      <w:r>
        <w:rPr>
          <w:rFonts w:asciiTheme="minorEastAsia" w:hAnsiTheme="minorEastAsia" w:hint="eastAsia"/>
          <w:sz w:val="24"/>
          <w:szCs w:val="24"/>
        </w:rPr>
        <w:t>提交申请办理基金的定期定额投资业务，约定每期扣款时间、扣款金额及扣款方式，由</w:t>
      </w:r>
      <w:r>
        <w:rPr>
          <w:rFonts w:asciiTheme="minorEastAsia" w:hAnsiTheme="minorEastAsia" w:cs="Times New Roman" w:hint="eastAsia"/>
          <w:sz w:val="24"/>
          <w:szCs w:val="24"/>
        </w:rPr>
        <w:t>普益基金</w:t>
      </w:r>
      <w:r>
        <w:rPr>
          <w:rFonts w:asciiTheme="minorEastAsia" w:hAnsiTheme="minorEastAsia" w:hint="eastAsia"/>
          <w:sz w:val="24"/>
          <w:szCs w:val="24"/>
        </w:rPr>
        <w:t>于约定扣款日在投资者指定资金账户内自动完成扣款及基金申购业务。投资者在办理相关基金定期定额投资业务的同时，仍然可以进行日常申购、赎回业务。</w:t>
      </w:r>
    </w:p>
    <w:p w:rsidR="002A3A04" w:rsidRDefault="008D658A">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四</w:t>
      </w:r>
      <w:r>
        <w:rPr>
          <w:rFonts w:asciiTheme="minorEastAsia" w:hAnsiTheme="minorEastAsia" w:cs="Times New Roman" w:hint="eastAsia"/>
          <w:sz w:val="24"/>
          <w:szCs w:val="24"/>
        </w:rPr>
        <w:t>、适用投资者</w:t>
      </w:r>
    </w:p>
    <w:p w:rsidR="002A3A04" w:rsidRDefault="008D658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定期定额投资业务适用于依据国家有关法律法规和基金合同约定的可以投资证券投资基金的投资者。</w:t>
      </w:r>
    </w:p>
    <w:p w:rsidR="002A3A04" w:rsidRDefault="008D658A">
      <w:pPr>
        <w:spacing w:line="360" w:lineRule="auto"/>
        <w:ind w:firstLineChars="200" w:firstLine="480"/>
        <w:rPr>
          <w:rFonts w:asciiTheme="minorEastAsia" w:hAnsiTheme="minorEastAsia"/>
          <w:sz w:val="24"/>
          <w:szCs w:val="24"/>
        </w:rPr>
      </w:pPr>
      <w:r>
        <w:rPr>
          <w:rFonts w:asciiTheme="minorEastAsia" w:hAnsiTheme="minorEastAsia" w:cs="Times New Roman" w:hint="eastAsia"/>
          <w:sz w:val="24"/>
          <w:szCs w:val="24"/>
        </w:rPr>
        <w:t>五</w:t>
      </w:r>
      <w:r>
        <w:rPr>
          <w:rFonts w:asciiTheme="minorEastAsia" w:hAnsiTheme="minorEastAsia" w:cs="Times New Roman" w:hint="eastAsia"/>
          <w:sz w:val="24"/>
          <w:szCs w:val="24"/>
        </w:rPr>
        <w:t>、</w:t>
      </w:r>
      <w:r>
        <w:rPr>
          <w:rFonts w:asciiTheme="minorEastAsia" w:hAnsiTheme="minorEastAsia" w:hint="eastAsia"/>
          <w:sz w:val="24"/>
          <w:szCs w:val="24"/>
        </w:rPr>
        <w:t>办理场所</w:t>
      </w:r>
    </w:p>
    <w:p w:rsidR="002A3A04" w:rsidRDefault="008D658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自</w:t>
      </w:r>
      <w:r>
        <w:rPr>
          <w:rFonts w:asciiTheme="minorEastAsia" w:hAnsiTheme="minorEastAsia"/>
          <w:sz w:val="24"/>
          <w:szCs w:val="24"/>
        </w:rPr>
        <w:t>2022</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sz w:val="24"/>
          <w:szCs w:val="24"/>
        </w:rPr>
        <w:t>月</w:t>
      </w:r>
      <w:r>
        <w:rPr>
          <w:rFonts w:asciiTheme="minorEastAsia" w:hAnsiTheme="minorEastAsia" w:hint="eastAsia"/>
          <w:sz w:val="24"/>
          <w:szCs w:val="24"/>
        </w:rPr>
        <w:t>1</w:t>
      </w:r>
      <w:r>
        <w:rPr>
          <w:rFonts w:asciiTheme="minorEastAsia" w:hAnsiTheme="minorEastAsia"/>
          <w:sz w:val="24"/>
          <w:szCs w:val="24"/>
        </w:rPr>
        <w:t>日</w:t>
      </w:r>
      <w:r>
        <w:rPr>
          <w:rFonts w:asciiTheme="minorEastAsia" w:hAnsiTheme="minorEastAsia" w:hint="eastAsia"/>
          <w:sz w:val="24"/>
          <w:szCs w:val="24"/>
        </w:rPr>
        <w:t>起，投资者可</w:t>
      </w:r>
      <w:r>
        <w:rPr>
          <w:rFonts w:asciiTheme="minorEastAsia" w:hAnsiTheme="minorEastAsia" w:cs="Times New Roman" w:hint="eastAsia"/>
          <w:sz w:val="24"/>
          <w:szCs w:val="24"/>
        </w:rPr>
        <w:t>按</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规定的办理方式</w:t>
      </w:r>
      <w:r>
        <w:rPr>
          <w:rFonts w:asciiTheme="minorEastAsia" w:hAnsiTheme="minorEastAsia" w:hint="eastAsia"/>
          <w:sz w:val="24"/>
          <w:szCs w:val="24"/>
        </w:rPr>
        <w:t>办理上述基金定期定额投资业务申请。</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六</w:t>
      </w:r>
      <w:r>
        <w:rPr>
          <w:rFonts w:asciiTheme="minorEastAsia" w:hAnsiTheme="minorEastAsia" w:cs="Times New Roman" w:hint="eastAsia"/>
          <w:sz w:val="24"/>
          <w:szCs w:val="24"/>
        </w:rPr>
        <w:t>、申请方式</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、凡申请办理上述基金定期定额投资业务的投资者，须先开立中信建投基金管理有限公司开放式基金账户（已开户者除外）；</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、已开立上述基金账户的投资者，应按</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规定的办理方式申请办理此项业务。</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七</w:t>
      </w:r>
      <w:r>
        <w:rPr>
          <w:rFonts w:asciiTheme="minorEastAsia" w:hAnsiTheme="minorEastAsia" w:cs="Times New Roman" w:hint="eastAsia"/>
          <w:sz w:val="24"/>
          <w:szCs w:val="24"/>
        </w:rPr>
        <w:t>、办理时间</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定期定额投资业务申请办理时间，为开放式基金法定开放日</w:t>
      </w:r>
      <w:r>
        <w:rPr>
          <w:rFonts w:asciiTheme="minorEastAsia" w:hAnsiTheme="minorEastAsia" w:cs="Times New Roman" w:hint="eastAsia"/>
          <w:sz w:val="24"/>
          <w:szCs w:val="24"/>
        </w:rPr>
        <w:t>9</w:t>
      </w:r>
      <w:r>
        <w:rPr>
          <w:rFonts w:asciiTheme="minorEastAsia" w:hAnsiTheme="minorEastAsia" w:cs="Times New Roman" w:hint="eastAsia"/>
          <w:sz w:val="24"/>
          <w:szCs w:val="24"/>
        </w:rPr>
        <w:t>：</w:t>
      </w:r>
      <w:r>
        <w:rPr>
          <w:rFonts w:asciiTheme="minorEastAsia" w:hAnsiTheme="minorEastAsia" w:cs="Times New Roman" w:hint="eastAsia"/>
          <w:sz w:val="24"/>
          <w:szCs w:val="24"/>
        </w:rPr>
        <w:t>30-15</w:t>
      </w:r>
      <w:r>
        <w:rPr>
          <w:rFonts w:asciiTheme="minorEastAsia" w:hAnsiTheme="minorEastAsia" w:cs="Times New Roman" w:hint="eastAsia"/>
          <w:sz w:val="24"/>
          <w:szCs w:val="24"/>
        </w:rPr>
        <w:t>：</w:t>
      </w:r>
      <w:r>
        <w:rPr>
          <w:rFonts w:asciiTheme="minorEastAsia" w:hAnsiTheme="minorEastAsia" w:cs="Times New Roman" w:hint="eastAsia"/>
          <w:sz w:val="24"/>
          <w:szCs w:val="24"/>
        </w:rPr>
        <w:t>00</w:t>
      </w:r>
      <w:r>
        <w:rPr>
          <w:rFonts w:asciiTheme="minorEastAsia" w:hAnsiTheme="minorEastAsia" w:cs="Times New Roman" w:hint="eastAsia"/>
          <w:sz w:val="24"/>
          <w:szCs w:val="24"/>
        </w:rPr>
        <w:t>。</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八</w:t>
      </w:r>
      <w:r>
        <w:rPr>
          <w:rFonts w:asciiTheme="minorEastAsia" w:hAnsiTheme="minorEastAsia" w:cs="Times New Roman" w:hint="eastAsia"/>
          <w:sz w:val="24"/>
          <w:szCs w:val="24"/>
        </w:rPr>
        <w:t>、扣款日</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投资者应与</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约定固定扣款日期，该扣款日期视为基金合同中约定的申购申请日（</w:t>
      </w:r>
      <w:r>
        <w:rPr>
          <w:rFonts w:asciiTheme="minorEastAsia" w:hAnsiTheme="minorEastAsia" w:cs="Times New Roman" w:hint="eastAsia"/>
          <w:sz w:val="24"/>
          <w:szCs w:val="24"/>
        </w:rPr>
        <w:t>T</w:t>
      </w:r>
      <w:r>
        <w:rPr>
          <w:rFonts w:asciiTheme="minorEastAsia" w:hAnsiTheme="minorEastAsia" w:cs="Times New Roman" w:hint="eastAsia"/>
          <w:sz w:val="24"/>
          <w:szCs w:val="24"/>
        </w:rPr>
        <w:t>日）。</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九</w:t>
      </w:r>
      <w:r>
        <w:rPr>
          <w:rFonts w:asciiTheme="minorEastAsia" w:hAnsiTheme="minorEastAsia" w:cs="Times New Roman" w:hint="eastAsia"/>
          <w:sz w:val="24"/>
          <w:szCs w:val="24"/>
        </w:rPr>
        <w:t>、扣款金额</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投资者应与</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就上述基金申请开办定期定额投资业务约定固定扣款（申购）金额，基金扣款金额为人民币</w:t>
      </w:r>
      <w:r>
        <w:rPr>
          <w:rFonts w:asciiTheme="minorEastAsia" w:hAnsiTheme="minorEastAsia" w:cs="Times New Roman" w:hint="eastAsia"/>
          <w:sz w:val="24"/>
          <w:szCs w:val="24"/>
        </w:rPr>
        <w:t>10</w:t>
      </w:r>
      <w:r>
        <w:rPr>
          <w:rFonts w:asciiTheme="minorEastAsia" w:hAnsiTheme="minorEastAsia" w:cs="Times New Roman" w:hint="eastAsia"/>
          <w:sz w:val="24"/>
          <w:szCs w:val="24"/>
        </w:rPr>
        <w:t>元起（含</w:t>
      </w:r>
      <w:r>
        <w:rPr>
          <w:rFonts w:asciiTheme="minorEastAsia" w:hAnsiTheme="minorEastAsia" w:cs="Times New Roman" w:hint="eastAsia"/>
          <w:sz w:val="24"/>
          <w:szCs w:val="24"/>
        </w:rPr>
        <w:t>10</w:t>
      </w:r>
      <w:r>
        <w:rPr>
          <w:rFonts w:asciiTheme="minorEastAsia" w:hAnsiTheme="minorEastAsia" w:cs="Times New Roman" w:hint="eastAsia"/>
          <w:sz w:val="24"/>
          <w:szCs w:val="24"/>
        </w:rPr>
        <w:t>元）。</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十、扣款方式</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1</w:t>
      </w:r>
      <w:r>
        <w:rPr>
          <w:rFonts w:asciiTheme="minorEastAsia" w:hAnsiTheme="minorEastAsia" w:cs="Times New Roman" w:hint="eastAsia"/>
          <w:sz w:val="24"/>
          <w:szCs w:val="24"/>
        </w:rPr>
        <w:t>、将按照投资者申请时所约定的固定扣款日、扣款金额扣款。若遇非基金申购开放日，则顺延至下一基金</w:t>
      </w:r>
      <w:r>
        <w:rPr>
          <w:rFonts w:asciiTheme="minorEastAsia" w:hAnsiTheme="minorEastAsia" w:cs="Times New Roman" w:hint="eastAsia"/>
          <w:sz w:val="24"/>
          <w:szCs w:val="24"/>
        </w:rPr>
        <w:t>申购开放日；</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、投资者须指定一个有效资金账户作为固定扣款账户。</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十</w:t>
      </w:r>
      <w:r>
        <w:rPr>
          <w:rFonts w:asciiTheme="minorEastAsia" w:hAnsiTheme="minorEastAsia" w:cs="Times New Roman" w:hint="eastAsia"/>
          <w:sz w:val="24"/>
          <w:szCs w:val="24"/>
        </w:rPr>
        <w:t>一</w:t>
      </w:r>
      <w:r>
        <w:rPr>
          <w:rFonts w:asciiTheme="minorEastAsia" w:hAnsiTheme="minorEastAsia" w:cs="Times New Roman" w:hint="eastAsia"/>
          <w:sz w:val="24"/>
          <w:szCs w:val="24"/>
        </w:rPr>
        <w:t>、交易确认</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以实际扣款日（</w:t>
      </w:r>
      <w:r>
        <w:rPr>
          <w:rFonts w:asciiTheme="minorEastAsia" w:hAnsiTheme="minorEastAsia" w:cs="Times New Roman" w:hint="eastAsia"/>
          <w:sz w:val="24"/>
          <w:szCs w:val="24"/>
        </w:rPr>
        <w:t>T</w:t>
      </w:r>
      <w:r>
        <w:rPr>
          <w:rFonts w:asciiTheme="minorEastAsia" w:hAnsiTheme="minorEastAsia" w:cs="Times New Roman" w:hint="eastAsia"/>
          <w:sz w:val="24"/>
          <w:szCs w:val="24"/>
        </w:rPr>
        <w:t>日）的基金份额净值为基准计算申购份额。上述基金份额确认日为</w:t>
      </w:r>
      <w:r>
        <w:rPr>
          <w:rFonts w:asciiTheme="minorEastAsia" w:hAnsiTheme="minorEastAsia" w:cs="Times New Roman" w:hint="eastAsia"/>
          <w:sz w:val="24"/>
          <w:szCs w:val="24"/>
        </w:rPr>
        <w:t>T+1</w:t>
      </w:r>
      <w:r>
        <w:rPr>
          <w:rFonts w:asciiTheme="minorEastAsia" w:hAnsiTheme="minorEastAsia" w:cs="Times New Roman" w:hint="eastAsia"/>
          <w:sz w:val="24"/>
          <w:szCs w:val="24"/>
        </w:rPr>
        <w:t>日，投资者可在</w:t>
      </w:r>
      <w:r>
        <w:rPr>
          <w:rFonts w:asciiTheme="minorEastAsia" w:hAnsiTheme="minorEastAsia" w:cs="Times New Roman" w:hint="eastAsia"/>
          <w:sz w:val="24"/>
          <w:szCs w:val="24"/>
        </w:rPr>
        <w:t>T</w:t>
      </w: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日到</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查询相应基金的申购确认情况。</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十</w:t>
      </w:r>
      <w:r>
        <w:rPr>
          <w:rFonts w:asciiTheme="minorEastAsia" w:hAnsiTheme="minorEastAsia" w:cs="Times New Roman" w:hint="eastAsia"/>
          <w:sz w:val="24"/>
          <w:szCs w:val="24"/>
        </w:rPr>
        <w:t>二</w:t>
      </w:r>
      <w:r>
        <w:rPr>
          <w:rFonts w:asciiTheme="minorEastAsia" w:hAnsiTheme="minorEastAsia" w:cs="Times New Roman" w:hint="eastAsia"/>
          <w:sz w:val="24"/>
          <w:szCs w:val="24"/>
        </w:rPr>
        <w:t>、定期定额投资业务的变更和终止</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、投资者变更扣款金额、扣款日期、扣款账户等信息，须按</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规定的办理方式申请办理业务变更手续；</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、投资者终止定期定额投资业务，须按</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规定的办理方式申请办理业务终止手续；</w:t>
      </w:r>
    </w:p>
    <w:p w:rsidR="002A3A04" w:rsidRDefault="008D658A">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、具体办理程序应遵循</w:t>
      </w:r>
      <w:r>
        <w:rPr>
          <w:rFonts w:asciiTheme="minorEastAsia" w:hAnsiTheme="minorEastAsia" w:cs="Times New Roman" w:hint="eastAsia"/>
          <w:sz w:val="24"/>
          <w:szCs w:val="24"/>
        </w:rPr>
        <w:t>普益基金</w:t>
      </w:r>
      <w:r>
        <w:rPr>
          <w:rFonts w:asciiTheme="minorEastAsia" w:hAnsiTheme="minorEastAsia" w:cs="Times New Roman" w:hint="eastAsia"/>
          <w:sz w:val="24"/>
          <w:szCs w:val="24"/>
        </w:rPr>
        <w:t>的有关规定。</w:t>
      </w:r>
    </w:p>
    <w:p w:rsidR="002A3A04" w:rsidRDefault="008D658A">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十</w:t>
      </w:r>
      <w:r>
        <w:rPr>
          <w:rFonts w:asciiTheme="minorEastAsia" w:hAnsiTheme="minorEastAsia" w:cs="Times New Roman" w:hint="eastAsia"/>
          <w:sz w:val="24"/>
          <w:szCs w:val="24"/>
        </w:rPr>
        <w:t>三</w:t>
      </w:r>
      <w:r>
        <w:rPr>
          <w:rFonts w:asciiTheme="minorEastAsia" w:hAnsiTheme="minorEastAsia" w:cs="Times New Roman" w:hint="eastAsia"/>
          <w:sz w:val="24"/>
          <w:szCs w:val="24"/>
        </w:rPr>
        <w:t>、</w:t>
      </w:r>
      <w:r>
        <w:rPr>
          <w:rFonts w:asciiTheme="minorEastAsia" w:hAnsiTheme="minorEastAsia"/>
          <w:sz w:val="24"/>
          <w:szCs w:val="24"/>
        </w:rPr>
        <w:t>投资者通过</w:t>
      </w:r>
      <w:r>
        <w:rPr>
          <w:rFonts w:asciiTheme="minorEastAsia" w:hAnsiTheme="minorEastAsia" w:cs="Times New Roman" w:hint="eastAsia"/>
          <w:sz w:val="24"/>
          <w:szCs w:val="24"/>
        </w:rPr>
        <w:t>普益基金</w:t>
      </w:r>
      <w:r>
        <w:rPr>
          <w:rFonts w:asciiTheme="minorEastAsia" w:hAnsiTheme="minorEastAsia"/>
          <w:sz w:val="24"/>
          <w:szCs w:val="24"/>
        </w:rPr>
        <w:t>指定</w:t>
      </w:r>
      <w:r>
        <w:rPr>
          <w:rFonts w:asciiTheme="minorEastAsia" w:hAnsiTheme="minorEastAsia" w:hint="eastAsia"/>
          <w:sz w:val="24"/>
          <w:szCs w:val="24"/>
        </w:rPr>
        <w:t>方式</w:t>
      </w:r>
      <w:r>
        <w:rPr>
          <w:rFonts w:asciiTheme="minorEastAsia" w:hAnsiTheme="minorEastAsia"/>
          <w:sz w:val="24"/>
          <w:szCs w:val="24"/>
        </w:rPr>
        <w:t>办理</w:t>
      </w:r>
      <w:r>
        <w:rPr>
          <w:rFonts w:asciiTheme="minorEastAsia" w:hAnsiTheme="minorEastAsia" w:cs="Times New Roman" w:hint="eastAsia"/>
          <w:sz w:val="24"/>
          <w:szCs w:val="24"/>
        </w:rPr>
        <w:t>上述</w:t>
      </w:r>
      <w:r>
        <w:rPr>
          <w:rFonts w:asciiTheme="minorEastAsia" w:hAnsiTheme="minorEastAsia" w:cs="Times New Roman"/>
          <w:sz w:val="24"/>
          <w:szCs w:val="24"/>
        </w:rPr>
        <w:t>基金</w:t>
      </w:r>
      <w:r>
        <w:rPr>
          <w:rFonts w:asciiTheme="minorEastAsia" w:hAnsiTheme="minorEastAsia" w:cs="Times New Roman" w:hint="eastAsia"/>
          <w:sz w:val="24"/>
          <w:szCs w:val="24"/>
        </w:rPr>
        <w:t>(</w:t>
      </w:r>
      <w:r>
        <w:rPr>
          <w:rFonts w:asciiTheme="minorEastAsia" w:hAnsiTheme="minorEastAsia" w:cs="Times New Roman" w:hint="eastAsia"/>
          <w:sz w:val="24"/>
          <w:szCs w:val="24"/>
        </w:rPr>
        <w:t>除</w:t>
      </w:r>
      <w:r>
        <w:rPr>
          <w:rFonts w:asciiTheme="minorEastAsia" w:hAnsiTheme="minorEastAsia" w:cs="Times New Roman" w:hint="eastAsia"/>
          <w:sz w:val="24"/>
          <w:szCs w:val="24"/>
        </w:rPr>
        <w:t>中信建投中证同业存单</w:t>
      </w:r>
      <w:r>
        <w:rPr>
          <w:rFonts w:asciiTheme="minorEastAsia" w:hAnsiTheme="minorEastAsia" w:cs="Times New Roman" w:hint="eastAsia"/>
          <w:sz w:val="24"/>
          <w:szCs w:val="24"/>
        </w:rPr>
        <w:t>AAA</w:t>
      </w:r>
      <w:r>
        <w:rPr>
          <w:rFonts w:asciiTheme="minorEastAsia" w:hAnsiTheme="minorEastAsia" w:cs="Times New Roman" w:hint="eastAsia"/>
          <w:sz w:val="24"/>
          <w:szCs w:val="24"/>
        </w:rPr>
        <w:t>指数</w:t>
      </w:r>
      <w:r>
        <w:rPr>
          <w:rFonts w:asciiTheme="minorEastAsia" w:hAnsiTheme="minorEastAsia" w:cs="Times New Roman" w:hint="eastAsia"/>
          <w:sz w:val="24"/>
          <w:szCs w:val="24"/>
        </w:rPr>
        <w:t>7</w:t>
      </w:r>
      <w:r>
        <w:rPr>
          <w:rFonts w:asciiTheme="minorEastAsia" w:hAnsiTheme="minorEastAsia" w:cs="Times New Roman" w:hint="eastAsia"/>
          <w:sz w:val="24"/>
          <w:szCs w:val="24"/>
        </w:rPr>
        <w:t>天持有期证券投资基金</w:t>
      </w:r>
      <w:r>
        <w:rPr>
          <w:rFonts w:asciiTheme="minorEastAsia" w:hAnsiTheme="minorEastAsia" w:cs="Times New Roman" w:hint="eastAsia"/>
          <w:sz w:val="24"/>
          <w:szCs w:val="24"/>
        </w:rPr>
        <w:t>，</w:t>
      </w:r>
      <w:r>
        <w:rPr>
          <w:rFonts w:asciiTheme="minorEastAsia" w:hAnsiTheme="minorEastAsia" w:cs="Times New Roman" w:hint="eastAsia"/>
          <w:sz w:val="24"/>
          <w:szCs w:val="24"/>
        </w:rPr>
        <w:t>基金代码：</w:t>
      </w:r>
      <w:r>
        <w:rPr>
          <w:rFonts w:asciiTheme="minorEastAsia" w:hAnsiTheme="minorEastAsia" w:hint="eastAsia"/>
          <w:sz w:val="24"/>
          <w:szCs w:val="24"/>
        </w:rPr>
        <w:t>017183</w:t>
      </w:r>
      <w:r>
        <w:rPr>
          <w:rFonts w:asciiTheme="minorEastAsia" w:hAnsiTheme="minorEastAsia" w:hint="eastAsia"/>
          <w:sz w:val="24"/>
          <w:szCs w:val="24"/>
        </w:rPr>
        <w:t>外</w:t>
      </w:r>
      <w:r>
        <w:rPr>
          <w:rFonts w:asciiTheme="minorEastAsia" w:hAnsiTheme="minorEastAsia" w:cs="Times New Roman" w:hint="eastAsia"/>
          <w:sz w:val="24"/>
          <w:szCs w:val="24"/>
        </w:rPr>
        <w:t>)</w:t>
      </w:r>
      <w:r>
        <w:rPr>
          <w:rFonts w:asciiTheme="minorEastAsia" w:hAnsiTheme="minorEastAsia" w:hint="eastAsia"/>
          <w:sz w:val="24"/>
          <w:szCs w:val="24"/>
        </w:rPr>
        <w:t>A</w:t>
      </w:r>
      <w:r>
        <w:rPr>
          <w:rFonts w:asciiTheme="minorEastAsia" w:hAnsiTheme="minorEastAsia" w:hint="eastAsia"/>
          <w:sz w:val="24"/>
          <w:szCs w:val="24"/>
        </w:rPr>
        <w:t>类份额的申购（含定期定额投资）</w:t>
      </w:r>
      <w:r>
        <w:rPr>
          <w:rFonts w:asciiTheme="minorEastAsia" w:hAnsiTheme="minorEastAsia" w:hint="eastAsia"/>
          <w:kern w:val="0"/>
          <w:sz w:val="24"/>
          <w:szCs w:val="24"/>
        </w:rPr>
        <w:t>业务具体折扣率以</w:t>
      </w:r>
      <w:r>
        <w:rPr>
          <w:rFonts w:asciiTheme="minorEastAsia" w:hAnsiTheme="minorEastAsia" w:cs="Times New Roman" w:hint="eastAsia"/>
          <w:sz w:val="24"/>
          <w:szCs w:val="24"/>
        </w:rPr>
        <w:t>普益基金</w:t>
      </w:r>
      <w:r>
        <w:rPr>
          <w:rFonts w:asciiTheme="minorEastAsia" w:hAnsiTheme="minorEastAsia" w:hint="eastAsia"/>
          <w:sz w:val="24"/>
          <w:szCs w:val="24"/>
        </w:rPr>
        <w:t>的规定为准。</w:t>
      </w:r>
    </w:p>
    <w:p w:rsidR="002A3A04" w:rsidRDefault="008D658A">
      <w:pPr>
        <w:spacing w:line="360" w:lineRule="auto"/>
        <w:ind w:firstLine="420"/>
        <w:rPr>
          <w:rFonts w:asciiTheme="minorEastAsia" w:hAnsiTheme="minorEastAsia"/>
          <w:sz w:val="24"/>
          <w:szCs w:val="24"/>
        </w:rPr>
      </w:pPr>
      <w:r>
        <w:rPr>
          <w:rFonts w:asciiTheme="minorEastAsia" w:hAnsiTheme="minorEastAsia" w:cs="Times New Roman" w:hint="eastAsia"/>
          <w:sz w:val="24"/>
          <w:szCs w:val="24"/>
        </w:rPr>
        <w:t>十</w:t>
      </w:r>
      <w:r>
        <w:rPr>
          <w:rFonts w:asciiTheme="minorEastAsia" w:hAnsiTheme="minorEastAsia" w:cs="Times New Roman" w:hint="eastAsia"/>
          <w:sz w:val="24"/>
          <w:szCs w:val="24"/>
        </w:rPr>
        <w:t>四</w:t>
      </w:r>
      <w:r>
        <w:rPr>
          <w:rFonts w:asciiTheme="minorEastAsia" w:hAnsiTheme="minorEastAsia" w:cs="Times New Roman" w:hint="eastAsia"/>
          <w:sz w:val="24"/>
          <w:szCs w:val="24"/>
        </w:rPr>
        <w:t>、</w:t>
      </w:r>
      <w:r>
        <w:rPr>
          <w:rFonts w:asciiTheme="minorEastAsia" w:hAnsiTheme="minorEastAsia" w:hint="eastAsia"/>
          <w:sz w:val="24"/>
          <w:szCs w:val="24"/>
        </w:rPr>
        <w:t>投资者可通过以下途径了解或咨询相关情况：</w:t>
      </w:r>
    </w:p>
    <w:p w:rsidR="002A3A04" w:rsidRDefault="008D658A">
      <w:pPr>
        <w:spacing w:line="360" w:lineRule="auto"/>
        <w:ind w:rightChars="200" w:right="420"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、泛华普益基金销售有限公司</w:t>
      </w:r>
    </w:p>
    <w:p w:rsidR="002A3A04" w:rsidRDefault="008D658A">
      <w:pPr>
        <w:spacing w:line="360" w:lineRule="auto"/>
        <w:ind w:rightChars="200" w:right="420" w:firstLineChars="200" w:firstLine="480"/>
        <w:rPr>
          <w:rFonts w:asciiTheme="minorEastAsia" w:hAnsiTheme="minorEastAsia"/>
          <w:sz w:val="24"/>
          <w:szCs w:val="24"/>
        </w:rPr>
      </w:pPr>
      <w:r>
        <w:rPr>
          <w:rFonts w:asciiTheme="minorEastAsia" w:hAnsiTheme="minorEastAsia"/>
          <w:sz w:val="24"/>
          <w:szCs w:val="24"/>
        </w:rPr>
        <w:t>网址：</w:t>
      </w:r>
      <w:hyperlink r:id="rId5" w:history="1">
        <w:r>
          <w:rPr>
            <w:rFonts w:asciiTheme="minorEastAsia" w:hAnsiTheme="minorEastAsia" w:hint="eastAsia"/>
            <w:sz w:val="24"/>
            <w:szCs w:val="24"/>
          </w:rPr>
          <w:t>www.puyifund.com</w:t>
        </w:r>
      </w:hyperlink>
    </w:p>
    <w:p w:rsidR="002A3A04" w:rsidRDefault="008D658A">
      <w:pPr>
        <w:spacing w:line="360" w:lineRule="auto"/>
        <w:ind w:rightChars="200" w:right="420" w:firstLineChars="200" w:firstLine="480"/>
        <w:rPr>
          <w:rFonts w:asciiTheme="minorEastAsia" w:hAnsiTheme="minorEastAsia"/>
          <w:sz w:val="24"/>
          <w:szCs w:val="24"/>
        </w:rPr>
      </w:pPr>
      <w:r>
        <w:rPr>
          <w:rFonts w:asciiTheme="minorEastAsia" w:hAnsiTheme="minorEastAsia" w:hint="eastAsia"/>
          <w:bCs/>
          <w:sz w:val="24"/>
          <w:szCs w:val="24"/>
        </w:rPr>
        <w:t>联系电话</w:t>
      </w:r>
      <w:r>
        <w:rPr>
          <w:rFonts w:asciiTheme="minorEastAsia" w:hAnsiTheme="minorEastAsia"/>
          <w:sz w:val="24"/>
          <w:szCs w:val="24"/>
        </w:rPr>
        <w:t>：</w:t>
      </w:r>
      <w:r>
        <w:rPr>
          <w:rFonts w:asciiTheme="minorEastAsia" w:hAnsiTheme="minorEastAsia" w:hint="eastAsia"/>
          <w:sz w:val="24"/>
          <w:szCs w:val="24"/>
        </w:rPr>
        <w:t>400-080-3388</w:t>
      </w:r>
    </w:p>
    <w:p w:rsidR="002A3A04" w:rsidRDefault="008D658A">
      <w:pPr>
        <w:spacing w:line="360" w:lineRule="auto"/>
        <w:ind w:rightChars="200" w:right="420"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、中信建投基金管理有限公司</w:t>
      </w: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网址：</w:t>
      </w:r>
      <w:r>
        <w:rPr>
          <w:rFonts w:asciiTheme="minorEastAsia" w:hAnsiTheme="minorEastAsia" w:cs="Times New Roman" w:hint="eastAsia"/>
          <w:sz w:val="24"/>
          <w:szCs w:val="24"/>
        </w:rPr>
        <w:t>www.cfund108.com</w:t>
      </w: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联系电话：</w:t>
      </w:r>
      <w:r>
        <w:rPr>
          <w:rFonts w:asciiTheme="minorEastAsia" w:hAnsiTheme="minorEastAsia" w:cs="Times New Roman" w:hint="eastAsia"/>
          <w:sz w:val="24"/>
          <w:szCs w:val="24"/>
        </w:rPr>
        <w:t>4009-108-108</w:t>
      </w:r>
    </w:p>
    <w:p w:rsidR="002A3A04" w:rsidRDefault="002A3A04">
      <w:pPr>
        <w:spacing w:line="360" w:lineRule="auto"/>
        <w:ind w:firstLineChars="200" w:firstLine="480"/>
        <w:rPr>
          <w:rFonts w:asciiTheme="minorEastAsia" w:hAnsiTheme="minorEastAsia" w:cs="Times New Roman"/>
          <w:sz w:val="24"/>
          <w:szCs w:val="24"/>
        </w:rPr>
      </w:pP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风险</w:t>
      </w:r>
      <w:r>
        <w:rPr>
          <w:rFonts w:asciiTheme="minorEastAsia" w:hAnsiTheme="minorEastAsia" w:cs="Times New Roman"/>
          <w:sz w:val="24"/>
          <w:szCs w:val="24"/>
        </w:rPr>
        <w:t>提示</w:t>
      </w:r>
      <w:r>
        <w:rPr>
          <w:rFonts w:asciiTheme="minorEastAsia" w:hAnsiTheme="minorEastAsia" w:cs="Times New Roman" w:hint="eastAsia"/>
          <w:sz w:val="24"/>
          <w:szCs w:val="24"/>
        </w:rPr>
        <w:t>：</w:t>
      </w: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w:t>
      </w:r>
      <w:r>
        <w:rPr>
          <w:rFonts w:asciiTheme="minorEastAsia" w:hAnsiTheme="minorEastAsia" w:cs="Times New Roman" w:hint="eastAsia"/>
          <w:sz w:val="24"/>
          <w:szCs w:val="24"/>
        </w:rPr>
        <w:t>设有最短持有期的</w:t>
      </w:r>
      <w:r>
        <w:rPr>
          <w:rFonts w:asciiTheme="minorEastAsia" w:hAnsiTheme="minorEastAsia" w:cs="Times New Roman" w:hint="eastAsia"/>
          <w:sz w:val="24"/>
          <w:szCs w:val="24"/>
        </w:rPr>
        <w:t>基金于每份基金份额最短持有期结束后可以办理赎回业务。</w:t>
      </w: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w:t>
      </w:r>
      <w:r>
        <w:rPr>
          <w:rFonts w:asciiTheme="minorEastAsia" w:hAnsiTheme="minorEastAsia" w:cs="Times New Roman" w:hint="eastAsia"/>
          <w:sz w:val="24"/>
          <w:szCs w:val="24"/>
        </w:rPr>
        <w:t>中信建投科技主题</w:t>
      </w:r>
      <w:r>
        <w:rPr>
          <w:rFonts w:asciiTheme="minorEastAsia" w:hAnsiTheme="minorEastAsia" w:cs="Times New Roman" w:hint="eastAsia"/>
          <w:sz w:val="24"/>
          <w:szCs w:val="24"/>
        </w:rPr>
        <w:t>6</w:t>
      </w:r>
      <w:r>
        <w:rPr>
          <w:rFonts w:asciiTheme="minorEastAsia" w:hAnsiTheme="minorEastAsia" w:cs="Times New Roman" w:hint="eastAsia"/>
          <w:sz w:val="24"/>
          <w:szCs w:val="24"/>
        </w:rPr>
        <w:t>个月持有期混合型证券投资基金</w:t>
      </w:r>
      <w:r>
        <w:rPr>
          <w:rFonts w:asciiTheme="minorEastAsia" w:hAnsiTheme="minorEastAsia" w:cs="Times New Roman" w:hint="eastAsia"/>
          <w:sz w:val="24"/>
          <w:szCs w:val="24"/>
        </w:rPr>
        <w:t>和</w:t>
      </w:r>
      <w:r>
        <w:rPr>
          <w:rFonts w:asciiTheme="minorEastAsia" w:hAnsiTheme="minorEastAsia" w:cs="Times New Roman" w:hint="eastAsia"/>
          <w:sz w:val="24"/>
          <w:szCs w:val="24"/>
        </w:rPr>
        <w:t>中信建投中证同业存单</w:t>
      </w:r>
      <w:r>
        <w:rPr>
          <w:rFonts w:asciiTheme="minorEastAsia" w:hAnsiTheme="minorEastAsia" w:cs="Times New Roman" w:hint="eastAsia"/>
          <w:sz w:val="24"/>
          <w:szCs w:val="24"/>
        </w:rPr>
        <w:t>AAA</w:t>
      </w:r>
      <w:r>
        <w:rPr>
          <w:rFonts w:asciiTheme="minorEastAsia" w:hAnsiTheme="minorEastAsia" w:cs="Times New Roman" w:hint="eastAsia"/>
          <w:sz w:val="24"/>
          <w:szCs w:val="24"/>
        </w:rPr>
        <w:t>指数</w:t>
      </w:r>
      <w:r>
        <w:rPr>
          <w:rFonts w:asciiTheme="minorEastAsia" w:hAnsiTheme="minorEastAsia" w:cs="Times New Roman" w:hint="eastAsia"/>
          <w:sz w:val="24"/>
          <w:szCs w:val="24"/>
        </w:rPr>
        <w:t>7</w:t>
      </w:r>
      <w:r>
        <w:rPr>
          <w:rFonts w:asciiTheme="minorEastAsia" w:hAnsiTheme="minorEastAsia" w:cs="Times New Roman" w:hint="eastAsia"/>
          <w:sz w:val="24"/>
          <w:szCs w:val="24"/>
        </w:rPr>
        <w:t>天持有期证券投资基金</w:t>
      </w:r>
      <w:r>
        <w:rPr>
          <w:rFonts w:asciiTheme="minorEastAsia" w:hAnsiTheme="minorEastAsia" w:cs="Times New Roman" w:hint="eastAsia"/>
          <w:sz w:val="24"/>
          <w:szCs w:val="24"/>
        </w:rPr>
        <w:t>尚处于募集期、</w:t>
      </w:r>
      <w:r>
        <w:rPr>
          <w:rFonts w:asciiTheme="minorEastAsia" w:hAnsiTheme="minorEastAsia" w:cs="Times New Roman" w:hint="eastAsia"/>
          <w:sz w:val="24"/>
          <w:szCs w:val="24"/>
        </w:rPr>
        <w:t>中信建投红利智选混合型证券投资基金</w:t>
      </w:r>
      <w:r>
        <w:rPr>
          <w:rFonts w:asciiTheme="minorEastAsia" w:hAnsiTheme="minorEastAsia" w:cs="Times New Roman" w:hint="eastAsia"/>
          <w:sz w:val="24"/>
          <w:szCs w:val="24"/>
        </w:rPr>
        <w:t>尚处于封闭期，开放办理申购、赎回、定投业务后可以办理基金申购、赎回、定投等业务，具体以届时相关公告为准。</w:t>
      </w: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w:t>
      </w:r>
      <w:r>
        <w:rPr>
          <w:rFonts w:asciiTheme="minorEastAsia" w:hAnsiTheme="minorEastAsia" w:cs="Times New Roman" w:hint="eastAsia"/>
          <w:sz w:val="24"/>
          <w:szCs w:val="24"/>
        </w:rPr>
        <w:t>中信建投中证同业存单</w:t>
      </w:r>
      <w:r>
        <w:rPr>
          <w:rFonts w:asciiTheme="minorEastAsia" w:hAnsiTheme="minorEastAsia" w:cs="Times New Roman" w:hint="eastAsia"/>
          <w:sz w:val="24"/>
          <w:szCs w:val="24"/>
        </w:rPr>
        <w:t>AAA</w:t>
      </w:r>
      <w:r>
        <w:rPr>
          <w:rFonts w:asciiTheme="minorEastAsia" w:hAnsiTheme="minorEastAsia" w:cs="Times New Roman" w:hint="eastAsia"/>
          <w:sz w:val="24"/>
          <w:szCs w:val="24"/>
        </w:rPr>
        <w:t>指数</w:t>
      </w:r>
      <w:r>
        <w:rPr>
          <w:rFonts w:asciiTheme="minorEastAsia" w:hAnsiTheme="minorEastAsia" w:cs="Times New Roman" w:hint="eastAsia"/>
          <w:sz w:val="24"/>
          <w:szCs w:val="24"/>
        </w:rPr>
        <w:t>7</w:t>
      </w:r>
      <w:r>
        <w:rPr>
          <w:rFonts w:asciiTheme="minorEastAsia" w:hAnsiTheme="minorEastAsia" w:cs="Times New Roman" w:hint="eastAsia"/>
          <w:sz w:val="24"/>
          <w:szCs w:val="24"/>
        </w:rPr>
        <w:t>天持有期证券投资基金暂不向金融机构自营账户销售，如未来</w:t>
      </w:r>
      <w:r>
        <w:rPr>
          <w:rFonts w:asciiTheme="minorEastAsia" w:hAnsiTheme="minorEastAsia" w:cs="Times New Roman" w:hint="eastAsia"/>
          <w:sz w:val="24"/>
          <w:szCs w:val="24"/>
        </w:rPr>
        <w:t>该</w:t>
      </w:r>
      <w:r>
        <w:rPr>
          <w:rFonts w:asciiTheme="minorEastAsia" w:hAnsiTheme="minorEastAsia" w:cs="Times New Roman" w:hint="eastAsia"/>
          <w:sz w:val="24"/>
          <w:szCs w:val="24"/>
        </w:rPr>
        <w:t>基金开放向金融机构自营账户公开发售或对发售对象的范围予以进一步限定，基金</w:t>
      </w:r>
      <w:r>
        <w:rPr>
          <w:rFonts w:asciiTheme="minorEastAsia" w:hAnsiTheme="minorEastAsia" w:cs="Times New Roman" w:hint="eastAsia"/>
          <w:sz w:val="24"/>
          <w:szCs w:val="24"/>
        </w:rPr>
        <w:t>管理人将另行公告。</w:t>
      </w:r>
      <w:r>
        <w:rPr>
          <w:rFonts w:asciiTheme="minorEastAsia" w:hAnsiTheme="minorEastAsia" w:cs="Times New Roman" w:hint="eastAsia"/>
          <w:sz w:val="24"/>
          <w:szCs w:val="24"/>
        </w:rPr>
        <w:t>该</w:t>
      </w:r>
      <w:r>
        <w:rPr>
          <w:rFonts w:asciiTheme="minorEastAsia" w:hAnsiTheme="minorEastAsia" w:cs="Times New Roman" w:hint="eastAsia"/>
          <w:sz w:val="24"/>
          <w:szCs w:val="24"/>
        </w:rPr>
        <w:t>基金单一投资者单日认、申购金额不超过</w:t>
      </w:r>
      <w:r>
        <w:rPr>
          <w:rFonts w:asciiTheme="minorEastAsia" w:hAnsiTheme="minorEastAsia" w:cs="Times New Roman" w:hint="eastAsia"/>
          <w:sz w:val="24"/>
          <w:szCs w:val="24"/>
        </w:rPr>
        <w:t>1000</w:t>
      </w:r>
      <w:r>
        <w:rPr>
          <w:rFonts w:asciiTheme="minorEastAsia" w:hAnsiTheme="minorEastAsia" w:cs="Times New Roman" w:hint="eastAsia"/>
          <w:sz w:val="24"/>
          <w:szCs w:val="24"/>
        </w:rPr>
        <w:t>万元（公募资产管理产品除外）</w:t>
      </w:r>
      <w:bookmarkStart w:id="0" w:name="_GoBack"/>
      <w:bookmarkEnd w:id="0"/>
      <w:r>
        <w:rPr>
          <w:rFonts w:asciiTheme="minorEastAsia" w:hAnsiTheme="minorEastAsia" w:cs="Times New Roman" w:hint="eastAsia"/>
          <w:sz w:val="24"/>
          <w:szCs w:val="24"/>
        </w:rPr>
        <w:t>。基金管理人可以调整单一投资者单日认、申购金额上限，具体规定请参见</w:t>
      </w:r>
      <w:r>
        <w:rPr>
          <w:rFonts w:asciiTheme="minorEastAsia" w:hAnsiTheme="minorEastAsia" w:cs="Times New Roman" w:hint="eastAsia"/>
          <w:sz w:val="24"/>
          <w:szCs w:val="24"/>
        </w:rPr>
        <w:t>届时</w:t>
      </w:r>
      <w:r>
        <w:rPr>
          <w:rFonts w:asciiTheme="minorEastAsia" w:hAnsiTheme="minorEastAsia" w:cs="Times New Roman" w:hint="eastAsia"/>
          <w:sz w:val="24"/>
          <w:szCs w:val="24"/>
        </w:rPr>
        <w:t>更新的招募说明书或相关公告。</w:t>
      </w:r>
    </w:p>
    <w:p w:rsidR="002A3A04" w:rsidRDefault="008D658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w:t>
      </w:r>
      <w:r>
        <w:rPr>
          <w:rFonts w:asciiTheme="minorEastAsia" w:hAnsiTheme="minorEastAsia" w:cs="Times New Roman" w:hint="eastAsia"/>
          <w:sz w:val="24"/>
          <w:szCs w:val="24"/>
        </w:rPr>
        <w:t>基金投资有风险。基金管理人承诺以诚实信用、勤勉尽责的原则管理和运用基金资产，但不保证基金一定盈利，也不保证最低收益。投资者投资上述基金时</w:t>
      </w:r>
      <w:r>
        <w:rPr>
          <w:rFonts w:asciiTheme="minorEastAsia" w:hAnsiTheme="minorEastAsia" w:hint="eastAsia"/>
          <w:sz w:val="24"/>
          <w:szCs w:val="24"/>
        </w:rPr>
        <w:t>应当认真阅读基金合同、招募说明书、基金产品资料概要等基金法律文件，了解基金的风险收益特征，并根据自身的投资目的、投资期限、投资经验、资产状况等</w:t>
      </w:r>
      <w:r>
        <w:rPr>
          <w:rFonts w:asciiTheme="minorEastAsia" w:hAnsiTheme="minorEastAsia" w:cs="Times New Roman" w:hint="eastAsia"/>
          <w:sz w:val="24"/>
          <w:szCs w:val="24"/>
        </w:rPr>
        <w:t>，投资与自身风险承受能力相适应的基金。</w:t>
      </w:r>
    </w:p>
    <w:p w:rsidR="002A3A04" w:rsidRDefault="002A3A04">
      <w:pPr>
        <w:tabs>
          <w:tab w:val="center" w:pos="3686"/>
          <w:tab w:val="center" w:pos="6237"/>
        </w:tabs>
        <w:spacing w:line="360" w:lineRule="auto"/>
        <w:ind w:firstLineChars="200" w:firstLine="480"/>
        <w:rPr>
          <w:rFonts w:asciiTheme="minorEastAsia" w:hAnsiTheme="minorEastAsia" w:cs="Times New Roman"/>
          <w:sz w:val="24"/>
          <w:szCs w:val="24"/>
        </w:rPr>
      </w:pPr>
    </w:p>
    <w:p w:rsidR="002A3A04" w:rsidRDefault="008D658A">
      <w:pPr>
        <w:tabs>
          <w:tab w:val="center" w:pos="3686"/>
          <w:tab w:val="center" w:pos="6237"/>
        </w:tabs>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特此</w:t>
      </w:r>
      <w:r>
        <w:rPr>
          <w:rFonts w:asciiTheme="minorEastAsia" w:hAnsiTheme="minorEastAsia" w:cs="Times New Roman"/>
          <w:sz w:val="24"/>
          <w:szCs w:val="24"/>
        </w:rPr>
        <w:t>公告。</w:t>
      </w:r>
    </w:p>
    <w:p w:rsidR="002A3A04" w:rsidRDefault="002A3A04">
      <w:pPr>
        <w:tabs>
          <w:tab w:val="center" w:pos="3686"/>
          <w:tab w:val="center" w:pos="6237"/>
        </w:tabs>
        <w:spacing w:line="360" w:lineRule="auto"/>
        <w:rPr>
          <w:rFonts w:asciiTheme="minorEastAsia" w:hAnsiTheme="minorEastAsia" w:cs="Times New Roman"/>
          <w:sz w:val="24"/>
          <w:szCs w:val="24"/>
        </w:rPr>
      </w:pPr>
    </w:p>
    <w:p w:rsidR="002A3A04" w:rsidRDefault="008D658A">
      <w:pPr>
        <w:spacing w:line="360" w:lineRule="auto"/>
        <w:ind w:firstLineChars="200" w:firstLine="480"/>
        <w:jc w:val="right"/>
        <w:rPr>
          <w:rFonts w:asciiTheme="minorEastAsia" w:hAnsiTheme="minorEastAsia" w:cs="Times New Roman"/>
          <w:sz w:val="24"/>
          <w:szCs w:val="24"/>
        </w:rPr>
      </w:pPr>
      <w:r>
        <w:rPr>
          <w:rFonts w:asciiTheme="minorEastAsia" w:hAnsiTheme="minorEastAsia" w:cs="Times New Roman" w:hint="eastAsia"/>
          <w:sz w:val="24"/>
          <w:szCs w:val="24"/>
        </w:rPr>
        <w:t>中信建投</w:t>
      </w:r>
      <w:r>
        <w:rPr>
          <w:rFonts w:asciiTheme="minorEastAsia" w:hAnsiTheme="minorEastAsia" w:cs="Times New Roman"/>
          <w:sz w:val="24"/>
          <w:szCs w:val="24"/>
        </w:rPr>
        <w:t>基金管理有限公司</w:t>
      </w:r>
    </w:p>
    <w:p w:rsidR="002A3A04" w:rsidRDefault="008D658A">
      <w:pPr>
        <w:spacing w:line="360" w:lineRule="auto"/>
        <w:ind w:right="240" w:firstLineChars="200" w:firstLine="480"/>
        <w:jc w:val="right"/>
        <w:rPr>
          <w:rFonts w:asciiTheme="minorEastAsia" w:hAnsiTheme="minorEastAsia" w:cs="Times New Roman"/>
          <w:sz w:val="24"/>
          <w:szCs w:val="24"/>
        </w:rPr>
      </w:pPr>
      <w:r>
        <w:rPr>
          <w:rFonts w:asciiTheme="minorEastAsia" w:hAnsiTheme="minorEastAsia" w:cs="Times New Roman"/>
          <w:sz w:val="24"/>
          <w:szCs w:val="24"/>
        </w:rPr>
        <w:t>2022</w:t>
      </w:r>
      <w:r>
        <w:rPr>
          <w:rFonts w:asciiTheme="minorEastAsia" w:hAnsiTheme="minorEastAsia" w:cs="Times New Roman" w:hint="eastAsia"/>
          <w:sz w:val="24"/>
          <w:szCs w:val="24"/>
        </w:rPr>
        <w:t>年</w:t>
      </w:r>
      <w:r>
        <w:rPr>
          <w:rFonts w:asciiTheme="minorEastAsia" w:hAnsiTheme="minorEastAsia" w:cs="Times New Roman" w:hint="eastAsia"/>
          <w:sz w:val="24"/>
          <w:szCs w:val="24"/>
        </w:rPr>
        <w:t>12</w:t>
      </w:r>
      <w:r>
        <w:rPr>
          <w:rFonts w:asciiTheme="minorEastAsia" w:hAnsiTheme="minorEastAsia" w:cs="Times New Roman" w:hint="eastAsia"/>
          <w:sz w:val="24"/>
          <w:szCs w:val="24"/>
        </w:rPr>
        <w:t>月</w:t>
      </w:r>
      <w:r>
        <w:rPr>
          <w:rFonts w:asciiTheme="minorEastAsia" w:hAnsiTheme="minorEastAsia" w:cs="Times New Roman" w:hint="eastAsia"/>
          <w:sz w:val="24"/>
          <w:szCs w:val="24"/>
        </w:rPr>
        <w:t>1</w:t>
      </w:r>
      <w:r>
        <w:rPr>
          <w:rFonts w:asciiTheme="minorEastAsia" w:hAnsiTheme="minorEastAsia" w:cs="Times New Roman" w:hint="eastAsia"/>
          <w:sz w:val="24"/>
          <w:szCs w:val="24"/>
        </w:rPr>
        <w:t>日</w:t>
      </w:r>
    </w:p>
    <w:sectPr w:rsidR="002A3A04" w:rsidSect="002A3A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B5E6C"/>
    <w:rsid w:val="00003ED7"/>
    <w:rsid w:val="00006EBB"/>
    <w:rsid w:val="00012C27"/>
    <w:rsid w:val="00021393"/>
    <w:rsid w:val="00025048"/>
    <w:rsid w:val="0004215C"/>
    <w:rsid w:val="00042969"/>
    <w:rsid w:val="00080497"/>
    <w:rsid w:val="000850F3"/>
    <w:rsid w:val="0008629A"/>
    <w:rsid w:val="000B0617"/>
    <w:rsid w:val="000B3B24"/>
    <w:rsid w:val="000C0303"/>
    <w:rsid w:val="000C3E22"/>
    <w:rsid w:val="000D1ADA"/>
    <w:rsid w:val="000E13FB"/>
    <w:rsid w:val="0010497F"/>
    <w:rsid w:val="001074B5"/>
    <w:rsid w:val="00110BF4"/>
    <w:rsid w:val="0013092C"/>
    <w:rsid w:val="0014347D"/>
    <w:rsid w:val="00157D28"/>
    <w:rsid w:val="00171591"/>
    <w:rsid w:val="0018351D"/>
    <w:rsid w:val="001959D7"/>
    <w:rsid w:val="001B190B"/>
    <w:rsid w:val="001D60D5"/>
    <w:rsid w:val="001E0BAC"/>
    <w:rsid w:val="001E4F61"/>
    <w:rsid w:val="001F3C27"/>
    <w:rsid w:val="001F48B4"/>
    <w:rsid w:val="00200CB3"/>
    <w:rsid w:val="0020618B"/>
    <w:rsid w:val="00224674"/>
    <w:rsid w:val="0023138E"/>
    <w:rsid w:val="0023620C"/>
    <w:rsid w:val="00242CA3"/>
    <w:rsid w:val="00246DD7"/>
    <w:rsid w:val="00252E95"/>
    <w:rsid w:val="00257D0E"/>
    <w:rsid w:val="00261C8F"/>
    <w:rsid w:val="0026736B"/>
    <w:rsid w:val="00280CC3"/>
    <w:rsid w:val="00283730"/>
    <w:rsid w:val="002865F1"/>
    <w:rsid w:val="002A15CF"/>
    <w:rsid w:val="002A25B5"/>
    <w:rsid w:val="002A3A04"/>
    <w:rsid w:val="002A5A4A"/>
    <w:rsid w:val="002B0DD0"/>
    <w:rsid w:val="002B5E6C"/>
    <w:rsid w:val="002D19F2"/>
    <w:rsid w:val="002D61D3"/>
    <w:rsid w:val="002E2161"/>
    <w:rsid w:val="002F4AAB"/>
    <w:rsid w:val="0030373A"/>
    <w:rsid w:val="0030581E"/>
    <w:rsid w:val="003250B3"/>
    <w:rsid w:val="003360BE"/>
    <w:rsid w:val="00337A43"/>
    <w:rsid w:val="0036146C"/>
    <w:rsid w:val="0039072E"/>
    <w:rsid w:val="003A3832"/>
    <w:rsid w:val="003A5EE9"/>
    <w:rsid w:val="003A6BD1"/>
    <w:rsid w:val="003B5FEE"/>
    <w:rsid w:val="003B7ABB"/>
    <w:rsid w:val="003C1EE4"/>
    <w:rsid w:val="003D2A14"/>
    <w:rsid w:val="003D5FA2"/>
    <w:rsid w:val="003E2119"/>
    <w:rsid w:val="004018C0"/>
    <w:rsid w:val="00436836"/>
    <w:rsid w:val="004410BA"/>
    <w:rsid w:val="004429D0"/>
    <w:rsid w:val="00444F59"/>
    <w:rsid w:val="00446B1F"/>
    <w:rsid w:val="00472573"/>
    <w:rsid w:val="0047462C"/>
    <w:rsid w:val="00474B9C"/>
    <w:rsid w:val="00474C27"/>
    <w:rsid w:val="00476D16"/>
    <w:rsid w:val="00480C91"/>
    <w:rsid w:val="00483F8F"/>
    <w:rsid w:val="004A5E1B"/>
    <w:rsid w:val="004A66CE"/>
    <w:rsid w:val="004B6FB6"/>
    <w:rsid w:val="004C618D"/>
    <w:rsid w:val="004D47BA"/>
    <w:rsid w:val="004D6E5B"/>
    <w:rsid w:val="004E6CB5"/>
    <w:rsid w:val="004F0DDB"/>
    <w:rsid w:val="004F5F01"/>
    <w:rsid w:val="004F7272"/>
    <w:rsid w:val="00504EBC"/>
    <w:rsid w:val="00505D05"/>
    <w:rsid w:val="0051156B"/>
    <w:rsid w:val="005231E2"/>
    <w:rsid w:val="00525C97"/>
    <w:rsid w:val="005377C0"/>
    <w:rsid w:val="00564038"/>
    <w:rsid w:val="005A1BD0"/>
    <w:rsid w:val="005A4CF8"/>
    <w:rsid w:val="005C00E8"/>
    <w:rsid w:val="005D0A0E"/>
    <w:rsid w:val="005E52FB"/>
    <w:rsid w:val="005F3693"/>
    <w:rsid w:val="00605E2E"/>
    <w:rsid w:val="00621602"/>
    <w:rsid w:val="00633CAC"/>
    <w:rsid w:val="0065083D"/>
    <w:rsid w:val="00652A5E"/>
    <w:rsid w:val="00661837"/>
    <w:rsid w:val="00691BDA"/>
    <w:rsid w:val="006A16C6"/>
    <w:rsid w:val="006A6DBD"/>
    <w:rsid w:val="006D260A"/>
    <w:rsid w:val="006E37FB"/>
    <w:rsid w:val="006F4194"/>
    <w:rsid w:val="006F5A3F"/>
    <w:rsid w:val="00711BC5"/>
    <w:rsid w:val="0071560E"/>
    <w:rsid w:val="0073502C"/>
    <w:rsid w:val="007367A7"/>
    <w:rsid w:val="00742F4D"/>
    <w:rsid w:val="007438F8"/>
    <w:rsid w:val="007469BE"/>
    <w:rsid w:val="00750251"/>
    <w:rsid w:val="00754072"/>
    <w:rsid w:val="0077650C"/>
    <w:rsid w:val="007A475F"/>
    <w:rsid w:val="007B0814"/>
    <w:rsid w:val="007D6BA6"/>
    <w:rsid w:val="007E3DFF"/>
    <w:rsid w:val="007E6B8C"/>
    <w:rsid w:val="007E7B3E"/>
    <w:rsid w:val="00810DB7"/>
    <w:rsid w:val="008241F3"/>
    <w:rsid w:val="00830DB2"/>
    <w:rsid w:val="0084108C"/>
    <w:rsid w:val="008437A0"/>
    <w:rsid w:val="0084606C"/>
    <w:rsid w:val="00870993"/>
    <w:rsid w:val="00885C07"/>
    <w:rsid w:val="0088721A"/>
    <w:rsid w:val="008872D0"/>
    <w:rsid w:val="008944C0"/>
    <w:rsid w:val="008A7A8E"/>
    <w:rsid w:val="008B1F11"/>
    <w:rsid w:val="008B2652"/>
    <w:rsid w:val="008B5951"/>
    <w:rsid w:val="008C77D7"/>
    <w:rsid w:val="008D658A"/>
    <w:rsid w:val="008E4C59"/>
    <w:rsid w:val="008F40A9"/>
    <w:rsid w:val="009000ED"/>
    <w:rsid w:val="00902D00"/>
    <w:rsid w:val="00903E99"/>
    <w:rsid w:val="0091772B"/>
    <w:rsid w:val="00917845"/>
    <w:rsid w:val="00924F94"/>
    <w:rsid w:val="00945814"/>
    <w:rsid w:val="009563AB"/>
    <w:rsid w:val="00957EE7"/>
    <w:rsid w:val="00962316"/>
    <w:rsid w:val="00964658"/>
    <w:rsid w:val="009845D9"/>
    <w:rsid w:val="00985859"/>
    <w:rsid w:val="00990F67"/>
    <w:rsid w:val="009A3A1B"/>
    <w:rsid w:val="009B3C12"/>
    <w:rsid w:val="009B49F7"/>
    <w:rsid w:val="009D0173"/>
    <w:rsid w:val="009E2C25"/>
    <w:rsid w:val="00A03970"/>
    <w:rsid w:val="00A10BF0"/>
    <w:rsid w:val="00A24916"/>
    <w:rsid w:val="00A41F91"/>
    <w:rsid w:val="00A52838"/>
    <w:rsid w:val="00A6693E"/>
    <w:rsid w:val="00A74409"/>
    <w:rsid w:val="00AA00F7"/>
    <w:rsid w:val="00AB4F7E"/>
    <w:rsid w:val="00AC1DE4"/>
    <w:rsid w:val="00AC47B8"/>
    <w:rsid w:val="00B120B9"/>
    <w:rsid w:val="00B22CE5"/>
    <w:rsid w:val="00B25196"/>
    <w:rsid w:val="00B26A21"/>
    <w:rsid w:val="00B36CF2"/>
    <w:rsid w:val="00B40B97"/>
    <w:rsid w:val="00B441D8"/>
    <w:rsid w:val="00B4621B"/>
    <w:rsid w:val="00B477BF"/>
    <w:rsid w:val="00B552A0"/>
    <w:rsid w:val="00B644AB"/>
    <w:rsid w:val="00B727F0"/>
    <w:rsid w:val="00B957EF"/>
    <w:rsid w:val="00B966B4"/>
    <w:rsid w:val="00B97F57"/>
    <w:rsid w:val="00BA2024"/>
    <w:rsid w:val="00BA459E"/>
    <w:rsid w:val="00BA484A"/>
    <w:rsid w:val="00BA6149"/>
    <w:rsid w:val="00BB5E42"/>
    <w:rsid w:val="00BC1F19"/>
    <w:rsid w:val="00C1591E"/>
    <w:rsid w:val="00C205E7"/>
    <w:rsid w:val="00C26AB9"/>
    <w:rsid w:val="00C270B5"/>
    <w:rsid w:val="00C438CE"/>
    <w:rsid w:val="00C519A3"/>
    <w:rsid w:val="00C530A0"/>
    <w:rsid w:val="00C70C22"/>
    <w:rsid w:val="00C7489F"/>
    <w:rsid w:val="00CA258C"/>
    <w:rsid w:val="00CA44F8"/>
    <w:rsid w:val="00CC2A76"/>
    <w:rsid w:val="00CC2CE9"/>
    <w:rsid w:val="00CD2060"/>
    <w:rsid w:val="00CD7F56"/>
    <w:rsid w:val="00CF10A3"/>
    <w:rsid w:val="00CF3BBE"/>
    <w:rsid w:val="00CF6BDB"/>
    <w:rsid w:val="00D034AD"/>
    <w:rsid w:val="00D12064"/>
    <w:rsid w:val="00D14279"/>
    <w:rsid w:val="00D16571"/>
    <w:rsid w:val="00D16A08"/>
    <w:rsid w:val="00D3534E"/>
    <w:rsid w:val="00D35F5A"/>
    <w:rsid w:val="00D41325"/>
    <w:rsid w:val="00D519B7"/>
    <w:rsid w:val="00D54FBE"/>
    <w:rsid w:val="00D6364F"/>
    <w:rsid w:val="00D8414B"/>
    <w:rsid w:val="00D842D0"/>
    <w:rsid w:val="00DC23D2"/>
    <w:rsid w:val="00DC30DE"/>
    <w:rsid w:val="00DC5F23"/>
    <w:rsid w:val="00DD00C4"/>
    <w:rsid w:val="00DD1556"/>
    <w:rsid w:val="00DD395C"/>
    <w:rsid w:val="00DD4C33"/>
    <w:rsid w:val="00DD791B"/>
    <w:rsid w:val="00DF71A8"/>
    <w:rsid w:val="00E1275B"/>
    <w:rsid w:val="00E22E55"/>
    <w:rsid w:val="00E3367B"/>
    <w:rsid w:val="00E45804"/>
    <w:rsid w:val="00E45B55"/>
    <w:rsid w:val="00E71C06"/>
    <w:rsid w:val="00E82BD9"/>
    <w:rsid w:val="00E90B34"/>
    <w:rsid w:val="00E90E0B"/>
    <w:rsid w:val="00E9356C"/>
    <w:rsid w:val="00EA42DD"/>
    <w:rsid w:val="00EA69FB"/>
    <w:rsid w:val="00F0508A"/>
    <w:rsid w:val="00F24F16"/>
    <w:rsid w:val="00F33BD8"/>
    <w:rsid w:val="00F37416"/>
    <w:rsid w:val="00F37914"/>
    <w:rsid w:val="00F47ADC"/>
    <w:rsid w:val="00F53BEE"/>
    <w:rsid w:val="00F54C26"/>
    <w:rsid w:val="00F645CF"/>
    <w:rsid w:val="00F65C9B"/>
    <w:rsid w:val="00F77F7B"/>
    <w:rsid w:val="00F86E01"/>
    <w:rsid w:val="00F96169"/>
    <w:rsid w:val="00FA02C9"/>
    <w:rsid w:val="00FB6735"/>
    <w:rsid w:val="00FB6E8A"/>
    <w:rsid w:val="00FC4E77"/>
    <w:rsid w:val="00FD22FA"/>
    <w:rsid w:val="00FD2DAB"/>
    <w:rsid w:val="00FD6895"/>
    <w:rsid w:val="00FF20AD"/>
    <w:rsid w:val="00FF6AAD"/>
    <w:rsid w:val="016B4A1F"/>
    <w:rsid w:val="01D26012"/>
    <w:rsid w:val="071B7EBC"/>
    <w:rsid w:val="08254578"/>
    <w:rsid w:val="094704E8"/>
    <w:rsid w:val="0FE72D0E"/>
    <w:rsid w:val="140A2FF1"/>
    <w:rsid w:val="16311660"/>
    <w:rsid w:val="17715E86"/>
    <w:rsid w:val="19770844"/>
    <w:rsid w:val="1A2D31F5"/>
    <w:rsid w:val="1AB56738"/>
    <w:rsid w:val="1CF24035"/>
    <w:rsid w:val="1D1B6DC4"/>
    <w:rsid w:val="28BD3788"/>
    <w:rsid w:val="2DD92F11"/>
    <w:rsid w:val="2FA22FE3"/>
    <w:rsid w:val="3072532F"/>
    <w:rsid w:val="31D416F3"/>
    <w:rsid w:val="31F47F3E"/>
    <w:rsid w:val="373A3D49"/>
    <w:rsid w:val="393E4A1B"/>
    <w:rsid w:val="3C70707C"/>
    <w:rsid w:val="3CA10E5E"/>
    <w:rsid w:val="3E56692F"/>
    <w:rsid w:val="40247C31"/>
    <w:rsid w:val="40451916"/>
    <w:rsid w:val="40600197"/>
    <w:rsid w:val="41C81DA0"/>
    <w:rsid w:val="43E143A0"/>
    <w:rsid w:val="46623B5D"/>
    <w:rsid w:val="46D7300F"/>
    <w:rsid w:val="4745132E"/>
    <w:rsid w:val="48950C56"/>
    <w:rsid w:val="4981168F"/>
    <w:rsid w:val="4AF154B4"/>
    <w:rsid w:val="4D643D7A"/>
    <w:rsid w:val="4E507DB8"/>
    <w:rsid w:val="4E5A15A2"/>
    <w:rsid w:val="4E691339"/>
    <w:rsid w:val="52C22288"/>
    <w:rsid w:val="52D108E8"/>
    <w:rsid w:val="536F45A6"/>
    <w:rsid w:val="55E83CA4"/>
    <w:rsid w:val="573E324F"/>
    <w:rsid w:val="57405DED"/>
    <w:rsid w:val="592D4EB5"/>
    <w:rsid w:val="624A0E49"/>
    <w:rsid w:val="647B7BF2"/>
    <w:rsid w:val="64B77038"/>
    <w:rsid w:val="655B0E66"/>
    <w:rsid w:val="66B54E99"/>
    <w:rsid w:val="6AD22DD8"/>
    <w:rsid w:val="6B477C4D"/>
    <w:rsid w:val="703716C2"/>
    <w:rsid w:val="71A664B8"/>
    <w:rsid w:val="720660AA"/>
    <w:rsid w:val="73296B7E"/>
    <w:rsid w:val="73451235"/>
    <w:rsid w:val="75006983"/>
    <w:rsid w:val="76FB5841"/>
    <w:rsid w:val="772878A4"/>
    <w:rsid w:val="793D1E0C"/>
    <w:rsid w:val="7C3A2707"/>
    <w:rsid w:val="7F7F1DB6"/>
    <w:rsid w:val="7FEE2D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A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A3A04"/>
    <w:pPr>
      <w:jc w:val="left"/>
    </w:pPr>
  </w:style>
  <w:style w:type="paragraph" w:styleId="a4">
    <w:name w:val="Balloon Text"/>
    <w:basedOn w:val="a"/>
    <w:link w:val="Char0"/>
    <w:uiPriority w:val="99"/>
    <w:unhideWhenUsed/>
    <w:qFormat/>
    <w:rsid w:val="002A3A04"/>
    <w:rPr>
      <w:sz w:val="18"/>
      <w:szCs w:val="18"/>
    </w:rPr>
  </w:style>
  <w:style w:type="paragraph" w:styleId="a5">
    <w:name w:val="footer"/>
    <w:basedOn w:val="a"/>
    <w:link w:val="Char1"/>
    <w:uiPriority w:val="99"/>
    <w:unhideWhenUsed/>
    <w:qFormat/>
    <w:rsid w:val="002A3A0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A3A0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A3A04"/>
    <w:rPr>
      <w:b/>
      <w:bCs/>
    </w:rPr>
  </w:style>
  <w:style w:type="table" w:styleId="a8">
    <w:name w:val="Table Grid"/>
    <w:basedOn w:val="a1"/>
    <w:uiPriority w:val="59"/>
    <w:qFormat/>
    <w:rsid w:val="002A3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unhideWhenUsed/>
    <w:qFormat/>
    <w:rsid w:val="002A3A04"/>
    <w:rPr>
      <w:color w:val="555555"/>
      <w:u w:val="none"/>
    </w:rPr>
  </w:style>
  <w:style w:type="character" w:styleId="aa">
    <w:name w:val="Hyperlink"/>
    <w:basedOn w:val="a0"/>
    <w:uiPriority w:val="99"/>
    <w:unhideWhenUsed/>
    <w:qFormat/>
    <w:rsid w:val="002A3A04"/>
    <w:rPr>
      <w:color w:val="0563C1" w:themeColor="hyperlink"/>
      <w:u w:val="single"/>
    </w:rPr>
  </w:style>
  <w:style w:type="character" w:styleId="ab">
    <w:name w:val="annotation reference"/>
    <w:basedOn w:val="a0"/>
    <w:uiPriority w:val="99"/>
    <w:semiHidden/>
    <w:unhideWhenUsed/>
    <w:qFormat/>
    <w:rsid w:val="002A3A04"/>
    <w:rPr>
      <w:sz w:val="21"/>
      <w:szCs w:val="21"/>
    </w:rPr>
  </w:style>
  <w:style w:type="character" w:customStyle="1" w:styleId="Char2">
    <w:name w:val="页眉 Char"/>
    <w:basedOn w:val="a0"/>
    <w:link w:val="a6"/>
    <w:uiPriority w:val="99"/>
    <w:qFormat/>
    <w:rsid w:val="002A3A04"/>
    <w:rPr>
      <w:sz w:val="18"/>
      <w:szCs w:val="18"/>
    </w:rPr>
  </w:style>
  <w:style w:type="character" w:customStyle="1" w:styleId="Char1">
    <w:name w:val="页脚 Char"/>
    <w:basedOn w:val="a0"/>
    <w:link w:val="a5"/>
    <w:uiPriority w:val="99"/>
    <w:qFormat/>
    <w:rsid w:val="002A3A04"/>
    <w:rPr>
      <w:sz w:val="18"/>
      <w:szCs w:val="18"/>
    </w:rPr>
  </w:style>
  <w:style w:type="paragraph" w:customStyle="1" w:styleId="1">
    <w:name w:val="列出段落1"/>
    <w:basedOn w:val="a"/>
    <w:uiPriority w:val="34"/>
    <w:qFormat/>
    <w:rsid w:val="002A3A04"/>
    <w:pPr>
      <w:ind w:firstLineChars="200" w:firstLine="420"/>
    </w:pPr>
  </w:style>
  <w:style w:type="character" w:customStyle="1" w:styleId="Char0">
    <w:name w:val="批注框文本 Char"/>
    <w:basedOn w:val="a0"/>
    <w:link w:val="a4"/>
    <w:uiPriority w:val="99"/>
    <w:semiHidden/>
    <w:qFormat/>
    <w:rsid w:val="002A3A04"/>
    <w:rPr>
      <w:sz w:val="18"/>
      <w:szCs w:val="18"/>
    </w:rPr>
  </w:style>
  <w:style w:type="character" w:customStyle="1" w:styleId="hover34">
    <w:name w:val="hover34"/>
    <w:basedOn w:val="a0"/>
    <w:qFormat/>
    <w:rsid w:val="002A3A04"/>
    <w:rPr>
      <w:shd w:val="clear" w:color="auto" w:fill="F39700"/>
    </w:rPr>
  </w:style>
  <w:style w:type="paragraph" w:styleId="ac">
    <w:name w:val="List Paragraph"/>
    <w:basedOn w:val="a"/>
    <w:uiPriority w:val="99"/>
    <w:qFormat/>
    <w:rsid w:val="002A3A04"/>
    <w:pPr>
      <w:ind w:firstLineChars="200" w:firstLine="420"/>
    </w:pPr>
  </w:style>
  <w:style w:type="paragraph" w:customStyle="1" w:styleId="Default">
    <w:name w:val="Default"/>
    <w:qFormat/>
    <w:rsid w:val="002A3A04"/>
    <w:pPr>
      <w:widowControl w:val="0"/>
      <w:autoSpaceDE w:val="0"/>
      <w:autoSpaceDN w:val="0"/>
      <w:adjustRightInd w:val="0"/>
    </w:pPr>
    <w:rPr>
      <w:rFonts w:ascii="宋体" w:cs="宋体"/>
      <w:color w:val="000000"/>
      <w:sz w:val="24"/>
      <w:szCs w:val="24"/>
    </w:rPr>
  </w:style>
  <w:style w:type="character" w:customStyle="1" w:styleId="10">
    <w:name w:val="未处理的提及1"/>
    <w:basedOn w:val="a0"/>
    <w:uiPriority w:val="99"/>
    <w:semiHidden/>
    <w:unhideWhenUsed/>
    <w:qFormat/>
    <w:rsid w:val="002A3A04"/>
    <w:rPr>
      <w:color w:val="605E5C"/>
      <w:shd w:val="clear" w:color="auto" w:fill="E1DFDD"/>
    </w:rPr>
  </w:style>
  <w:style w:type="character" w:customStyle="1" w:styleId="Char">
    <w:name w:val="批注文字 Char"/>
    <w:basedOn w:val="a0"/>
    <w:link w:val="a3"/>
    <w:uiPriority w:val="99"/>
    <w:semiHidden/>
    <w:qFormat/>
    <w:rsid w:val="002A3A04"/>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sid w:val="002A3A04"/>
    <w:rPr>
      <w:rFonts w:asciiTheme="minorHAnsi" w:eastAsiaTheme="minorEastAsia" w:hAnsiTheme="minorHAnsi" w:cstheme="minorBidi"/>
      <w:b/>
      <w:bCs/>
      <w:kern w:val="2"/>
      <w:sz w:val="21"/>
      <w:szCs w:val="22"/>
    </w:rPr>
  </w:style>
  <w:style w:type="paragraph" w:customStyle="1" w:styleId="11">
    <w:name w:val="修订1"/>
    <w:hidden/>
    <w:uiPriority w:val="99"/>
    <w:semiHidden/>
    <w:qFormat/>
    <w:rsid w:val="002A3A04"/>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sid w:val="002A3A0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uyif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B44EF-5C55-469C-88FA-08388AEE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2138</Characters>
  <Application>Microsoft Office Word</Application>
  <DocSecurity>4</DocSecurity>
  <Lines>17</Lines>
  <Paragraphs>5</Paragraphs>
  <ScaleCrop>false</ScaleCrop>
  <Company>CNSTOCK</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cp:lastPrinted>2015-12-14T07:02:00Z</cp:lastPrinted>
  <dcterms:created xsi:type="dcterms:W3CDTF">2022-11-30T16:01:00Z</dcterms:created>
  <dcterms:modified xsi:type="dcterms:W3CDTF">2022-11-30T16:01:00Z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393CDAB7BA3549DDA667B6B2CDBBB429</vt:lpwstr>
  </property>
</Properties>
</file>