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E479F1">
      <w:pPr>
        <w:pStyle w:val="XBRL2"/>
        <w:spacing w:before="156"/>
      </w:pPr>
      <w:bookmarkStart w:id="0" w:name="_Toc510201001"/>
      <w:bookmarkEnd w:id="0"/>
      <w:r>
        <w:t xml:space="preserve">　</w:t>
      </w:r>
      <w:r>
        <w:t xml:space="preserve"> </w:t>
      </w:r>
    </w:p>
    <w:p w:rsidR="00000000" w:rsidRDefault="00E479F1">
      <w:pPr>
        <w:jc w:val="center"/>
      </w:pPr>
      <w:r>
        <w:rPr>
          <w:rFonts w:cs="Times New Roman" w:hint="eastAsia"/>
          <w:b/>
          <w:sz w:val="48"/>
          <w:szCs w:val="48"/>
        </w:rPr>
        <w:t>东方臻选纯债债券型证券投资基金暂停申购、转换转入、定期定额公告</w:t>
      </w:r>
    </w:p>
    <w:p w:rsidR="00000000" w:rsidRDefault="00E479F1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</w:t>
      </w:r>
      <w:r>
        <w:rPr>
          <w:rFonts w:hint="eastAsia"/>
          <w:color w:val="000000"/>
          <w:kern w:val="0"/>
          <w:sz w:val="18"/>
        </w:rPr>
        <w:t xml:space="preserve"> </w:t>
      </w:r>
    </w:p>
    <w:p w:rsidR="00000000" w:rsidRDefault="00E479F1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</w:t>
      </w:r>
      <w:r>
        <w:rPr>
          <w:rFonts w:hint="eastAsia"/>
          <w:color w:val="000000"/>
          <w:kern w:val="0"/>
          <w:sz w:val="18"/>
        </w:rPr>
        <w:t xml:space="preserve"> </w:t>
      </w:r>
    </w:p>
    <w:p w:rsidR="00000000" w:rsidRDefault="00E479F1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</w:t>
      </w:r>
      <w:r>
        <w:rPr>
          <w:rFonts w:hint="eastAsia"/>
          <w:color w:val="000000"/>
          <w:kern w:val="0"/>
          <w:sz w:val="18"/>
        </w:rPr>
        <w:t xml:space="preserve"> </w:t>
      </w:r>
    </w:p>
    <w:p w:rsidR="00000000" w:rsidRDefault="00E479F1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</w:t>
      </w:r>
      <w:r>
        <w:rPr>
          <w:rFonts w:hint="eastAsia"/>
          <w:color w:val="000000"/>
          <w:kern w:val="0"/>
          <w:sz w:val="18"/>
        </w:rPr>
        <w:t xml:space="preserve"> </w:t>
      </w:r>
    </w:p>
    <w:p w:rsidR="00000000" w:rsidRDefault="00E479F1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</w:t>
      </w:r>
      <w:r>
        <w:rPr>
          <w:rFonts w:hint="eastAsia"/>
          <w:color w:val="000000"/>
          <w:kern w:val="0"/>
          <w:sz w:val="18"/>
        </w:rPr>
        <w:t xml:space="preserve"> </w:t>
      </w:r>
    </w:p>
    <w:p w:rsidR="00000000" w:rsidRDefault="00E479F1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</w:t>
      </w:r>
      <w:r>
        <w:rPr>
          <w:rFonts w:hint="eastAsia"/>
          <w:color w:val="000000"/>
          <w:kern w:val="0"/>
          <w:sz w:val="18"/>
        </w:rPr>
        <w:t xml:space="preserve"> </w:t>
      </w:r>
    </w:p>
    <w:p w:rsidR="00000000" w:rsidRDefault="00E479F1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</w:t>
      </w:r>
      <w:r>
        <w:rPr>
          <w:rFonts w:hint="eastAsia"/>
          <w:color w:val="000000"/>
          <w:kern w:val="0"/>
          <w:sz w:val="18"/>
        </w:rPr>
        <w:t xml:space="preserve"> </w:t>
      </w:r>
    </w:p>
    <w:p w:rsidR="00000000" w:rsidRDefault="00E479F1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</w:t>
      </w:r>
      <w:r>
        <w:rPr>
          <w:rFonts w:hint="eastAsia"/>
          <w:color w:val="000000"/>
          <w:kern w:val="0"/>
          <w:sz w:val="18"/>
        </w:rPr>
        <w:t xml:space="preserve"> </w:t>
      </w:r>
    </w:p>
    <w:p w:rsidR="00000000" w:rsidRDefault="00E479F1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</w:t>
      </w:r>
      <w:r>
        <w:rPr>
          <w:rFonts w:hint="eastAsia"/>
          <w:color w:val="000000"/>
          <w:kern w:val="0"/>
          <w:sz w:val="18"/>
        </w:rPr>
        <w:t xml:space="preserve"> </w:t>
      </w:r>
    </w:p>
    <w:p w:rsidR="00000000" w:rsidRDefault="00E479F1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</w:t>
      </w:r>
      <w:r>
        <w:rPr>
          <w:rFonts w:hint="eastAsia"/>
          <w:color w:val="000000"/>
          <w:kern w:val="0"/>
          <w:sz w:val="18"/>
        </w:rPr>
        <w:t xml:space="preserve"> </w:t>
      </w:r>
    </w:p>
    <w:p w:rsidR="00000000" w:rsidRDefault="00E479F1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</w:t>
      </w:r>
      <w:r>
        <w:rPr>
          <w:rFonts w:hint="eastAsia"/>
          <w:color w:val="000000"/>
          <w:kern w:val="0"/>
          <w:sz w:val="18"/>
        </w:rPr>
        <w:t xml:space="preserve"> </w:t>
      </w:r>
    </w:p>
    <w:p w:rsidR="00000000" w:rsidRDefault="00E479F1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</w:t>
      </w:r>
      <w:r>
        <w:rPr>
          <w:rFonts w:hint="eastAsia"/>
          <w:color w:val="000000"/>
          <w:kern w:val="0"/>
          <w:sz w:val="18"/>
        </w:rPr>
        <w:t xml:space="preserve"> </w:t>
      </w:r>
    </w:p>
    <w:p w:rsidR="00000000" w:rsidRDefault="00E479F1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</w:t>
      </w:r>
      <w:r>
        <w:rPr>
          <w:rFonts w:hint="eastAsia"/>
          <w:color w:val="000000"/>
          <w:kern w:val="0"/>
          <w:sz w:val="18"/>
        </w:rPr>
        <w:t xml:space="preserve"> </w:t>
      </w:r>
    </w:p>
    <w:p w:rsidR="00000000" w:rsidRDefault="00E479F1">
      <w:pPr>
        <w:spacing w:line="360" w:lineRule="auto"/>
        <w:jc w:val="center"/>
        <w:rPr>
          <w:rFonts w:hint="eastAsia"/>
          <w:b/>
          <w:bCs/>
          <w:sz w:val="24"/>
          <w:szCs w:val="30"/>
        </w:rPr>
      </w:pPr>
    </w:p>
    <w:p w:rsidR="00000000" w:rsidRDefault="00E479F1">
      <w:pPr>
        <w:spacing w:line="360" w:lineRule="auto"/>
        <w:jc w:val="center"/>
        <w:rPr>
          <w:rFonts w:hint="eastAsia"/>
          <w:b/>
          <w:bCs/>
          <w:sz w:val="24"/>
          <w:szCs w:val="30"/>
        </w:rPr>
      </w:pPr>
    </w:p>
    <w:p w:rsidR="00000000" w:rsidRDefault="00E479F1">
      <w:pPr>
        <w:spacing w:line="360" w:lineRule="auto"/>
        <w:jc w:val="center"/>
        <w:rPr>
          <w:rFonts w:hint="eastAsia"/>
          <w:b/>
          <w:bCs/>
          <w:sz w:val="24"/>
          <w:szCs w:val="30"/>
        </w:rPr>
      </w:pPr>
    </w:p>
    <w:p w:rsidR="00000000" w:rsidRDefault="00E479F1">
      <w:pPr>
        <w:spacing w:line="360" w:lineRule="auto"/>
        <w:jc w:val="center"/>
        <w:rPr>
          <w:rFonts w:hint="eastAsia"/>
          <w:b/>
          <w:bCs/>
          <w:sz w:val="24"/>
          <w:szCs w:val="30"/>
        </w:rPr>
      </w:pPr>
    </w:p>
    <w:p w:rsidR="00000000" w:rsidRDefault="00E479F1">
      <w:pPr>
        <w:spacing w:line="360" w:lineRule="auto"/>
        <w:jc w:val="center"/>
        <w:rPr>
          <w:rFonts w:hint="eastAsia"/>
          <w:b/>
          <w:bCs/>
          <w:sz w:val="24"/>
          <w:szCs w:val="30"/>
        </w:rPr>
      </w:pPr>
    </w:p>
    <w:p w:rsidR="00000000" w:rsidRDefault="00E479F1">
      <w:pPr>
        <w:spacing w:line="360" w:lineRule="auto"/>
        <w:jc w:val="center"/>
        <w:rPr>
          <w:rFonts w:hint="eastAsia"/>
          <w:b/>
          <w:bCs/>
          <w:sz w:val="24"/>
          <w:szCs w:val="30"/>
        </w:rPr>
      </w:pPr>
    </w:p>
    <w:p w:rsidR="00000000" w:rsidRDefault="00E479F1">
      <w:pPr>
        <w:spacing w:line="360" w:lineRule="auto"/>
        <w:jc w:val="center"/>
        <w:rPr>
          <w:rFonts w:hint="eastAsia"/>
        </w:rPr>
      </w:pPr>
      <w:r>
        <w:rPr>
          <w:rFonts w:hint="eastAsia"/>
          <w:b/>
          <w:bCs/>
          <w:sz w:val="24"/>
          <w:szCs w:val="30"/>
        </w:rPr>
        <w:t>公告送出日期：</w:t>
      </w:r>
      <w:r>
        <w:rPr>
          <w:rFonts w:hint="eastAsia"/>
          <w:b/>
          <w:bCs/>
          <w:sz w:val="24"/>
          <w:szCs w:val="30"/>
        </w:rPr>
        <w:t>2022</w:t>
      </w:r>
      <w:r>
        <w:rPr>
          <w:rFonts w:hint="eastAsia"/>
          <w:b/>
          <w:bCs/>
          <w:sz w:val="24"/>
          <w:szCs w:val="30"/>
        </w:rPr>
        <w:t>年</w:t>
      </w:r>
      <w:r>
        <w:rPr>
          <w:rFonts w:hint="eastAsia"/>
          <w:b/>
          <w:bCs/>
          <w:sz w:val="24"/>
          <w:szCs w:val="30"/>
        </w:rPr>
        <w:t>11</w:t>
      </w:r>
      <w:r>
        <w:rPr>
          <w:rFonts w:hint="eastAsia"/>
          <w:b/>
          <w:bCs/>
          <w:sz w:val="24"/>
          <w:szCs w:val="30"/>
        </w:rPr>
        <w:t>月</w:t>
      </w:r>
      <w:r>
        <w:rPr>
          <w:rFonts w:hint="eastAsia"/>
          <w:b/>
          <w:bCs/>
          <w:sz w:val="24"/>
          <w:szCs w:val="30"/>
        </w:rPr>
        <w:t>26</w:t>
      </w:r>
      <w:r>
        <w:rPr>
          <w:rFonts w:hint="eastAsia"/>
          <w:b/>
          <w:bCs/>
          <w:sz w:val="24"/>
          <w:szCs w:val="30"/>
        </w:rPr>
        <w:t>日</w:t>
      </w:r>
    </w:p>
    <w:p w:rsidR="00000000" w:rsidRDefault="00E479F1">
      <w:pPr>
        <w:pStyle w:val="XBRLTitle1"/>
        <w:spacing w:before="156"/>
        <w:jc w:val="left"/>
        <w:rPr>
          <w:rFonts w:hint="eastAsia"/>
          <w:szCs w:val="24"/>
        </w:rPr>
      </w:pPr>
      <w:r>
        <w:rPr>
          <w:rFonts w:hint="eastAsia"/>
          <w:color w:val="404040"/>
          <w:kern w:val="0"/>
        </w:rPr>
        <w:br w:type="page"/>
      </w:r>
      <w:bookmarkStart w:id="1" w:name="_Toc512519480"/>
      <w:bookmarkStart w:id="2" w:name="_Toc513295846"/>
      <w:bookmarkStart w:id="3" w:name="_Toc490050000"/>
      <w:bookmarkStart w:id="4" w:name="_Toc481075046"/>
      <w:bookmarkStart w:id="5" w:name="_Toc17898178"/>
      <w:bookmarkStart w:id="6" w:name="_Toc34322059"/>
      <w:bookmarkStart w:id="7" w:name="_Toc17897936"/>
      <w:bookmarkStart w:id="8" w:name="_Toc513295892"/>
      <w:bookmarkStart w:id="9" w:name="_Toc438646451"/>
      <w:bookmarkStart w:id="10" w:name="_Toc194311890"/>
      <w:bookmarkStart w:id="11" w:name="m01_01"/>
      <w:bookmarkStart w:id="12" w:name="m101"/>
      <w:r>
        <w:rPr>
          <w:rFonts w:hint="eastAsia"/>
          <w:szCs w:val="24"/>
        </w:rPr>
        <w:t>公告基本信息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hint="eastAsia"/>
          <w:szCs w:val="24"/>
        </w:rPr>
        <w:t xml:space="preserve"> </w:t>
      </w:r>
      <w:bookmarkEnd w:id="10"/>
      <w:bookmarkEnd w:id="11"/>
      <w:bookmarkEnd w:id="12"/>
    </w:p>
    <w:tbl>
      <w:tblPr>
        <w:tblW w:w="84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53"/>
        <w:gridCol w:w="1845"/>
        <w:gridCol w:w="2121"/>
        <w:gridCol w:w="2956"/>
      </w:tblGrid>
      <w:tr w:rsidR="00000000"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479F1">
            <w:r>
              <w:rPr>
                <w:rFonts w:ascii="Calibri" w:hAnsi="Calibri" w:hint="eastAsia"/>
              </w:rPr>
              <w:t>基金名称</w:t>
            </w:r>
          </w:p>
        </w:tc>
        <w:tc>
          <w:tcPr>
            <w:tcW w:w="5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479F1">
            <w:r>
              <w:rPr>
                <w:rFonts w:hint="eastAsia"/>
              </w:rPr>
              <w:t>东方臻选纯债债券型证券投资基金</w:t>
            </w:r>
          </w:p>
        </w:tc>
      </w:tr>
      <w:tr w:rsidR="00000000"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479F1">
            <w:r>
              <w:rPr>
                <w:rFonts w:hint="eastAsia"/>
              </w:rPr>
              <w:t>基金简称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479F1">
            <w:r>
              <w:rPr>
                <w:rFonts w:hint="eastAsia"/>
              </w:rPr>
              <w:t>东方臻选纯债债券</w:t>
            </w:r>
          </w:p>
        </w:tc>
      </w:tr>
      <w:tr w:rsidR="00000000"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479F1">
            <w:r>
              <w:rPr>
                <w:rFonts w:hint="eastAsia"/>
              </w:rPr>
              <w:t>基金主代码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479F1">
            <w:r>
              <w:rPr>
                <w:rFonts w:hint="eastAsia"/>
              </w:rPr>
              <w:t>006212</w:t>
            </w:r>
          </w:p>
        </w:tc>
      </w:tr>
      <w:tr w:rsidR="00000000"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479F1">
            <w:r>
              <w:rPr>
                <w:rFonts w:ascii="Calibri" w:hAnsi="Calibri" w:hint="eastAsia"/>
              </w:rPr>
              <w:t>基金管理人名称</w:t>
            </w:r>
          </w:p>
        </w:tc>
        <w:tc>
          <w:tcPr>
            <w:tcW w:w="5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479F1">
            <w:r>
              <w:rPr>
                <w:rFonts w:hint="eastAsia"/>
              </w:rPr>
              <w:t>东方基金管理股份有限公司</w:t>
            </w:r>
          </w:p>
        </w:tc>
      </w:tr>
      <w:tr w:rsidR="00000000"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479F1">
            <w:r>
              <w:rPr>
                <w:rFonts w:ascii="Calibri" w:hAnsi="Calibri" w:hint="eastAsia"/>
              </w:rPr>
              <w:t>公告依据</w:t>
            </w:r>
          </w:p>
        </w:tc>
        <w:tc>
          <w:tcPr>
            <w:tcW w:w="5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479F1">
            <w:r>
              <w:rPr>
                <w:rFonts w:hint="eastAsia"/>
              </w:rPr>
              <w:t>《东方臻选纯债债券型证券投资基金基金合同》、《东方臻选纯债债券型证券投资基金招募说明书》及相关法律法规。</w:t>
            </w:r>
          </w:p>
        </w:tc>
      </w:tr>
      <w:tr w:rsidR="00000000"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479F1">
            <w:r>
              <w:rPr>
                <w:rFonts w:ascii="Calibri" w:hAnsi="Calibri" w:hint="eastAsia"/>
              </w:rPr>
              <w:t>暂停相关业务的起始日、金额及</w:t>
            </w:r>
            <w:r>
              <w:rPr>
                <w:rFonts w:ascii="Calibri" w:hAnsi="Calibri" w:hint="eastAsia"/>
              </w:rPr>
              <w:t>原因说明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479F1">
            <w:r>
              <w:rPr>
                <w:rFonts w:ascii="Calibri" w:hAnsi="Calibri" w:hint="eastAsia"/>
              </w:rPr>
              <w:t>暂停申购起始日</w:t>
            </w:r>
          </w:p>
        </w:tc>
        <w:tc>
          <w:tcPr>
            <w:tcW w:w="5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479F1"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</w:p>
        </w:tc>
      </w:tr>
      <w:tr w:rsidR="00000000"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479F1">
            <w:pPr>
              <w:widowControl/>
              <w:jc w:val="left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479F1">
            <w:r>
              <w:rPr>
                <w:rFonts w:ascii="Calibri" w:hAnsi="Calibri" w:hint="eastAsia"/>
              </w:rPr>
              <w:t>暂停转换转入起始日</w:t>
            </w:r>
          </w:p>
        </w:tc>
        <w:tc>
          <w:tcPr>
            <w:tcW w:w="5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479F1"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</w:p>
        </w:tc>
      </w:tr>
      <w:tr w:rsidR="00000000"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479F1">
            <w:pPr>
              <w:widowControl/>
              <w:jc w:val="left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479F1">
            <w:r>
              <w:rPr>
                <w:rFonts w:ascii="Calibri" w:hAnsi="Calibri" w:hint="eastAsia"/>
              </w:rPr>
              <w:t>暂停定期定额起始日</w:t>
            </w:r>
          </w:p>
        </w:tc>
        <w:tc>
          <w:tcPr>
            <w:tcW w:w="5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479F1"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</w:p>
        </w:tc>
      </w:tr>
      <w:tr w:rsidR="00000000"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479F1">
            <w:pPr>
              <w:widowControl/>
              <w:jc w:val="left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479F1">
            <w:r>
              <w:rPr>
                <w:rFonts w:ascii="Calibri" w:hAnsi="Calibri" w:hint="eastAsia"/>
              </w:rPr>
              <w:t>暂停申购、转换转入、定期定额的原因说明</w:t>
            </w:r>
          </w:p>
        </w:tc>
        <w:tc>
          <w:tcPr>
            <w:tcW w:w="5077" w:type="dxa"/>
            <w:gridSpan w:val="2"/>
            <w:tcBorders>
              <w:top w:val="single" w:sz="4" w:space="0" w:color="000000"/>
              <w:left w:val="single" w:sz="4" w:space="0" w:color="000000"/>
              <w:bottom w:val="outset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479F1">
            <w:r>
              <w:rPr>
                <w:rFonts w:hint="eastAsia"/>
              </w:rPr>
              <w:t>为了保护基金持有人利益。</w:t>
            </w:r>
          </w:p>
        </w:tc>
      </w:tr>
      <w:tr w:rsidR="00000000"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479F1">
            <w:r>
              <w:rPr>
                <w:rFonts w:ascii="Calibri" w:hAnsi="Calibri" w:hint="eastAsia"/>
              </w:rPr>
              <w:t>下属分级基金的基金简称</w:t>
            </w:r>
          </w:p>
        </w:tc>
        <w:tc>
          <w:tcPr>
            <w:tcW w:w="2121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</w:tcPr>
          <w:p w:rsidR="00000000" w:rsidRDefault="00E479F1">
            <w:r>
              <w:rPr>
                <w:rFonts w:hint="eastAsia"/>
              </w:rPr>
              <w:t>东方臻选纯债债券</w:t>
            </w:r>
            <w:r>
              <w:rPr>
                <w:rFonts w:hint="eastAsia"/>
              </w:rPr>
              <w:t xml:space="preserve">A </w:t>
            </w:r>
          </w:p>
        </w:tc>
        <w:tc>
          <w:tcPr>
            <w:tcW w:w="2956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</w:tcPr>
          <w:p w:rsidR="00000000" w:rsidRDefault="00E479F1">
            <w:r>
              <w:rPr>
                <w:rFonts w:hint="eastAsia"/>
              </w:rPr>
              <w:t>东方臻选纯债债券</w:t>
            </w:r>
            <w:r>
              <w:rPr>
                <w:rFonts w:hint="eastAsia"/>
              </w:rPr>
              <w:t>C</w:t>
            </w:r>
          </w:p>
        </w:tc>
      </w:tr>
      <w:tr w:rsidR="00000000"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479F1">
            <w:r>
              <w:rPr>
                <w:rFonts w:ascii="Calibri" w:hAnsi="Calibri" w:hint="eastAsia"/>
              </w:rPr>
              <w:t>下属分级基金的交易代码</w:t>
            </w:r>
          </w:p>
        </w:tc>
        <w:tc>
          <w:tcPr>
            <w:tcW w:w="2121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</w:tcPr>
          <w:p w:rsidR="00000000" w:rsidRDefault="00E479F1">
            <w:r>
              <w:rPr>
                <w:rFonts w:hint="eastAsia"/>
              </w:rPr>
              <w:t>006212</w:t>
            </w:r>
          </w:p>
        </w:tc>
        <w:tc>
          <w:tcPr>
            <w:tcW w:w="2956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</w:tcPr>
          <w:p w:rsidR="00000000" w:rsidRDefault="00E479F1">
            <w:r>
              <w:rPr>
                <w:rFonts w:hint="eastAsia"/>
              </w:rPr>
              <w:t>006213</w:t>
            </w:r>
          </w:p>
        </w:tc>
      </w:tr>
      <w:tr w:rsidR="00000000"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479F1">
            <w:r>
              <w:rPr>
                <w:rFonts w:ascii="Calibri" w:hAnsi="Calibri" w:hint="eastAsia"/>
              </w:rPr>
              <w:t>该分级基金是否暂停申购、转换转入、定期定额</w:t>
            </w:r>
          </w:p>
        </w:tc>
        <w:tc>
          <w:tcPr>
            <w:tcW w:w="2121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</w:tcPr>
          <w:p w:rsidR="00000000" w:rsidRDefault="00E479F1">
            <w:r>
              <w:rPr>
                <w:rFonts w:hint="eastAsia"/>
              </w:rPr>
              <w:t>是</w:t>
            </w:r>
          </w:p>
        </w:tc>
        <w:tc>
          <w:tcPr>
            <w:tcW w:w="2956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</w:tcPr>
          <w:p w:rsidR="00000000" w:rsidRDefault="00E479F1">
            <w:r>
              <w:rPr>
                <w:rFonts w:hint="eastAsia"/>
              </w:rPr>
              <w:t>是</w:t>
            </w:r>
          </w:p>
        </w:tc>
      </w:tr>
    </w:tbl>
    <w:p w:rsidR="00000000" w:rsidRDefault="00E479F1">
      <w:pPr>
        <w:pStyle w:val="XBRLTitle1"/>
        <w:spacing w:before="156" w:line="360" w:lineRule="auto"/>
        <w:jc w:val="left"/>
        <w:rPr>
          <w:rFonts w:hAnsi="宋体" w:hint="eastAsia"/>
          <w:szCs w:val="24"/>
        </w:rPr>
      </w:pPr>
      <w:bookmarkStart w:id="13" w:name="_Toc17897969"/>
      <w:bookmarkStart w:id="14" w:name="_Toc513295941"/>
      <w:bookmarkStart w:id="15" w:name="_Toc34322063"/>
      <w:bookmarkStart w:id="16" w:name="_Toc490050049"/>
      <w:bookmarkStart w:id="17" w:name="_Toc438646481"/>
      <w:bookmarkStart w:id="18" w:name="_Toc512519529"/>
      <w:bookmarkStart w:id="19" w:name="_Toc513295878"/>
      <w:bookmarkStart w:id="20" w:name="_Toc481075097"/>
      <w:bookmarkStart w:id="21" w:name="_Toc17898228"/>
      <w:bookmarkStart w:id="22" w:name="m201_01"/>
      <w:r>
        <w:rPr>
          <w:rFonts w:hAnsi="宋体" w:hint="eastAsia"/>
          <w:szCs w:val="24"/>
        </w:rPr>
        <w:t>其他需要提示的事项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rFonts w:hAnsi="宋体" w:hint="eastAsia"/>
          <w:szCs w:val="24"/>
        </w:rPr>
        <w:t xml:space="preserve"> </w:t>
      </w:r>
    </w:p>
    <w:p w:rsidR="00000000" w:rsidRDefault="00E479F1">
      <w:pPr>
        <w:spacing w:line="360" w:lineRule="auto"/>
        <w:ind w:firstLineChars="200" w:firstLine="420"/>
        <w:jc w:val="left"/>
        <w:rPr>
          <w:rFonts w:hint="eastAsia"/>
        </w:rPr>
      </w:pPr>
      <w:r>
        <w:rPr>
          <w:rFonts w:hint="eastAsia"/>
          <w:szCs w:val="21"/>
        </w:rPr>
        <w:t xml:space="preserve">2.1 </w:t>
      </w:r>
      <w:r>
        <w:rPr>
          <w:rFonts w:hint="eastAsia"/>
          <w:szCs w:val="21"/>
        </w:rPr>
        <w:t>本基金暂停办理申购、转换转入及定期定额投资业务期间，转换转出及赎回等其他业务仍照常办理。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2.2 </w:t>
      </w:r>
      <w:r>
        <w:rPr>
          <w:rFonts w:hint="eastAsia"/>
          <w:szCs w:val="21"/>
        </w:rPr>
        <w:t>风险提示：本基金管理人承诺以诚实信用、勤勉尽责的原则管理和运作基金资产，但不保证基金一定盈利，也不保证最低收益，敬请投资人注意投资风险。投资者投资于本基金前应认真阅读本基金的《基金合同》、《招募说明书》、基金产品资料概要等法律文件。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2.3 </w:t>
      </w:r>
      <w:r>
        <w:rPr>
          <w:rFonts w:hint="eastAsia"/>
          <w:szCs w:val="21"/>
        </w:rPr>
        <w:t>如有疑问，请拨打客户服务热线：</w:t>
      </w:r>
      <w:r>
        <w:rPr>
          <w:rFonts w:hint="eastAsia"/>
          <w:szCs w:val="21"/>
        </w:rPr>
        <w:t>400-628-5888</w:t>
      </w:r>
      <w:r>
        <w:rPr>
          <w:rFonts w:hint="eastAsia"/>
          <w:szCs w:val="21"/>
        </w:rPr>
        <w:t>（免长途话费），或登陆公司网站</w:t>
      </w:r>
      <w:r>
        <w:rPr>
          <w:rFonts w:hint="eastAsia"/>
          <w:szCs w:val="21"/>
        </w:rPr>
        <w:t>www.orient-fund.com</w:t>
      </w:r>
      <w:r>
        <w:rPr>
          <w:rFonts w:hint="eastAsia"/>
          <w:szCs w:val="21"/>
        </w:rPr>
        <w:t>获取相关信息。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t xml:space="preserve">　　特此公告。</w:t>
      </w:r>
    </w:p>
    <w:p w:rsidR="00000000" w:rsidRDefault="00E479F1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</w:t>
      </w:r>
      <w:r>
        <w:rPr>
          <w:rFonts w:hint="eastAsia"/>
          <w:b/>
          <w:bCs/>
          <w:sz w:val="24"/>
          <w:szCs w:val="30"/>
        </w:rPr>
        <w:t xml:space="preserve"> </w:t>
      </w:r>
    </w:p>
    <w:p w:rsidR="00000000" w:rsidRDefault="00E479F1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</w:t>
      </w:r>
      <w:r>
        <w:rPr>
          <w:rFonts w:hint="eastAsia"/>
          <w:b/>
          <w:bCs/>
          <w:sz w:val="24"/>
          <w:szCs w:val="30"/>
        </w:rPr>
        <w:t xml:space="preserve"> </w:t>
      </w:r>
    </w:p>
    <w:p w:rsidR="00000000" w:rsidRDefault="00E479F1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东方基金管理股份有限公司</w:t>
      </w:r>
    </w:p>
    <w:p w:rsidR="00000000" w:rsidRDefault="00E479F1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2022</w:t>
      </w:r>
      <w:r>
        <w:rPr>
          <w:rFonts w:hint="eastAsia"/>
          <w:b/>
          <w:bCs/>
          <w:sz w:val="24"/>
          <w:szCs w:val="24"/>
        </w:rPr>
        <w:t>年</w:t>
      </w:r>
      <w:r>
        <w:rPr>
          <w:rFonts w:hint="eastAsia"/>
          <w:b/>
          <w:bCs/>
          <w:sz w:val="24"/>
          <w:szCs w:val="24"/>
        </w:rPr>
        <w:t>11</w:t>
      </w:r>
      <w:r>
        <w:rPr>
          <w:rFonts w:hint="eastAsia"/>
          <w:b/>
          <w:bCs/>
          <w:sz w:val="24"/>
          <w:szCs w:val="24"/>
        </w:rPr>
        <w:t>月</w:t>
      </w:r>
      <w:r>
        <w:rPr>
          <w:rFonts w:hint="eastAsia"/>
          <w:b/>
          <w:bCs/>
          <w:sz w:val="24"/>
          <w:szCs w:val="24"/>
        </w:rPr>
        <w:t>26</w:t>
      </w:r>
      <w:r>
        <w:rPr>
          <w:rFonts w:hint="eastAsia"/>
          <w:b/>
          <w:bCs/>
          <w:sz w:val="24"/>
          <w:szCs w:val="24"/>
        </w:rPr>
        <w:t>日</w:t>
      </w:r>
      <w:bookmarkEnd w:id="22"/>
    </w:p>
    <w:sectPr w:rsidR="00000000">
      <w:headerReference w:type="default" r:id="rId7"/>
      <w:footerReference w:type="default" r:id="rId8"/>
      <w:footerReference w:type="first" r:id="rId9"/>
      <w:pgSz w:w="11907" w:h="16839"/>
      <w:pgMar w:top="1440" w:right="1531" w:bottom="1134" w:left="1531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E479F1">
      <w:r>
        <w:separator/>
      </w:r>
    </w:p>
  </w:endnote>
  <w:endnote w:type="continuationSeparator" w:id="0">
    <w:p w:rsidR="00000000" w:rsidRDefault="00E47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icrosoft YaHei UI">
    <w:charset w:val="86"/>
    <w:family w:val="swiss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479F1">
    <w:pPr>
      <w:jc w:val="center"/>
      <w:rPr>
        <w:rFonts w:hint="eastAsia"/>
      </w:rPr>
    </w:pPr>
    <w:r>
      <w:rPr>
        <w:rFonts w:hint="eastAsia"/>
        <w:sz w:val="18"/>
        <w:szCs w:val="18"/>
      </w:rPr>
      <w:t>第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  <w:lang w:val="en-US" w:eastAsia="zh-CN"/>
      </w:rPr>
      <w:t>2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  <w:lang w:val="zh-CN"/>
      </w:rPr>
      <w:t>页</w:t>
    </w:r>
    <w:r>
      <w:rPr>
        <w:rFonts w:hint="eastAsia"/>
        <w:sz w:val="18"/>
        <w:szCs w:val="18"/>
        <w:lang w:val="zh-CN"/>
      </w:rPr>
      <w:t xml:space="preserve"> </w:t>
    </w:r>
    <w:r>
      <w:rPr>
        <w:rFonts w:hint="eastAsia"/>
        <w:sz w:val="18"/>
        <w:szCs w:val="18"/>
        <w:lang w:val="zh-CN"/>
      </w:rPr>
      <w:t>共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>
      <w:rPr>
        <w:sz w:val="18"/>
        <w:szCs w:val="18"/>
        <w:lang w:val="en-US" w:eastAsia="zh-CN"/>
      </w:rPr>
      <w:t>2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</w:rPr>
      <w:t>页</w:t>
    </w:r>
    <w:r>
      <w:rPr>
        <w:rFonts w:hint="eastAsia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479F1">
    <w:pPr>
      <w:jc w:val="center"/>
      <w:rPr>
        <w:rFonts w:hint="eastAsia"/>
      </w:rPr>
    </w:pPr>
    <w:r>
      <w:rPr>
        <w:rFonts w:hint="eastAsia"/>
        <w:sz w:val="18"/>
        <w:szCs w:val="18"/>
      </w:rPr>
      <w:t>第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  <w:lang w:val="zh-CN"/>
      </w:rPr>
      <w:t>页</w:t>
    </w:r>
    <w:r>
      <w:rPr>
        <w:rFonts w:hint="eastAsia"/>
        <w:sz w:val="18"/>
        <w:szCs w:val="18"/>
        <w:lang w:val="zh-CN"/>
      </w:rPr>
      <w:t xml:space="preserve"> </w:t>
    </w:r>
    <w:r>
      <w:rPr>
        <w:rFonts w:hint="eastAsia"/>
        <w:sz w:val="18"/>
        <w:szCs w:val="18"/>
        <w:lang w:val="zh-CN"/>
      </w:rPr>
      <w:t>共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</w:rPr>
      <w:t>页</w:t>
    </w:r>
    <w:r>
      <w:rPr>
        <w:rFonts w:hint="eastAsia"/>
      </w:rPr>
      <w:t xml:space="preserve"> </w:t>
    </w:r>
  </w:p>
  <w:p w:rsidR="00000000" w:rsidRDefault="00E479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E479F1">
      <w:r>
        <w:separator/>
      </w:r>
    </w:p>
  </w:footnote>
  <w:footnote w:type="continuationSeparator" w:id="0">
    <w:p w:rsidR="00000000" w:rsidRDefault="00E479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479F1">
    <w:pPr>
      <w:pStyle w:val="a7"/>
      <w:jc w:val="both"/>
      <w:rPr>
        <w:rFonts w:hint="eastAsia"/>
      </w:rPr>
    </w:pPr>
    <w:r>
      <w:rPr>
        <w:rFonts w:hint="eastAsia"/>
      </w:rPr>
      <w:t>东方臻选纯债债券型证券投资基金暂停申</w:t>
    </w:r>
    <w:r>
      <w:rPr>
        <w:rFonts w:hint="eastAsia"/>
      </w:rPr>
      <w:t>购、转换转入、定期定额公告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73EE"/>
    <w:multiLevelType w:val="multilevel"/>
    <w:tmpl w:val="547D73EE"/>
    <w:lvl w:ilvl="0">
      <w:start w:val="1"/>
      <w:numFmt w:val="decimal"/>
      <w:lvlText w:val="%1."/>
      <w:lvlJc w:val="left"/>
      <w:pPr>
        <w:ind w:left="425" w:hanging="425"/>
      </w:pPr>
      <w:rPr>
        <w:sz w:val="24"/>
        <w:szCs w:val="24"/>
      </w:rPr>
    </w:lvl>
    <w:lvl w:ilvl="1">
      <w:start w:val="1"/>
      <w:numFmt w:val="decimal"/>
      <w:suff w:val="space"/>
      <w:lvlText w:val="%1.%2"/>
      <w:lvlJc w:val="left"/>
      <w:pPr>
        <w:ind w:left="3148" w:hanging="454"/>
      </w:pPr>
    </w:lvl>
    <w:lvl w:ilvl="2">
      <w:start w:val="1"/>
      <w:numFmt w:val="decimal"/>
      <w:suff w:val="space"/>
      <w:lvlText w:val="%1.%2.%3"/>
      <w:lvlJc w:val="left"/>
      <w:pPr>
        <w:ind w:left="1050" w:hanging="624"/>
      </w:pPr>
      <w:rPr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794" w:hanging="794"/>
      </w:pPr>
    </w:lvl>
    <w:lvl w:ilvl="4">
      <w:start w:val="1"/>
      <w:numFmt w:val="decimal"/>
      <w:suff w:val="space"/>
      <w:lvlText w:val="%1.%2.%3.%4.%5"/>
      <w:lvlJc w:val="left"/>
      <w:pPr>
        <w:ind w:left="1021" w:hanging="1021"/>
      </w:pPr>
    </w:lvl>
    <w:lvl w:ilvl="5">
      <w:start w:val="1"/>
      <w:numFmt w:val="decimal"/>
      <w:suff w:val="space"/>
      <w:lvlText w:val="%1.%2.%3.%4.%5.%6"/>
      <w:lvlJc w:val="left"/>
      <w:pPr>
        <w:ind w:left="1021" w:hanging="1021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mirrorMargins/>
  <w:bordersDoNotSurroundHeader/>
  <w:bordersDoNotSurroundFooter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OTQxZTMxNDcwZTY1OTlhZTI3MDk4NDU5OTYxMzlhMTQifQ=="/>
  </w:docVars>
  <w:rsids>
    <w:rsidRoot w:val="008F3992"/>
    <w:rsid w:val="002B54F8"/>
    <w:rsid w:val="008F3992"/>
    <w:rsid w:val="00E479F1"/>
    <w:rsid w:val="3B2B58EB"/>
    <w:rsid w:val="6E530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0" w:unhideWhenUsed="0" w:qFormat="1"/>
    <w:lsdException w:name="heading 5" w:uiPriority="9" w:unhideWhenUsed="0" w:qFormat="1"/>
    <w:lsdException w:name="heading 6" w:uiPriority="9" w:unhideWhenUsed="0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uiPriority="0" w:unhideWhenUsed="0"/>
    <w:lsdException w:name="annotation text" w:semiHidden="1"/>
    <w:lsdException w:name="header" w:unhideWhenUsed="0"/>
    <w:lsdException w:name="foot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uiPriority="0" w:unhideWhenUsed="0"/>
    <w:lsdException w:name="annotation reference" w:semiHidden="1"/>
    <w:lsdException w:name="line number" w:semiHidden="1"/>
    <w:lsdException w:name="page number" w:unhideWhenUsed="0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0" w:unhideWhenUsed="0" w:qFormat="1"/>
    <w:lsdException w:name="Salutation" w:semiHidden="1"/>
    <w:lsdException w:name="Date" w:uiPriority="0" w:unhideWhenUsed="0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uiPriority="22" w:unhideWhenUsed="0" w:qFormat="1"/>
    <w:lsdException w:name="Emphasis" w:uiPriority="20" w:unhideWhenUsed="0" w:qFormat="1"/>
    <w:lsdException w:name="Document Map" w:uiPriority="0" w:unhideWhenUsed="0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uiPriority="0" w:unhideWhenUsed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qFormat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uiPriority="39" w:unhideWhenUsed="0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</w:rPr>
  </w:style>
  <w:style w:type="paragraph" w:styleId="1">
    <w:name w:val="heading 1"/>
    <w:basedOn w:val="a"/>
    <w:next w:val="a"/>
    <w:link w:val="1Char2"/>
    <w:uiPriority w:val="9"/>
    <w:qFormat/>
    <w:pPr>
      <w:keepNext/>
      <w:keepLines/>
      <w:spacing w:before="340" w:after="330" w:line="576" w:lineRule="auto"/>
      <w:outlineLvl w:val="0"/>
    </w:pPr>
    <w:rPr>
      <w:rFonts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2"/>
    <w:uiPriority w:val="9"/>
    <w:qFormat/>
    <w:pPr>
      <w:keepNext/>
      <w:keepLines/>
      <w:spacing w:before="260" w:after="260" w:line="408" w:lineRule="auto"/>
      <w:outlineLvl w:val="1"/>
    </w:pPr>
    <w:rPr>
      <w:rFonts w:ascii="Cambria" w:hAnsi="Cambria" w:cs="Times New Roman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2"/>
    <w:uiPriority w:val="9"/>
    <w:qFormat/>
    <w:pPr>
      <w:keepNext/>
      <w:keepLines/>
      <w:spacing w:before="260" w:after="260" w:line="408" w:lineRule="auto"/>
      <w:outlineLvl w:val="2"/>
    </w:pPr>
    <w:rPr>
      <w:rFonts w:cs="Times New Roman"/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Char2"/>
    <w:qFormat/>
    <w:pPr>
      <w:keepNext/>
      <w:keepLines/>
      <w:spacing w:before="240" w:after="290" w:line="372" w:lineRule="auto"/>
      <w:outlineLvl w:val="3"/>
    </w:pPr>
    <w:rPr>
      <w:rFonts w:ascii="Cambria" w:hAnsi="Cambria" w:cs="Times New Roman"/>
      <w:b/>
      <w:bCs/>
      <w:kern w:val="0"/>
      <w:sz w:val="24"/>
      <w:szCs w:val="24"/>
    </w:rPr>
  </w:style>
  <w:style w:type="paragraph" w:styleId="5">
    <w:name w:val="heading 5"/>
    <w:basedOn w:val="a"/>
    <w:next w:val="a"/>
    <w:link w:val="5Char"/>
    <w:uiPriority w:val="9"/>
    <w:qFormat/>
    <w:pPr>
      <w:keepNext/>
      <w:keepLines/>
      <w:spacing w:before="240" w:after="290" w:line="372" w:lineRule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Char"/>
    <w:uiPriority w:val="9"/>
    <w:qFormat/>
    <w:pPr>
      <w:keepNext/>
      <w:keepLines/>
      <w:spacing w:before="240" w:after="64" w:line="312" w:lineRule="auto"/>
      <w:outlineLvl w:val="5"/>
    </w:pPr>
    <w:rPr>
      <w:rFonts w:ascii="Cambria" w:hAnsi="Cambria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2">
    <w:name w:val="标题 1 Char2"/>
    <w:basedOn w:val="a0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2">
    <w:name w:val="标题 2 Char2"/>
    <w:basedOn w:val="a0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Char2">
    <w:name w:val="标题 3 Char2"/>
    <w:basedOn w:val="a0"/>
    <w:link w:val="3"/>
    <w:uiPriority w:val="9"/>
    <w:locked/>
    <w:rPr>
      <w:b/>
      <w:bCs/>
      <w:kern w:val="2"/>
      <w:sz w:val="32"/>
      <w:szCs w:val="32"/>
    </w:rPr>
  </w:style>
  <w:style w:type="character" w:customStyle="1" w:styleId="4Char2">
    <w:name w:val="标题 4 Char2"/>
    <w:basedOn w:val="a0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">
    <w:name w:val="标题 6 Char"/>
    <w:basedOn w:val="a0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paragraph" w:styleId="a3">
    <w:name w:val="Document Map"/>
    <w:basedOn w:val="a"/>
    <w:link w:val="Char2"/>
    <w:pPr>
      <w:shd w:val="clear" w:color="auto" w:fill="000080"/>
    </w:pPr>
  </w:style>
  <w:style w:type="character" w:customStyle="1" w:styleId="Char2">
    <w:name w:val="文档结构图 Char2"/>
    <w:basedOn w:val="a0"/>
    <w:link w:val="a3"/>
    <w:locked/>
    <w:rPr>
      <w:rFonts w:ascii="Microsoft YaHei UI" w:eastAsia="Microsoft YaHei UI" w:hAnsi="Microsoft YaHei UI" w:hint="eastAsia"/>
      <w:kern w:val="2"/>
      <w:sz w:val="18"/>
      <w:szCs w:val="18"/>
    </w:rPr>
  </w:style>
  <w:style w:type="paragraph" w:styleId="30">
    <w:name w:val="toc 3"/>
    <w:basedOn w:val="a"/>
    <w:next w:val="a"/>
    <w:uiPriority w:val="39"/>
    <w:unhideWhenUsed/>
  </w:style>
  <w:style w:type="paragraph" w:styleId="a4">
    <w:name w:val="Date"/>
    <w:basedOn w:val="a"/>
    <w:next w:val="a"/>
    <w:link w:val="Char20"/>
    <w:rPr>
      <w:rFonts w:cs="Times New Roman" w:hint="eastAsia"/>
      <w:sz w:val="32"/>
    </w:rPr>
  </w:style>
  <w:style w:type="character" w:customStyle="1" w:styleId="Char20">
    <w:name w:val="日期 Char2"/>
    <w:basedOn w:val="a0"/>
    <w:link w:val="a4"/>
    <w:locked/>
    <w:rPr>
      <w:kern w:val="2"/>
      <w:sz w:val="21"/>
    </w:rPr>
  </w:style>
  <w:style w:type="paragraph" w:styleId="a5">
    <w:name w:val="Balloon Text"/>
    <w:basedOn w:val="a"/>
    <w:link w:val="Char21"/>
    <w:uiPriority w:val="99"/>
    <w:unhideWhenUsed/>
    <w:rPr>
      <w:sz w:val="18"/>
      <w:szCs w:val="18"/>
    </w:rPr>
  </w:style>
  <w:style w:type="character" w:customStyle="1" w:styleId="Char21">
    <w:name w:val="批注框文本 Char2"/>
    <w:basedOn w:val="a0"/>
    <w:link w:val="a5"/>
    <w:uiPriority w:val="99"/>
    <w:semiHidden/>
    <w:locked/>
    <w:rPr>
      <w:kern w:val="2"/>
      <w:sz w:val="18"/>
      <w:szCs w:val="18"/>
    </w:rPr>
  </w:style>
  <w:style w:type="paragraph" w:styleId="a6">
    <w:name w:val="footer"/>
    <w:basedOn w:val="a"/>
    <w:link w:val="Char2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2">
    <w:name w:val="页脚 Char2"/>
    <w:basedOn w:val="a0"/>
    <w:link w:val="a6"/>
    <w:uiPriority w:val="99"/>
    <w:locked/>
    <w:rPr>
      <w:kern w:val="2"/>
      <w:sz w:val="18"/>
      <w:szCs w:val="18"/>
    </w:rPr>
  </w:style>
  <w:style w:type="paragraph" w:styleId="a7">
    <w:name w:val="header"/>
    <w:basedOn w:val="a"/>
    <w:link w:val="Char23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3">
    <w:name w:val="页眉 Char2"/>
    <w:basedOn w:val="a0"/>
    <w:link w:val="a7"/>
    <w:locked/>
    <w:rPr>
      <w:kern w:val="2"/>
      <w:sz w:val="18"/>
      <w:szCs w:val="18"/>
    </w:rPr>
  </w:style>
  <w:style w:type="paragraph" w:styleId="10">
    <w:name w:val="toc 1"/>
    <w:basedOn w:val="a"/>
    <w:next w:val="a"/>
    <w:uiPriority w:val="39"/>
    <w:unhideWhenUsed/>
    <w:pPr>
      <w:tabs>
        <w:tab w:val="right" w:leader="dot" w:pos="8835"/>
      </w:tabs>
    </w:pPr>
    <w:rPr>
      <w:lang w:val="en-US" w:eastAsia="zh-CN"/>
    </w:rPr>
  </w:style>
  <w:style w:type="paragraph" w:styleId="a8">
    <w:name w:val="Subtitle"/>
    <w:basedOn w:val="2"/>
    <w:next w:val="3"/>
    <w:link w:val="Char24"/>
    <w:qFormat/>
    <w:pPr>
      <w:spacing w:before="240" w:after="60" w:line="312" w:lineRule="auto"/>
      <w:jc w:val="left"/>
    </w:pPr>
    <w:rPr>
      <w:bCs w:val="0"/>
      <w:kern w:val="24"/>
      <w:sz w:val="24"/>
    </w:rPr>
  </w:style>
  <w:style w:type="character" w:customStyle="1" w:styleId="Char24">
    <w:name w:val="副标题 Char2"/>
    <w:basedOn w:val="a0"/>
    <w:link w:val="a8"/>
    <w:locked/>
    <w:rPr>
      <w:rFonts w:ascii="Calibri" w:eastAsia="宋体" w:hAnsi="Calibri" w:cs="Times New Roman" w:hint="default"/>
      <w:b/>
      <w:bCs/>
      <w:kern w:val="24"/>
      <w:sz w:val="32"/>
      <w:szCs w:val="32"/>
    </w:rPr>
  </w:style>
  <w:style w:type="paragraph" w:styleId="a9">
    <w:name w:val="footnote text"/>
    <w:basedOn w:val="a"/>
    <w:link w:val="Char25"/>
    <w:pPr>
      <w:snapToGrid w:val="0"/>
      <w:jc w:val="left"/>
    </w:pPr>
    <w:rPr>
      <w:sz w:val="18"/>
      <w:szCs w:val="18"/>
    </w:rPr>
  </w:style>
  <w:style w:type="character" w:customStyle="1" w:styleId="Char25">
    <w:name w:val="脚注文本 Char2"/>
    <w:basedOn w:val="a0"/>
    <w:link w:val="a9"/>
    <w:locked/>
    <w:rPr>
      <w:kern w:val="2"/>
      <w:sz w:val="18"/>
      <w:szCs w:val="18"/>
    </w:rPr>
  </w:style>
  <w:style w:type="paragraph" w:styleId="20">
    <w:name w:val="toc 2"/>
    <w:basedOn w:val="a"/>
    <w:next w:val="a"/>
    <w:uiPriority w:val="39"/>
    <w:unhideWhenUsed/>
    <w:pPr>
      <w:ind w:leftChars="200" w:left="420"/>
    </w:pPr>
  </w:style>
  <w:style w:type="paragraph" w:styleId="aa">
    <w:name w:val="Normal (Web)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ab">
    <w:name w:val="Title"/>
    <w:basedOn w:val="1"/>
    <w:next w:val="2"/>
    <w:link w:val="Char26"/>
    <w:uiPriority w:val="10"/>
    <w:qFormat/>
    <w:pPr>
      <w:keepNext w:val="0"/>
      <w:keepLines w:val="0"/>
      <w:spacing w:before="240" w:after="60" w:line="240" w:lineRule="auto"/>
      <w:jc w:val="center"/>
    </w:pPr>
    <w:rPr>
      <w:rFonts w:ascii="Cambria" w:hAnsi="Cambria"/>
      <w:kern w:val="0"/>
      <w:sz w:val="32"/>
      <w:szCs w:val="32"/>
    </w:rPr>
  </w:style>
  <w:style w:type="character" w:customStyle="1" w:styleId="Char26">
    <w:name w:val="标题 Char2"/>
    <w:basedOn w:val="a0"/>
    <w:link w:val="ab"/>
    <w:uiPriority w:val="10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unhideWhenUsed/>
    <w:rPr>
      <w:color w:val="800080"/>
      <w:u w:val="single"/>
    </w:rPr>
  </w:style>
  <w:style w:type="character" w:styleId="ae">
    <w:name w:val="Hyperlink"/>
    <w:basedOn w:val="a0"/>
    <w:uiPriority w:val="99"/>
    <w:unhideWhenUsed/>
    <w:rPr>
      <w:color w:val="0000FF"/>
      <w:u w:val="single"/>
    </w:rPr>
  </w:style>
  <w:style w:type="character" w:styleId="af">
    <w:name w:val="footnote reference"/>
    <w:rPr>
      <w:vertAlign w:val="superscript"/>
    </w:rPr>
  </w:style>
  <w:style w:type="character" w:customStyle="1" w:styleId="1Char1">
    <w:name w:val="标题 1 Char1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1">
    <w:name w:val="标题 2 Char1"/>
    <w:link w:val="2"/>
    <w:uiPriority w:val="9"/>
    <w:locked/>
    <w:rPr>
      <w:rFonts w:ascii="Cambria" w:eastAsia="宋体" w:hAnsi="Cambria" w:cs="宋体" w:hint="default"/>
      <w:b/>
      <w:bCs/>
      <w:sz w:val="32"/>
      <w:szCs w:val="32"/>
    </w:rPr>
  </w:style>
  <w:style w:type="character" w:customStyle="1" w:styleId="3Char1">
    <w:name w:val="标题 3 Char1"/>
    <w:link w:val="3"/>
    <w:uiPriority w:val="9"/>
    <w:locked/>
    <w:rPr>
      <w:b/>
      <w:bCs/>
      <w:sz w:val="32"/>
      <w:szCs w:val="32"/>
    </w:rPr>
  </w:style>
  <w:style w:type="character" w:customStyle="1" w:styleId="4Char1">
    <w:name w:val="标题 4 Char1"/>
    <w:link w:val="4"/>
    <w:semiHidden/>
    <w:locked/>
    <w:rPr>
      <w:rFonts w:ascii="Cambria" w:eastAsia="宋体" w:hAnsi="Cambria" w:cs="宋体" w:hint="default"/>
      <w:b/>
      <w:bCs/>
      <w:sz w:val="24"/>
      <w:szCs w:val="24"/>
    </w:rPr>
  </w:style>
  <w:style w:type="character" w:customStyle="1" w:styleId="5Char1">
    <w:name w:val="标题 5 Char1"/>
    <w:basedOn w:val="a0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1">
    <w:name w:val="标题 6 Char1"/>
    <w:basedOn w:val="a0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Char1">
    <w:name w:val="文档结构图 Char1"/>
    <w:basedOn w:val="a0"/>
    <w:link w:val="a3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Char10">
    <w:name w:val="日期 Char1"/>
    <w:link w:val="a4"/>
    <w:locked/>
    <w:rPr>
      <w:rFonts w:ascii="宋体" w:eastAsia="宋体" w:hAnsi="宋体" w:hint="eastAsia"/>
      <w:kern w:val="2"/>
      <w:sz w:val="32"/>
    </w:rPr>
  </w:style>
  <w:style w:type="character" w:customStyle="1" w:styleId="Char11">
    <w:name w:val="批注框文本 Char1"/>
    <w:basedOn w:val="a0"/>
    <w:link w:val="a5"/>
    <w:uiPriority w:val="99"/>
    <w:semiHidden/>
    <w:locked/>
    <w:rPr>
      <w:kern w:val="2"/>
      <w:sz w:val="18"/>
      <w:szCs w:val="18"/>
    </w:rPr>
  </w:style>
  <w:style w:type="character" w:customStyle="1" w:styleId="Char12">
    <w:name w:val="页脚 Char1"/>
    <w:basedOn w:val="a0"/>
    <w:link w:val="a6"/>
    <w:uiPriority w:val="99"/>
    <w:locked/>
    <w:rPr>
      <w:kern w:val="2"/>
      <w:sz w:val="18"/>
      <w:szCs w:val="18"/>
    </w:rPr>
  </w:style>
  <w:style w:type="character" w:customStyle="1" w:styleId="Char13">
    <w:name w:val="页眉 Char1"/>
    <w:basedOn w:val="a0"/>
    <w:link w:val="a7"/>
    <w:locked/>
    <w:rPr>
      <w:kern w:val="2"/>
      <w:sz w:val="18"/>
      <w:szCs w:val="18"/>
    </w:rPr>
  </w:style>
  <w:style w:type="character" w:customStyle="1" w:styleId="Char14">
    <w:name w:val="副标题 Char1"/>
    <w:link w:val="a8"/>
    <w:locked/>
    <w:rPr>
      <w:rFonts w:ascii="Cambria" w:eastAsia="宋体" w:hAnsi="Cambria" w:cs="宋体" w:hint="default"/>
      <w:b/>
      <w:bCs w:val="0"/>
      <w:kern w:val="24"/>
      <w:sz w:val="24"/>
      <w:szCs w:val="32"/>
    </w:rPr>
  </w:style>
  <w:style w:type="character" w:customStyle="1" w:styleId="Char15">
    <w:name w:val="脚注文本 Char1"/>
    <w:basedOn w:val="a0"/>
    <w:link w:val="a9"/>
    <w:locked/>
    <w:rPr>
      <w:kern w:val="2"/>
      <w:sz w:val="18"/>
      <w:szCs w:val="18"/>
    </w:rPr>
  </w:style>
  <w:style w:type="character" w:customStyle="1" w:styleId="Char16">
    <w:name w:val="标题 Char1"/>
    <w:link w:val="ab"/>
    <w:uiPriority w:val="10"/>
    <w:locked/>
    <w:rPr>
      <w:rFonts w:ascii="Cambria" w:hAnsi="Cambria" w:cs="宋体" w:hint="default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locked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Char">
    <w:name w:val="脚注文本 Char"/>
    <w:basedOn w:val="a0"/>
    <w:link w:val="a9"/>
    <w:locked/>
    <w:rPr>
      <w:kern w:val="2"/>
      <w:sz w:val="18"/>
      <w:szCs w:val="18"/>
    </w:rPr>
  </w:style>
  <w:style w:type="character" w:customStyle="1" w:styleId="Char0">
    <w:name w:val="页眉 Char"/>
    <w:basedOn w:val="a0"/>
    <w:link w:val="a7"/>
    <w:uiPriority w:val="99"/>
    <w:locked/>
    <w:rPr>
      <w:kern w:val="2"/>
      <w:sz w:val="18"/>
      <w:szCs w:val="18"/>
    </w:rPr>
  </w:style>
  <w:style w:type="character" w:customStyle="1" w:styleId="Char3">
    <w:name w:val="页脚 Char"/>
    <w:basedOn w:val="a0"/>
    <w:link w:val="a6"/>
    <w:uiPriority w:val="99"/>
    <w:locked/>
    <w:rPr>
      <w:kern w:val="2"/>
      <w:sz w:val="18"/>
      <w:szCs w:val="18"/>
    </w:rPr>
  </w:style>
  <w:style w:type="character" w:customStyle="1" w:styleId="Char4">
    <w:name w:val="标题 Char"/>
    <w:basedOn w:val="a0"/>
    <w:link w:val="ab"/>
    <w:uiPriority w:val="10"/>
    <w:locked/>
    <w:rPr>
      <w:rFonts w:ascii="Cambria" w:hAnsi="Cambria" w:cs="Times New Roman" w:hint="default"/>
      <w:b/>
      <w:bCs/>
      <w:kern w:val="2"/>
      <w:sz w:val="32"/>
      <w:szCs w:val="32"/>
    </w:rPr>
  </w:style>
  <w:style w:type="character" w:customStyle="1" w:styleId="Char5">
    <w:name w:val="副标题 Char"/>
    <w:basedOn w:val="a0"/>
    <w:link w:val="a8"/>
    <w:locked/>
    <w:rPr>
      <w:rFonts w:ascii="Cambria" w:hAnsi="Cambria" w:cs="Times New Roman" w:hint="default"/>
      <w:b/>
      <w:bCs/>
      <w:kern w:val="24"/>
      <w:sz w:val="32"/>
      <w:szCs w:val="32"/>
    </w:rPr>
  </w:style>
  <w:style w:type="character" w:customStyle="1" w:styleId="Char6">
    <w:name w:val="日期 Char"/>
    <w:basedOn w:val="a0"/>
    <w:link w:val="a4"/>
    <w:locked/>
    <w:rPr>
      <w:kern w:val="2"/>
      <w:sz w:val="21"/>
    </w:rPr>
  </w:style>
  <w:style w:type="character" w:customStyle="1" w:styleId="Char7">
    <w:name w:val="文档结构图 Char"/>
    <w:basedOn w:val="a0"/>
    <w:link w:val="a3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Char8">
    <w:name w:val="批注框文本 Char"/>
    <w:basedOn w:val="a0"/>
    <w:link w:val="a5"/>
    <w:uiPriority w:val="99"/>
    <w:semiHidden/>
    <w:locked/>
    <w:rPr>
      <w:kern w:val="2"/>
      <w:sz w:val="18"/>
      <w:szCs w:val="18"/>
    </w:rPr>
  </w:style>
  <w:style w:type="paragraph" w:styleId="TOC">
    <w:name w:val="TOC Heading"/>
    <w:basedOn w:val="1"/>
    <w:next w:val="a"/>
    <w:uiPriority w:val="3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4"/>
      <w:szCs w:val="24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BRLTitle6">
    <w:name w:val="XBRLTitle6"/>
    <w:basedOn w:val="a8"/>
    <w:next w:val="4"/>
    <w:qFormat/>
    <w:pPr>
      <w:numPr>
        <w:ilvl w:val="5"/>
        <w:numId w:val="1"/>
      </w:numPr>
      <w:spacing w:beforeLines="50" w:after="0" w:line="240" w:lineRule="auto"/>
      <w:outlineLvl w:val="9"/>
    </w:pPr>
    <w:rPr>
      <w:bCs/>
    </w:rPr>
  </w:style>
  <w:style w:type="paragraph" w:customStyle="1" w:styleId="af0">
    <w:name w:val="次标题"/>
    <w:basedOn w:val="3"/>
    <w:next w:val="a"/>
    <w:pPr>
      <w:spacing w:before="120" w:after="120"/>
      <w:jc w:val="left"/>
    </w:pPr>
    <w:rPr>
      <w:sz w:val="21"/>
    </w:rPr>
  </w:style>
  <w:style w:type="paragraph" w:customStyle="1" w:styleId="XBRL6">
    <w:name w:val="XBRL标题6"/>
    <w:basedOn w:val="a8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2">
    <w:name w:val="XBRL标题2"/>
    <w:basedOn w:val="a8"/>
    <w:next w:val="4"/>
    <w:qFormat/>
    <w:pPr>
      <w:spacing w:beforeLines="50" w:after="0" w:line="240" w:lineRule="auto"/>
    </w:pPr>
    <w:rPr>
      <w:bCs/>
    </w:rPr>
  </w:style>
  <w:style w:type="paragraph" w:customStyle="1" w:styleId="XBRL3">
    <w:name w:val="XBRL标题3"/>
    <w:basedOn w:val="a8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1">
    <w:name w:val="XBRLTitle1"/>
    <w:basedOn w:val="1"/>
    <w:next w:val="2"/>
    <w:qFormat/>
    <w:pPr>
      <w:keepNext w:val="0"/>
      <w:keepLines w:val="0"/>
      <w:numPr>
        <w:numId w:val="1"/>
      </w:numPr>
      <w:spacing w:beforeLines="50" w:after="0" w:line="240" w:lineRule="auto"/>
      <w:jc w:val="center"/>
    </w:pPr>
    <w:rPr>
      <w:rFonts w:hAnsi="Cambria"/>
      <w:sz w:val="24"/>
    </w:rPr>
  </w:style>
  <w:style w:type="paragraph" w:customStyle="1" w:styleId="XBRLTitle2">
    <w:name w:val="XBRLTitle2"/>
    <w:basedOn w:val="a8"/>
    <w:next w:val="4"/>
    <w:qFormat/>
    <w:pPr>
      <w:keepNext w:val="0"/>
      <w:keepLines w:val="0"/>
      <w:numPr>
        <w:ilvl w:val="1"/>
        <w:numId w:val="1"/>
      </w:numPr>
      <w:spacing w:beforeLines="50" w:after="0" w:line="240" w:lineRule="auto"/>
      <w:ind w:left="454"/>
    </w:pPr>
    <w:rPr>
      <w:rFonts w:ascii="宋体"/>
      <w:bCs/>
    </w:rPr>
  </w:style>
  <w:style w:type="paragraph" w:customStyle="1" w:styleId="XBRLTitle5">
    <w:name w:val="XBRLTitle5"/>
    <w:basedOn w:val="a8"/>
    <w:next w:val="4"/>
    <w:qFormat/>
    <w:pPr>
      <w:numPr>
        <w:ilvl w:val="4"/>
        <w:numId w:val="1"/>
      </w:numPr>
      <w:spacing w:beforeLines="50" w:after="0" w:line="240" w:lineRule="auto"/>
      <w:outlineLvl w:val="9"/>
    </w:pPr>
    <w:rPr>
      <w:bCs/>
    </w:rPr>
  </w:style>
  <w:style w:type="paragraph" w:customStyle="1" w:styleId="Char9">
    <w:name w:val="Char"/>
    <w:basedOn w:val="a"/>
  </w:style>
  <w:style w:type="paragraph" w:customStyle="1" w:styleId="CharCharCharCharCharChar1CharCharChar">
    <w:name w:val="Char Char Char Char Char Char1 Char Char Char"/>
    <w:basedOn w:val="a"/>
    <w:pPr>
      <w:autoSpaceDE w:val="0"/>
      <w:autoSpaceDN w:val="0"/>
      <w:adjustRightInd w:val="0"/>
      <w:jc w:val="left"/>
    </w:pPr>
  </w:style>
  <w:style w:type="paragraph" w:customStyle="1" w:styleId="XBRL1">
    <w:name w:val="XBRL标题1"/>
    <w:basedOn w:val="1"/>
    <w:next w:val="2"/>
    <w:qFormat/>
    <w:pPr>
      <w:spacing w:beforeLines="50" w:after="0" w:line="240" w:lineRule="auto"/>
      <w:jc w:val="center"/>
    </w:pPr>
    <w:rPr>
      <w:rFonts w:ascii="Cambria" w:hAnsi="Cambria"/>
      <w:sz w:val="24"/>
    </w:rPr>
  </w:style>
  <w:style w:type="paragraph" w:customStyle="1" w:styleId="XBRL5">
    <w:name w:val="XBRL标题5"/>
    <w:basedOn w:val="a8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4">
    <w:name w:val="XBRL标题4"/>
    <w:basedOn w:val="a8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4">
    <w:name w:val="XBRLTitle4"/>
    <w:basedOn w:val="a8"/>
    <w:next w:val="4"/>
    <w:qFormat/>
    <w:pPr>
      <w:numPr>
        <w:ilvl w:val="3"/>
        <w:numId w:val="1"/>
      </w:numPr>
      <w:spacing w:beforeLines="50" w:after="0" w:line="240" w:lineRule="auto"/>
      <w:outlineLvl w:val="9"/>
    </w:pPr>
    <w:rPr>
      <w:bCs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XBRLTitle3">
    <w:name w:val="XBRLTitle3"/>
    <w:basedOn w:val="a8"/>
    <w:next w:val="4"/>
    <w:qFormat/>
    <w:pPr>
      <w:keepNext w:val="0"/>
      <w:keepLines w:val="0"/>
      <w:numPr>
        <w:ilvl w:val="2"/>
        <w:numId w:val="1"/>
      </w:numPr>
      <w:spacing w:beforeLines="50" w:after="0" w:line="360" w:lineRule="auto"/>
      <w:ind w:left="0" w:firstLine="0"/>
      <w:outlineLvl w:val="9"/>
    </w:pPr>
    <w:rPr>
      <w:rFonts w:ascii="宋体"/>
      <w:bCs/>
    </w:rPr>
  </w:style>
  <w:style w:type="paragraph" w:customStyle="1" w:styleId="Default">
    <w:name w:val="Default"/>
    <w:basedOn w:val="a"/>
    <w:pPr>
      <w:autoSpaceDE w:val="0"/>
      <w:autoSpaceDN w:val="0"/>
      <w:adjustRightInd w:val="0"/>
      <w:jc w:val="left"/>
    </w:pPr>
    <w:rPr>
      <w:rFonts w:ascii="仿宋" w:eastAsia="仿宋" w:hAnsi="仿宋"/>
      <w:color w:val="000000"/>
      <w:kern w:val="0"/>
      <w:sz w:val="24"/>
      <w:szCs w:val="24"/>
    </w:rPr>
  </w:style>
  <w:style w:type="character" w:customStyle="1" w:styleId="11">
    <w:name w:val="页眉 字符1"/>
    <w:basedOn w:val="a0"/>
    <w:locked/>
    <w:rPr>
      <w:kern w:val="2"/>
      <w:sz w:val="18"/>
      <w:szCs w:val="18"/>
    </w:rPr>
  </w:style>
  <w:style w:type="paragraph" w:customStyle="1" w:styleId="removednode">
    <w:name w:val="removednode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4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yss</dc:creator>
  <cp:keywords/>
  <dc:description/>
  <cp:lastModifiedBy>ZHONGM</cp:lastModifiedBy>
  <cp:revision>2</cp:revision>
  <dcterms:created xsi:type="dcterms:W3CDTF">2022-11-25T16:01:00Z</dcterms:created>
  <dcterms:modified xsi:type="dcterms:W3CDTF">2022-11-25T16:01:00Z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1802B523C37046A1A0A7197DCD1A8656</vt:lpwstr>
  </property>
</Properties>
</file>