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7262C">
      <w:pPr>
        <w:jc w:val="center"/>
        <w:rPr>
          <w:rFonts w:ascii="华文中宋" w:eastAsia="华文中宋" w:hAnsi="华文中宋" w:hint="eastAsia"/>
          <w:sz w:val="36"/>
          <w:szCs w:val="36"/>
        </w:rPr>
      </w:pPr>
      <w:r>
        <w:rPr>
          <w:rStyle w:val="fontstyle01"/>
          <w:rFonts w:ascii="华文中宋" w:eastAsia="华文中宋" w:hAnsi="华文中宋" w:cs="华文中宋"/>
          <w:sz w:val="36"/>
          <w:szCs w:val="36"/>
        </w:rPr>
        <w:t>关于浙江浙商证券资产管理有限公司旗下部分基金参与浙江同花顺基金销售有限公司</w:t>
      </w:r>
      <w:r>
        <w:rPr>
          <w:rFonts w:ascii="华文中宋" w:eastAsia="华文中宋" w:hAnsi="华文中宋" w:hint="eastAsia"/>
          <w:sz w:val="36"/>
          <w:szCs w:val="36"/>
        </w:rPr>
        <w:t>费率优惠活动和开通定投业务的公告</w:t>
      </w:r>
    </w:p>
    <w:p w:rsidR="00000000" w:rsidRDefault="0027262C">
      <w:pPr>
        <w:pStyle w:val="a3"/>
        <w:widowControl/>
        <w:jc w:val="both"/>
        <w:rPr>
          <w:rFonts w:ascii="仿宋_GB2312" w:eastAsia="仿宋_GB2312" w:cs="宋体" w:hint="eastAsia"/>
          <w:sz w:val="32"/>
          <w:szCs w:val="32"/>
        </w:rPr>
      </w:pPr>
    </w:p>
    <w:p w:rsidR="00000000" w:rsidRDefault="0027262C">
      <w:pPr>
        <w:spacing w:line="360" w:lineRule="auto"/>
        <w:ind w:firstLineChars="200" w:firstLine="640"/>
        <w:jc w:val="left"/>
        <w:rPr>
          <w:rFonts w:ascii="仿宋_GB2312" w:eastAsia="仿宋_GB2312" w:cs="宋体" w:hint="eastAsia"/>
          <w:kern w:val="0"/>
          <w:sz w:val="32"/>
          <w:szCs w:val="32"/>
        </w:rPr>
      </w:pPr>
      <w:r>
        <w:rPr>
          <w:rFonts w:ascii="仿宋_GB2312" w:eastAsia="仿宋_GB2312" w:cs="宋体" w:hint="eastAsia"/>
          <w:kern w:val="0"/>
          <w:sz w:val="32"/>
          <w:szCs w:val="32"/>
        </w:rPr>
        <w:t>为更好地满足投资者的理财需求，浙江浙商证券资产管理有限公司（以下简称“本公司”）经与</w:t>
      </w:r>
      <w:r>
        <w:rPr>
          <w:rFonts w:ascii="仿宋_GB2312" w:eastAsia="仿宋_GB2312" w:cs="宋体" w:hint="eastAsia"/>
          <w:kern w:val="0"/>
          <w:sz w:val="32"/>
          <w:szCs w:val="32"/>
        </w:rPr>
        <w:t>浙江同花顺基金销售有限公司</w:t>
      </w:r>
      <w:r>
        <w:rPr>
          <w:rFonts w:ascii="仿宋_GB2312" w:eastAsia="仿宋_GB2312" w:cs="宋体" w:hint="eastAsia"/>
          <w:kern w:val="0"/>
          <w:sz w:val="32"/>
          <w:szCs w:val="32"/>
        </w:rPr>
        <w:t>（以下简称“</w:t>
      </w:r>
      <w:r>
        <w:rPr>
          <w:rFonts w:ascii="仿宋_GB2312" w:eastAsia="仿宋_GB2312" w:cs="宋体" w:hint="eastAsia"/>
          <w:kern w:val="0"/>
          <w:sz w:val="32"/>
          <w:szCs w:val="32"/>
        </w:rPr>
        <w:t>同花顺</w:t>
      </w:r>
      <w:r>
        <w:rPr>
          <w:rFonts w:ascii="仿宋_GB2312" w:eastAsia="仿宋_GB2312" w:cs="宋体" w:hint="eastAsia"/>
          <w:kern w:val="0"/>
          <w:sz w:val="32"/>
          <w:szCs w:val="32"/>
        </w:rPr>
        <w:t>”）协商一致，决定自</w:t>
      </w:r>
      <w:r>
        <w:rPr>
          <w:rFonts w:ascii="仿宋_GB2312" w:eastAsia="仿宋_GB2312" w:cs="宋体" w:hint="eastAsia"/>
          <w:kern w:val="0"/>
          <w:sz w:val="32"/>
          <w:szCs w:val="32"/>
        </w:rPr>
        <w:t>2022</w:t>
      </w:r>
      <w:r>
        <w:rPr>
          <w:rFonts w:ascii="仿宋_GB2312" w:eastAsia="仿宋_GB2312" w:cs="宋体" w:hint="eastAsia"/>
          <w:kern w:val="0"/>
          <w:sz w:val="32"/>
          <w:szCs w:val="32"/>
        </w:rPr>
        <w:t>年</w:t>
      </w:r>
      <w:r>
        <w:rPr>
          <w:rFonts w:ascii="仿宋_GB2312" w:eastAsia="仿宋_GB2312" w:cs="宋体" w:hint="eastAsia"/>
          <w:kern w:val="0"/>
          <w:sz w:val="32"/>
          <w:szCs w:val="32"/>
        </w:rPr>
        <w:t>11</w:t>
      </w:r>
      <w:r>
        <w:rPr>
          <w:rFonts w:ascii="仿宋_GB2312" w:eastAsia="仿宋_GB2312" w:cs="宋体" w:hint="eastAsia"/>
          <w:kern w:val="0"/>
          <w:sz w:val="32"/>
          <w:szCs w:val="32"/>
        </w:rPr>
        <w:t>月</w:t>
      </w:r>
      <w:r>
        <w:rPr>
          <w:rFonts w:ascii="仿宋_GB2312" w:eastAsia="仿宋_GB2312" w:cs="宋体" w:hint="eastAsia"/>
          <w:kern w:val="0"/>
          <w:sz w:val="32"/>
          <w:szCs w:val="32"/>
        </w:rPr>
        <w:t>25</w:t>
      </w:r>
      <w:r>
        <w:rPr>
          <w:rFonts w:ascii="仿宋_GB2312" w:eastAsia="仿宋_GB2312" w:cs="宋体" w:hint="eastAsia"/>
          <w:kern w:val="0"/>
          <w:sz w:val="32"/>
          <w:szCs w:val="32"/>
        </w:rPr>
        <w:t>日</w:t>
      </w:r>
      <w:r>
        <w:rPr>
          <w:rFonts w:ascii="仿宋_GB2312" w:eastAsia="仿宋_GB2312" w:cs="宋体" w:hint="eastAsia"/>
          <w:kern w:val="0"/>
          <w:sz w:val="32"/>
          <w:szCs w:val="32"/>
        </w:rPr>
        <w:t>起</w:t>
      </w:r>
      <w:r>
        <w:rPr>
          <w:rFonts w:ascii="仿宋_GB2312" w:eastAsia="仿宋_GB2312" w:cs="宋体" w:hint="eastAsia"/>
          <w:kern w:val="0"/>
          <w:sz w:val="32"/>
          <w:szCs w:val="32"/>
        </w:rPr>
        <w:t>，本公司旗下部分基金参与同花顺</w:t>
      </w:r>
      <w:r>
        <w:rPr>
          <w:rFonts w:ascii="仿宋_GB2312" w:eastAsia="仿宋_GB2312" w:hAnsi="仿宋" w:hint="eastAsia"/>
          <w:sz w:val="32"/>
          <w:szCs w:val="32"/>
        </w:rPr>
        <w:t>费率优惠以及定期定额投资业务（以下简称“基金定投”）等业务</w:t>
      </w:r>
      <w:r>
        <w:rPr>
          <w:rFonts w:ascii="仿宋_GB2312" w:eastAsia="仿宋_GB2312" w:cs="宋体" w:hint="eastAsia"/>
          <w:kern w:val="0"/>
          <w:sz w:val="32"/>
          <w:szCs w:val="32"/>
        </w:rPr>
        <w:t>。现将有关事项说明如下：</w:t>
      </w:r>
    </w:p>
    <w:p w:rsidR="00000000" w:rsidRDefault="0027262C">
      <w:pPr>
        <w:pStyle w:val="a3"/>
        <w:widowControl/>
        <w:ind w:firstLineChars="200" w:firstLine="640"/>
        <w:rPr>
          <w:rFonts w:ascii="仿宋_GB2312" w:eastAsia="仿宋_GB2312" w:cs="宋体" w:hint="eastAsia"/>
          <w:sz w:val="32"/>
          <w:szCs w:val="32"/>
        </w:rPr>
      </w:pPr>
      <w:r>
        <w:rPr>
          <w:rFonts w:ascii="仿宋_GB2312" w:eastAsia="仿宋_GB2312" w:cs="宋体" w:hint="eastAsia"/>
          <w:sz w:val="32"/>
          <w:szCs w:val="32"/>
        </w:rPr>
        <w:br/>
      </w:r>
      <w:r>
        <w:rPr>
          <w:rFonts w:ascii="仿宋_GB2312" w:eastAsia="仿宋_GB2312" w:cs="宋体" w:hint="eastAsia"/>
          <w:sz w:val="32"/>
          <w:szCs w:val="32"/>
        </w:rPr>
        <w:t>一、适用基金</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455"/>
        <w:gridCol w:w="6192"/>
      </w:tblGrid>
      <w:tr w:rsidR="00000000">
        <w:tc>
          <w:tcPr>
            <w:tcW w:w="2455" w:type="dxa"/>
          </w:tcPr>
          <w:p w:rsidR="00000000" w:rsidRDefault="0027262C">
            <w:pPr>
              <w:spacing w:line="360" w:lineRule="auto"/>
              <w:ind w:firstLineChars="200" w:firstLine="480"/>
              <w:jc w:val="left"/>
              <w:rPr>
                <w:rFonts w:ascii="仿宋_GB2312" w:eastAsia="仿宋_GB2312" w:hAnsi="仿宋" w:hint="eastAsia"/>
                <w:sz w:val="24"/>
                <w:szCs w:val="32"/>
              </w:rPr>
            </w:pPr>
            <w:r>
              <w:rPr>
                <w:rFonts w:ascii="仿宋_GB2312" w:eastAsia="仿宋_GB2312" w:hAnsi="仿宋" w:hint="eastAsia"/>
                <w:sz w:val="24"/>
                <w:szCs w:val="32"/>
              </w:rPr>
              <w:t>基金代码</w:t>
            </w:r>
          </w:p>
        </w:tc>
        <w:tc>
          <w:tcPr>
            <w:tcW w:w="6192" w:type="dxa"/>
          </w:tcPr>
          <w:p w:rsidR="00000000" w:rsidRDefault="0027262C">
            <w:pPr>
              <w:spacing w:line="360" w:lineRule="auto"/>
              <w:ind w:firstLineChars="200" w:firstLine="480"/>
              <w:jc w:val="left"/>
              <w:rPr>
                <w:rFonts w:ascii="仿宋_GB2312" w:eastAsia="仿宋_GB2312" w:hAnsi="仿宋" w:hint="eastAsia"/>
                <w:sz w:val="24"/>
                <w:szCs w:val="32"/>
              </w:rPr>
            </w:pPr>
            <w:r>
              <w:rPr>
                <w:rFonts w:ascii="仿宋_GB2312" w:eastAsia="仿宋_GB2312" w:hAnsi="仿宋" w:hint="eastAsia"/>
                <w:sz w:val="24"/>
                <w:szCs w:val="32"/>
              </w:rPr>
              <w:t>基金名称</w:t>
            </w:r>
          </w:p>
        </w:tc>
      </w:tr>
      <w:tr w:rsidR="00000000">
        <w:tc>
          <w:tcPr>
            <w:tcW w:w="2455" w:type="dxa"/>
            <w:vAlign w:val="center"/>
          </w:tcPr>
          <w:p w:rsidR="00000000" w:rsidRDefault="0027262C">
            <w:pPr>
              <w:widowControl/>
              <w:jc w:val="left"/>
              <w:textAlignment w:val="center"/>
              <w:rPr>
                <w:rFonts w:ascii="宋体" w:hAnsi="宋体" w:cs="宋体" w:hint="eastAsia"/>
                <w:kern w:val="0"/>
                <w:sz w:val="20"/>
                <w:szCs w:val="20"/>
                <w:lang/>
              </w:rPr>
            </w:pPr>
            <w:r>
              <w:rPr>
                <w:rFonts w:ascii="宋体" w:hAnsi="宋体" w:cs="宋体" w:hint="eastAsia"/>
                <w:kern w:val="0"/>
                <w:sz w:val="20"/>
                <w:szCs w:val="20"/>
                <w:lang/>
              </w:rPr>
              <w:t>000935</w:t>
            </w:r>
          </w:p>
        </w:tc>
        <w:tc>
          <w:tcPr>
            <w:tcW w:w="6192" w:type="dxa"/>
            <w:vAlign w:val="center"/>
          </w:tcPr>
          <w:p w:rsidR="00000000" w:rsidRDefault="0027262C">
            <w:pPr>
              <w:widowControl/>
              <w:jc w:val="left"/>
              <w:textAlignment w:val="center"/>
              <w:rPr>
                <w:rFonts w:ascii="宋体" w:hAnsi="宋体" w:cs="宋体" w:hint="eastAsia"/>
                <w:kern w:val="0"/>
                <w:sz w:val="20"/>
                <w:szCs w:val="20"/>
                <w:lang/>
              </w:rPr>
            </w:pPr>
            <w:r>
              <w:rPr>
                <w:rFonts w:ascii="宋体" w:hAnsi="宋体" w:cs="宋体" w:hint="eastAsia"/>
                <w:kern w:val="0"/>
                <w:sz w:val="20"/>
                <w:szCs w:val="20"/>
                <w:lang/>
              </w:rPr>
              <w:t>浙商汇金转型成长混合型证券投资基金</w:t>
            </w:r>
          </w:p>
        </w:tc>
      </w:tr>
      <w:tr w:rsidR="00000000">
        <w:tc>
          <w:tcPr>
            <w:tcW w:w="2455" w:type="dxa"/>
            <w:vAlign w:val="center"/>
          </w:tcPr>
          <w:p w:rsidR="00000000" w:rsidRDefault="0027262C">
            <w:pPr>
              <w:widowControl/>
              <w:jc w:val="left"/>
              <w:textAlignment w:val="center"/>
              <w:rPr>
                <w:rFonts w:ascii="宋体" w:hAnsi="宋体" w:cs="宋体" w:hint="eastAsia"/>
                <w:kern w:val="0"/>
                <w:sz w:val="20"/>
                <w:szCs w:val="20"/>
                <w:lang/>
              </w:rPr>
            </w:pPr>
            <w:r>
              <w:rPr>
                <w:rFonts w:ascii="宋体" w:hAnsi="宋体" w:cs="宋体" w:hint="eastAsia"/>
                <w:kern w:val="0"/>
                <w:sz w:val="20"/>
                <w:szCs w:val="20"/>
                <w:lang/>
              </w:rPr>
              <w:t>001540</w:t>
            </w:r>
          </w:p>
        </w:tc>
        <w:tc>
          <w:tcPr>
            <w:tcW w:w="6192" w:type="dxa"/>
            <w:vAlign w:val="center"/>
          </w:tcPr>
          <w:p w:rsidR="00000000" w:rsidRDefault="0027262C">
            <w:pPr>
              <w:widowControl/>
              <w:jc w:val="left"/>
              <w:textAlignment w:val="center"/>
              <w:rPr>
                <w:rFonts w:ascii="宋体" w:hAnsi="宋体" w:cs="宋体" w:hint="eastAsia"/>
                <w:kern w:val="0"/>
                <w:sz w:val="20"/>
                <w:szCs w:val="20"/>
                <w:lang/>
              </w:rPr>
            </w:pPr>
            <w:r>
              <w:rPr>
                <w:rFonts w:ascii="宋体" w:hAnsi="宋体" w:cs="宋体" w:hint="eastAsia"/>
                <w:kern w:val="0"/>
                <w:sz w:val="20"/>
                <w:szCs w:val="20"/>
                <w:lang/>
              </w:rPr>
              <w:t>浙商汇金转型</w:t>
            </w:r>
            <w:r>
              <w:rPr>
                <w:rFonts w:ascii="宋体" w:hAnsi="宋体" w:cs="宋体" w:hint="eastAsia"/>
                <w:kern w:val="0"/>
                <w:sz w:val="20"/>
                <w:szCs w:val="20"/>
                <w:lang/>
              </w:rPr>
              <w:t>驱动灵活配置混合型证券投资基金</w:t>
            </w:r>
          </w:p>
        </w:tc>
      </w:tr>
      <w:tr w:rsidR="00000000">
        <w:tc>
          <w:tcPr>
            <w:tcW w:w="2455" w:type="dxa"/>
            <w:vAlign w:val="center"/>
          </w:tcPr>
          <w:p w:rsidR="00000000" w:rsidRDefault="0027262C">
            <w:pPr>
              <w:widowControl/>
              <w:jc w:val="left"/>
              <w:textAlignment w:val="center"/>
              <w:rPr>
                <w:rFonts w:ascii="宋体" w:hAnsi="宋体" w:cs="宋体" w:hint="eastAsia"/>
                <w:kern w:val="0"/>
                <w:sz w:val="20"/>
                <w:szCs w:val="20"/>
                <w:lang/>
              </w:rPr>
            </w:pPr>
            <w:r>
              <w:rPr>
                <w:rFonts w:ascii="宋体" w:hAnsi="宋体" w:cs="宋体" w:hint="eastAsia"/>
                <w:kern w:val="0"/>
                <w:sz w:val="20"/>
                <w:szCs w:val="20"/>
                <w:lang/>
              </w:rPr>
              <w:t>001604</w:t>
            </w:r>
          </w:p>
        </w:tc>
        <w:tc>
          <w:tcPr>
            <w:tcW w:w="6192" w:type="dxa"/>
            <w:vAlign w:val="center"/>
          </w:tcPr>
          <w:p w:rsidR="00000000" w:rsidRDefault="0027262C">
            <w:pPr>
              <w:widowControl/>
              <w:jc w:val="left"/>
              <w:textAlignment w:val="center"/>
              <w:rPr>
                <w:rFonts w:ascii="宋体" w:hAnsi="宋体" w:cs="宋体" w:hint="eastAsia"/>
                <w:kern w:val="0"/>
                <w:sz w:val="20"/>
                <w:szCs w:val="20"/>
                <w:lang/>
              </w:rPr>
            </w:pPr>
            <w:r>
              <w:rPr>
                <w:rFonts w:ascii="宋体" w:hAnsi="宋体" w:cs="宋体" w:hint="eastAsia"/>
                <w:kern w:val="0"/>
                <w:sz w:val="20"/>
                <w:szCs w:val="20"/>
                <w:lang/>
              </w:rPr>
              <w:t>浙商汇金转型升级灵活配置混合型证券投资基金</w:t>
            </w:r>
          </w:p>
        </w:tc>
      </w:tr>
      <w:tr w:rsidR="00000000">
        <w:tc>
          <w:tcPr>
            <w:tcW w:w="2455" w:type="dxa"/>
            <w:vAlign w:val="bottom"/>
          </w:tcPr>
          <w:p w:rsidR="00000000" w:rsidRDefault="0027262C">
            <w:pPr>
              <w:widowControl/>
              <w:jc w:val="left"/>
              <w:textAlignment w:val="center"/>
              <w:rPr>
                <w:rFonts w:ascii="宋体" w:hAnsi="宋体" w:cs="宋体" w:hint="eastAsia"/>
                <w:kern w:val="0"/>
                <w:sz w:val="20"/>
                <w:szCs w:val="20"/>
                <w:lang/>
              </w:rPr>
            </w:pPr>
            <w:r>
              <w:rPr>
                <w:rFonts w:ascii="宋体" w:hAnsi="宋体" w:cs="宋体" w:hint="eastAsia"/>
                <w:kern w:val="0"/>
                <w:sz w:val="20"/>
                <w:szCs w:val="20"/>
                <w:lang/>
              </w:rPr>
              <w:t>003366</w:t>
            </w:r>
          </w:p>
        </w:tc>
        <w:tc>
          <w:tcPr>
            <w:tcW w:w="6192" w:type="dxa"/>
            <w:vAlign w:val="bottom"/>
          </w:tcPr>
          <w:p w:rsidR="00000000" w:rsidRDefault="0027262C">
            <w:pPr>
              <w:widowControl/>
              <w:jc w:val="left"/>
              <w:textAlignment w:val="center"/>
              <w:rPr>
                <w:rFonts w:ascii="宋体" w:hAnsi="宋体" w:cs="宋体" w:hint="eastAsia"/>
                <w:kern w:val="0"/>
                <w:sz w:val="20"/>
                <w:szCs w:val="20"/>
                <w:lang/>
              </w:rPr>
            </w:pPr>
            <w:r>
              <w:rPr>
                <w:rFonts w:ascii="宋体" w:hAnsi="宋体" w:cs="宋体" w:hint="eastAsia"/>
                <w:kern w:val="0"/>
                <w:sz w:val="20"/>
                <w:szCs w:val="20"/>
                <w:lang/>
              </w:rPr>
              <w:t>浙商汇金中证转型成长指数型证券投资基金</w:t>
            </w:r>
          </w:p>
        </w:tc>
      </w:tr>
      <w:tr w:rsidR="00000000">
        <w:tc>
          <w:tcPr>
            <w:tcW w:w="2455" w:type="dxa"/>
            <w:vAlign w:val="bottom"/>
          </w:tcPr>
          <w:p w:rsidR="00000000" w:rsidRDefault="0027262C">
            <w:pPr>
              <w:widowControl/>
              <w:jc w:val="left"/>
              <w:textAlignment w:val="center"/>
              <w:rPr>
                <w:rFonts w:ascii="宋体" w:hAnsi="宋体" w:cs="宋体" w:hint="eastAsia"/>
                <w:kern w:val="0"/>
                <w:sz w:val="20"/>
                <w:szCs w:val="20"/>
                <w:lang/>
              </w:rPr>
            </w:pPr>
            <w:r>
              <w:rPr>
                <w:rFonts w:ascii="宋体" w:hAnsi="宋体" w:cs="宋体"/>
                <w:kern w:val="0"/>
                <w:sz w:val="20"/>
                <w:szCs w:val="20"/>
                <w:lang/>
              </w:rPr>
              <w:t>0</w:t>
            </w:r>
            <w:r>
              <w:rPr>
                <w:rFonts w:ascii="宋体" w:hAnsi="宋体" w:cs="宋体" w:hint="eastAsia"/>
                <w:kern w:val="0"/>
                <w:sz w:val="20"/>
                <w:szCs w:val="20"/>
                <w:lang/>
              </w:rPr>
              <w:t>16961</w:t>
            </w:r>
          </w:p>
        </w:tc>
        <w:tc>
          <w:tcPr>
            <w:tcW w:w="6192" w:type="dxa"/>
            <w:vAlign w:val="bottom"/>
          </w:tcPr>
          <w:p w:rsidR="00000000" w:rsidRDefault="0027262C">
            <w:pPr>
              <w:widowControl/>
              <w:jc w:val="left"/>
              <w:textAlignment w:val="center"/>
              <w:rPr>
                <w:rFonts w:ascii="宋体" w:hAnsi="宋体" w:cs="宋体" w:hint="eastAsia"/>
                <w:kern w:val="0"/>
                <w:sz w:val="20"/>
                <w:szCs w:val="20"/>
                <w:lang/>
              </w:rPr>
            </w:pPr>
            <w:r>
              <w:rPr>
                <w:rFonts w:ascii="宋体" w:hAnsi="宋体" w:cs="宋体" w:hint="eastAsia"/>
                <w:kern w:val="0"/>
                <w:sz w:val="20"/>
                <w:szCs w:val="20"/>
                <w:lang/>
              </w:rPr>
              <w:t>浙商汇金平稳增长一年持有期混合型证券投资基金</w:t>
            </w:r>
          </w:p>
        </w:tc>
      </w:tr>
      <w:tr w:rsidR="00000000">
        <w:trPr>
          <w:trHeight w:val="90"/>
        </w:trPr>
        <w:tc>
          <w:tcPr>
            <w:tcW w:w="2455" w:type="dxa"/>
            <w:vAlign w:val="bottom"/>
          </w:tcPr>
          <w:p w:rsidR="00000000" w:rsidRDefault="0027262C">
            <w:pPr>
              <w:widowControl/>
              <w:jc w:val="left"/>
              <w:textAlignment w:val="center"/>
              <w:rPr>
                <w:rFonts w:ascii="宋体" w:hAnsi="宋体" w:cs="宋体" w:hint="eastAsia"/>
                <w:kern w:val="0"/>
                <w:sz w:val="20"/>
                <w:szCs w:val="20"/>
                <w:lang/>
              </w:rPr>
            </w:pPr>
            <w:r>
              <w:rPr>
                <w:rFonts w:ascii="宋体" w:hAnsi="宋体" w:cs="宋体" w:hint="eastAsia"/>
                <w:kern w:val="0"/>
                <w:sz w:val="20"/>
                <w:szCs w:val="20"/>
                <w:lang/>
              </w:rPr>
              <w:t>169201</w:t>
            </w:r>
          </w:p>
        </w:tc>
        <w:tc>
          <w:tcPr>
            <w:tcW w:w="6192" w:type="dxa"/>
            <w:vAlign w:val="bottom"/>
          </w:tcPr>
          <w:p w:rsidR="00000000" w:rsidRDefault="0027262C">
            <w:pPr>
              <w:widowControl/>
              <w:jc w:val="left"/>
              <w:textAlignment w:val="center"/>
              <w:rPr>
                <w:rFonts w:ascii="宋体" w:hAnsi="宋体" w:cs="宋体" w:hint="eastAsia"/>
                <w:kern w:val="0"/>
                <w:sz w:val="20"/>
                <w:szCs w:val="20"/>
                <w:lang/>
              </w:rPr>
            </w:pPr>
            <w:r>
              <w:rPr>
                <w:rFonts w:ascii="宋体" w:hAnsi="宋体" w:cs="宋体" w:hint="eastAsia"/>
                <w:kern w:val="0"/>
                <w:sz w:val="20"/>
                <w:szCs w:val="20"/>
                <w:lang/>
              </w:rPr>
              <w:t>浙商汇金鼎盈事件驱动灵活配置混合型证券投资基金（</w:t>
            </w:r>
            <w:r>
              <w:rPr>
                <w:rFonts w:ascii="宋体" w:hAnsi="宋体" w:cs="宋体" w:hint="eastAsia"/>
                <w:kern w:val="0"/>
                <w:sz w:val="20"/>
                <w:szCs w:val="20"/>
                <w:lang/>
              </w:rPr>
              <w:t>LOF</w:t>
            </w:r>
            <w:r>
              <w:rPr>
                <w:rFonts w:ascii="宋体" w:hAnsi="宋体" w:cs="宋体" w:hint="eastAsia"/>
                <w:kern w:val="0"/>
                <w:sz w:val="20"/>
                <w:szCs w:val="20"/>
                <w:lang/>
              </w:rPr>
              <w:t>）</w:t>
            </w:r>
          </w:p>
        </w:tc>
      </w:tr>
      <w:tr w:rsidR="00000000">
        <w:tc>
          <w:tcPr>
            <w:tcW w:w="2455" w:type="dxa"/>
            <w:vAlign w:val="bottom"/>
          </w:tcPr>
          <w:p w:rsidR="00000000" w:rsidRDefault="0027262C">
            <w:pPr>
              <w:widowControl/>
              <w:jc w:val="left"/>
              <w:textAlignment w:val="center"/>
              <w:rPr>
                <w:rFonts w:ascii="宋体" w:hAnsi="宋体" w:cs="宋体" w:hint="eastAsia"/>
                <w:kern w:val="0"/>
                <w:sz w:val="20"/>
                <w:szCs w:val="20"/>
                <w:lang/>
              </w:rPr>
            </w:pPr>
            <w:r>
              <w:rPr>
                <w:rFonts w:ascii="宋体" w:hAnsi="宋体" w:cs="宋体" w:hint="eastAsia"/>
                <w:kern w:val="0"/>
                <w:sz w:val="20"/>
                <w:szCs w:val="20"/>
                <w:lang/>
              </w:rPr>
              <w:t>013145</w:t>
            </w:r>
          </w:p>
        </w:tc>
        <w:tc>
          <w:tcPr>
            <w:tcW w:w="6192" w:type="dxa"/>
            <w:vAlign w:val="bottom"/>
          </w:tcPr>
          <w:p w:rsidR="00000000" w:rsidRDefault="0027262C">
            <w:pPr>
              <w:widowControl/>
              <w:jc w:val="left"/>
              <w:textAlignment w:val="center"/>
              <w:rPr>
                <w:rFonts w:ascii="宋体" w:hAnsi="宋体" w:cs="宋体" w:hint="eastAsia"/>
                <w:kern w:val="0"/>
                <w:sz w:val="20"/>
                <w:szCs w:val="20"/>
                <w:lang/>
              </w:rPr>
            </w:pPr>
            <w:r>
              <w:rPr>
                <w:rFonts w:ascii="宋体" w:hAnsi="宋体" w:cs="宋体" w:hint="eastAsia"/>
                <w:kern w:val="0"/>
                <w:sz w:val="20"/>
                <w:szCs w:val="20"/>
                <w:lang/>
              </w:rPr>
              <w:t>浙商汇金先进制造混合型证券投资基金</w:t>
            </w:r>
          </w:p>
        </w:tc>
      </w:tr>
      <w:tr w:rsidR="00000000">
        <w:tc>
          <w:tcPr>
            <w:tcW w:w="2455" w:type="dxa"/>
            <w:vAlign w:val="bottom"/>
          </w:tcPr>
          <w:p w:rsidR="00000000" w:rsidRDefault="0027262C">
            <w:pPr>
              <w:widowControl/>
              <w:jc w:val="left"/>
              <w:textAlignment w:val="center"/>
              <w:rPr>
                <w:rFonts w:ascii="宋体" w:hAnsi="宋体" w:cs="宋体" w:hint="eastAsia"/>
                <w:kern w:val="0"/>
                <w:sz w:val="20"/>
                <w:szCs w:val="20"/>
                <w:lang/>
              </w:rPr>
            </w:pPr>
            <w:r>
              <w:rPr>
                <w:rFonts w:ascii="宋体" w:hAnsi="宋体" w:cs="宋体" w:hint="eastAsia"/>
                <w:kern w:val="0"/>
                <w:sz w:val="20"/>
                <w:szCs w:val="20"/>
                <w:lang/>
              </w:rPr>
              <w:t>A</w:t>
            </w:r>
            <w:r>
              <w:rPr>
                <w:rFonts w:ascii="宋体" w:hAnsi="宋体" w:cs="宋体" w:hint="eastAsia"/>
                <w:kern w:val="0"/>
                <w:sz w:val="20"/>
                <w:szCs w:val="20"/>
                <w:lang/>
              </w:rPr>
              <w:t>类基金代码：</w:t>
            </w:r>
            <w:r>
              <w:rPr>
                <w:rFonts w:ascii="宋体" w:hAnsi="宋体" w:cs="宋体" w:hint="eastAsia"/>
                <w:kern w:val="0"/>
                <w:sz w:val="20"/>
                <w:szCs w:val="20"/>
                <w:lang/>
              </w:rPr>
              <w:t>006516</w:t>
            </w:r>
          </w:p>
          <w:p w:rsidR="00000000" w:rsidRDefault="0027262C">
            <w:pPr>
              <w:widowControl/>
              <w:jc w:val="left"/>
              <w:textAlignment w:val="center"/>
              <w:rPr>
                <w:rFonts w:ascii="宋体" w:hAnsi="宋体" w:cs="宋体" w:hint="eastAsia"/>
                <w:kern w:val="0"/>
                <w:sz w:val="20"/>
                <w:szCs w:val="20"/>
                <w:lang/>
              </w:rPr>
            </w:pPr>
            <w:r>
              <w:rPr>
                <w:rFonts w:ascii="宋体" w:hAnsi="宋体" w:cs="宋体" w:hint="eastAsia"/>
                <w:kern w:val="0"/>
                <w:sz w:val="20"/>
                <w:szCs w:val="20"/>
                <w:lang/>
              </w:rPr>
              <w:t>E</w:t>
            </w:r>
            <w:r>
              <w:rPr>
                <w:rFonts w:ascii="宋体" w:hAnsi="宋体" w:cs="宋体" w:hint="eastAsia"/>
                <w:kern w:val="0"/>
                <w:sz w:val="20"/>
                <w:szCs w:val="20"/>
                <w:lang/>
              </w:rPr>
              <w:t>类基金代码：</w:t>
            </w:r>
            <w:r>
              <w:rPr>
                <w:rFonts w:ascii="宋体" w:hAnsi="宋体" w:cs="宋体" w:hint="eastAsia"/>
                <w:kern w:val="0"/>
                <w:sz w:val="20"/>
                <w:szCs w:val="20"/>
                <w:lang/>
              </w:rPr>
              <w:t>006515</w:t>
            </w:r>
          </w:p>
        </w:tc>
        <w:tc>
          <w:tcPr>
            <w:tcW w:w="6192" w:type="dxa"/>
            <w:vAlign w:val="bottom"/>
          </w:tcPr>
          <w:p w:rsidR="00000000" w:rsidRDefault="0027262C">
            <w:pPr>
              <w:widowControl/>
              <w:jc w:val="left"/>
              <w:textAlignment w:val="center"/>
              <w:rPr>
                <w:rFonts w:ascii="宋体" w:hAnsi="宋体" w:cs="宋体" w:hint="eastAsia"/>
                <w:kern w:val="0"/>
                <w:sz w:val="20"/>
                <w:szCs w:val="20"/>
                <w:lang/>
              </w:rPr>
            </w:pPr>
            <w:r>
              <w:rPr>
                <w:rFonts w:ascii="宋体" w:hAnsi="宋体" w:cs="宋体" w:hint="eastAsia"/>
                <w:kern w:val="0"/>
                <w:sz w:val="20"/>
                <w:szCs w:val="20"/>
                <w:lang/>
              </w:rPr>
              <w:t>浙商汇金短债债券型证券投资基金</w:t>
            </w:r>
          </w:p>
        </w:tc>
      </w:tr>
      <w:tr w:rsidR="00000000">
        <w:tc>
          <w:tcPr>
            <w:tcW w:w="2455" w:type="dxa"/>
            <w:vAlign w:val="bottom"/>
          </w:tcPr>
          <w:p w:rsidR="00000000" w:rsidRDefault="0027262C">
            <w:pPr>
              <w:widowControl/>
              <w:jc w:val="left"/>
              <w:textAlignment w:val="center"/>
              <w:rPr>
                <w:rFonts w:ascii="宋体" w:hAnsi="宋体" w:cs="宋体" w:hint="eastAsia"/>
                <w:kern w:val="0"/>
                <w:sz w:val="20"/>
                <w:szCs w:val="20"/>
                <w:lang/>
              </w:rPr>
            </w:pPr>
            <w:r>
              <w:rPr>
                <w:rFonts w:ascii="宋体" w:hAnsi="宋体" w:cs="宋体" w:hint="eastAsia"/>
                <w:kern w:val="0"/>
                <w:sz w:val="20"/>
                <w:szCs w:val="20"/>
                <w:lang/>
              </w:rPr>
              <w:t>A</w:t>
            </w:r>
            <w:r>
              <w:rPr>
                <w:rFonts w:ascii="宋体" w:hAnsi="宋体" w:cs="宋体" w:hint="eastAsia"/>
                <w:kern w:val="0"/>
                <w:sz w:val="20"/>
                <w:szCs w:val="20"/>
                <w:lang/>
              </w:rPr>
              <w:t>类基金代码：</w:t>
            </w:r>
            <w:r>
              <w:rPr>
                <w:rFonts w:ascii="宋体" w:hAnsi="宋体" w:cs="宋体" w:hint="eastAsia"/>
                <w:kern w:val="0"/>
                <w:sz w:val="20"/>
                <w:szCs w:val="20"/>
                <w:lang/>
              </w:rPr>
              <w:t>008613</w:t>
            </w:r>
          </w:p>
          <w:p w:rsidR="00000000" w:rsidRDefault="0027262C">
            <w:pPr>
              <w:widowControl/>
              <w:jc w:val="left"/>
              <w:textAlignment w:val="center"/>
              <w:rPr>
                <w:rFonts w:ascii="宋体" w:hAnsi="宋体" w:cs="宋体" w:hint="eastAsia"/>
                <w:kern w:val="0"/>
                <w:sz w:val="20"/>
                <w:szCs w:val="20"/>
                <w:lang/>
              </w:rPr>
            </w:pPr>
            <w:r>
              <w:rPr>
                <w:rFonts w:ascii="宋体" w:hAnsi="宋体" w:cs="宋体" w:hint="eastAsia"/>
                <w:kern w:val="0"/>
                <w:sz w:val="20"/>
                <w:szCs w:val="20"/>
                <w:lang/>
              </w:rPr>
              <w:t>C</w:t>
            </w:r>
            <w:r>
              <w:rPr>
                <w:rFonts w:ascii="宋体" w:hAnsi="宋体" w:cs="宋体" w:hint="eastAsia"/>
                <w:kern w:val="0"/>
                <w:sz w:val="20"/>
                <w:szCs w:val="20"/>
                <w:lang/>
              </w:rPr>
              <w:t>类基金代码：</w:t>
            </w:r>
            <w:r>
              <w:rPr>
                <w:rFonts w:ascii="宋体" w:hAnsi="宋体" w:cs="宋体" w:hint="eastAsia"/>
                <w:kern w:val="0"/>
                <w:sz w:val="20"/>
                <w:szCs w:val="20"/>
                <w:lang/>
              </w:rPr>
              <w:t>008614</w:t>
            </w:r>
          </w:p>
        </w:tc>
        <w:tc>
          <w:tcPr>
            <w:tcW w:w="6192" w:type="dxa"/>
            <w:vAlign w:val="bottom"/>
          </w:tcPr>
          <w:p w:rsidR="00000000" w:rsidRDefault="0027262C">
            <w:pPr>
              <w:widowControl/>
              <w:jc w:val="left"/>
              <w:textAlignment w:val="center"/>
              <w:rPr>
                <w:rFonts w:ascii="宋体" w:hAnsi="宋体" w:cs="宋体" w:hint="eastAsia"/>
                <w:kern w:val="0"/>
                <w:sz w:val="20"/>
                <w:szCs w:val="20"/>
                <w:lang/>
              </w:rPr>
            </w:pPr>
            <w:r>
              <w:rPr>
                <w:rFonts w:ascii="宋体" w:hAnsi="宋体" w:cs="宋体" w:hint="eastAsia"/>
                <w:kern w:val="0"/>
                <w:sz w:val="20"/>
                <w:szCs w:val="20"/>
                <w:lang/>
              </w:rPr>
              <w:t>浙商汇金安享</w:t>
            </w:r>
            <w:r>
              <w:rPr>
                <w:rFonts w:ascii="宋体" w:hAnsi="宋体" w:cs="宋体" w:hint="eastAsia"/>
                <w:kern w:val="0"/>
                <w:sz w:val="20"/>
                <w:szCs w:val="20"/>
                <w:lang/>
              </w:rPr>
              <w:t>66</w:t>
            </w:r>
            <w:r>
              <w:rPr>
                <w:rFonts w:ascii="宋体" w:hAnsi="宋体" w:cs="宋体" w:hint="eastAsia"/>
                <w:kern w:val="0"/>
                <w:sz w:val="20"/>
                <w:szCs w:val="20"/>
                <w:lang/>
              </w:rPr>
              <w:t>个月定期开放</w:t>
            </w:r>
            <w:r>
              <w:rPr>
                <w:rFonts w:ascii="宋体" w:hAnsi="宋体" w:cs="宋体" w:hint="eastAsia"/>
                <w:kern w:val="0"/>
                <w:sz w:val="20"/>
                <w:szCs w:val="20"/>
                <w:lang/>
              </w:rPr>
              <w:t>债券型证券投资基金</w:t>
            </w:r>
          </w:p>
        </w:tc>
      </w:tr>
      <w:tr w:rsidR="00000000">
        <w:tc>
          <w:tcPr>
            <w:tcW w:w="2455" w:type="dxa"/>
            <w:vAlign w:val="bottom"/>
          </w:tcPr>
          <w:p w:rsidR="00000000" w:rsidRDefault="0027262C">
            <w:pPr>
              <w:widowControl/>
              <w:jc w:val="left"/>
              <w:textAlignment w:val="center"/>
              <w:rPr>
                <w:rFonts w:ascii="宋体" w:hAnsi="宋体" w:cs="宋体" w:hint="eastAsia"/>
                <w:kern w:val="0"/>
                <w:sz w:val="20"/>
                <w:szCs w:val="20"/>
                <w:lang/>
              </w:rPr>
            </w:pPr>
            <w:r>
              <w:rPr>
                <w:rFonts w:ascii="宋体" w:hAnsi="宋体" w:cs="宋体" w:hint="eastAsia"/>
                <w:kern w:val="0"/>
                <w:sz w:val="20"/>
                <w:szCs w:val="20"/>
                <w:lang/>
              </w:rPr>
              <w:t>A</w:t>
            </w:r>
            <w:r>
              <w:rPr>
                <w:rFonts w:ascii="宋体" w:hAnsi="宋体" w:cs="宋体" w:hint="eastAsia"/>
                <w:kern w:val="0"/>
                <w:sz w:val="20"/>
                <w:szCs w:val="20"/>
                <w:lang/>
              </w:rPr>
              <w:t>类基金代码：</w:t>
            </w:r>
            <w:r>
              <w:rPr>
                <w:rFonts w:ascii="宋体" w:hAnsi="宋体" w:cs="宋体" w:hint="eastAsia"/>
                <w:kern w:val="0"/>
                <w:sz w:val="20"/>
                <w:szCs w:val="20"/>
                <w:lang/>
              </w:rPr>
              <w:t>014083</w:t>
            </w:r>
          </w:p>
          <w:p w:rsidR="00000000" w:rsidRDefault="0027262C">
            <w:pPr>
              <w:widowControl/>
              <w:jc w:val="left"/>
              <w:textAlignment w:val="center"/>
              <w:rPr>
                <w:rFonts w:ascii="宋体" w:hAnsi="宋体" w:cs="宋体" w:hint="eastAsia"/>
                <w:kern w:val="0"/>
                <w:sz w:val="20"/>
                <w:szCs w:val="20"/>
                <w:lang/>
              </w:rPr>
            </w:pPr>
            <w:r>
              <w:rPr>
                <w:rFonts w:ascii="宋体" w:hAnsi="宋体" w:cs="宋体" w:hint="eastAsia"/>
                <w:kern w:val="0"/>
                <w:sz w:val="20"/>
                <w:szCs w:val="20"/>
                <w:lang/>
              </w:rPr>
              <w:t>C</w:t>
            </w:r>
            <w:r>
              <w:rPr>
                <w:rFonts w:ascii="宋体" w:hAnsi="宋体" w:cs="宋体" w:hint="eastAsia"/>
                <w:kern w:val="0"/>
                <w:sz w:val="20"/>
                <w:szCs w:val="20"/>
                <w:lang/>
              </w:rPr>
              <w:t>类基金代码：</w:t>
            </w:r>
            <w:r>
              <w:rPr>
                <w:rFonts w:ascii="宋体" w:hAnsi="宋体" w:cs="宋体" w:hint="eastAsia"/>
                <w:kern w:val="0"/>
                <w:sz w:val="20"/>
                <w:szCs w:val="20"/>
                <w:lang/>
              </w:rPr>
              <w:t>014084</w:t>
            </w:r>
          </w:p>
        </w:tc>
        <w:tc>
          <w:tcPr>
            <w:tcW w:w="6192" w:type="dxa"/>
            <w:vAlign w:val="bottom"/>
          </w:tcPr>
          <w:p w:rsidR="00000000" w:rsidRDefault="0027262C">
            <w:pPr>
              <w:widowControl/>
              <w:jc w:val="left"/>
              <w:textAlignment w:val="center"/>
              <w:rPr>
                <w:rFonts w:ascii="宋体" w:hAnsi="宋体" w:cs="宋体" w:hint="eastAsia"/>
                <w:kern w:val="0"/>
                <w:sz w:val="20"/>
                <w:szCs w:val="20"/>
                <w:lang/>
              </w:rPr>
            </w:pPr>
            <w:r>
              <w:rPr>
                <w:rFonts w:ascii="宋体" w:hAnsi="宋体" w:cs="宋体" w:hint="eastAsia"/>
                <w:kern w:val="0"/>
                <w:sz w:val="20"/>
                <w:szCs w:val="20"/>
                <w:lang/>
              </w:rPr>
              <w:t>浙商汇金月享</w:t>
            </w:r>
            <w:r>
              <w:rPr>
                <w:rFonts w:ascii="宋体" w:hAnsi="宋体" w:cs="宋体" w:hint="eastAsia"/>
                <w:kern w:val="0"/>
                <w:sz w:val="20"/>
                <w:szCs w:val="20"/>
                <w:lang/>
              </w:rPr>
              <w:t>30</w:t>
            </w:r>
            <w:r>
              <w:rPr>
                <w:rFonts w:ascii="宋体" w:hAnsi="宋体" w:cs="宋体" w:hint="eastAsia"/>
                <w:kern w:val="0"/>
                <w:sz w:val="20"/>
                <w:szCs w:val="20"/>
                <w:lang/>
              </w:rPr>
              <w:t>天滚动持有中短债证券投资基金</w:t>
            </w:r>
          </w:p>
        </w:tc>
      </w:tr>
      <w:tr w:rsidR="00000000">
        <w:tc>
          <w:tcPr>
            <w:tcW w:w="2455" w:type="dxa"/>
            <w:vAlign w:val="bottom"/>
          </w:tcPr>
          <w:p w:rsidR="00000000" w:rsidRDefault="0027262C">
            <w:pPr>
              <w:widowControl/>
              <w:jc w:val="left"/>
              <w:textAlignment w:val="center"/>
              <w:rPr>
                <w:rFonts w:ascii="宋体" w:hAnsi="宋体" w:cs="宋体" w:hint="eastAsia"/>
                <w:kern w:val="0"/>
                <w:sz w:val="20"/>
                <w:szCs w:val="20"/>
                <w:lang/>
              </w:rPr>
            </w:pPr>
            <w:r>
              <w:rPr>
                <w:rFonts w:ascii="宋体" w:hAnsi="宋体" w:cs="宋体" w:hint="eastAsia"/>
                <w:kern w:val="0"/>
                <w:sz w:val="20"/>
                <w:szCs w:val="20"/>
                <w:lang/>
              </w:rPr>
              <w:t>A</w:t>
            </w:r>
            <w:r>
              <w:rPr>
                <w:rFonts w:ascii="宋体" w:hAnsi="宋体" w:cs="宋体" w:hint="eastAsia"/>
                <w:kern w:val="0"/>
                <w:sz w:val="20"/>
                <w:szCs w:val="20"/>
                <w:lang/>
              </w:rPr>
              <w:t>类基金代码：</w:t>
            </w:r>
            <w:r>
              <w:rPr>
                <w:rFonts w:ascii="宋体" w:hAnsi="宋体" w:cs="宋体"/>
                <w:kern w:val="0"/>
                <w:sz w:val="20"/>
                <w:szCs w:val="20"/>
                <w:lang/>
              </w:rPr>
              <w:t>015836</w:t>
            </w:r>
          </w:p>
          <w:p w:rsidR="00000000" w:rsidRDefault="0027262C">
            <w:pPr>
              <w:widowControl/>
              <w:jc w:val="left"/>
              <w:textAlignment w:val="center"/>
              <w:rPr>
                <w:rFonts w:ascii="宋体" w:hAnsi="宋体" w:cs="宋体" w:hint="eastAsia"/>
                <w:kern w:val="0"/>
                <w:sz w:val="20"/>
                <w:szCs w:val="20"/>
                <w:lang/>
              </w:rPr>
            </w:pPr>
            <w:r>
              <w:rPr>
                <w:rFonts w:ascii="宋体" w:hAnsi="宋体" w:cs="宋体" w:hint="eastAsia"/>
                <w:kern w:val="0"/>
                <w:sz w:val="20"/>
                <w:szCs w:val="20"/>
                <w:lang/>
              </w:rPr>
              <w:t>C</w:t>
            </w:r>
            <w:r>
              <w:rPr>
                <w:rFonts w:ascii="宋体" w:hAnsi="宋体" w:cs="宋体" w:hint="eastAsia"/>
                <w:kern w:val="0"/>
                <w:sz w:val="20"/>
                <w:szCs w:val="20"/>
                <w:lang/>
              </w:rPr>
              <w:t>类基金代码：</w:t>
            </w:r>
            <w:r>
              <w:rPr>
                <w:rFonts w:ascii="宋体" w:hAnsi="宋体" w:cs="宋体"/>
                <w:kern w:val="0"/>
                <w:sz w:val="20"/>
                <w:szCs w:val="20"/>
                <w:lang/>
              </w:rPr>
              <w:t>01583</w:t>
            </w:r>
            <w:r>
              <w:rPr>
                <w:rFonts w:ascii="宋体" w:hAnsi="宋体" w:cs="宋体" w:hint="eastAsia"/>
                <w:kern w:val="0"/>
                <w:sz w:val="20"/>
                <w:szCs w:val="20"/>
                <w:lang/>
              </w:rPr>
              <w:t>7</w:t>
            </w:r>
          </w:p>
        </w:tc>
        <w:tc>
          <w:tcPr>
            <w:tcW w:w="6192" w:type="dxa"/>
            <w:vAlign w:val="bottom"/>
          </w:tcPr>
          <w:p w:rsidR="00000000" w:rsidRDefault="0027262C">
            <w:pPr>
              <w:widowControl/>
              <w:jc w:val="left"/>
              <w:textAlignment w:val="center"/>
              <w:rPr>
                <w:rFonts w:ascii="宋体" w:hAnsi="宋体" w:cs="宋体" w:hint="eastAsia"/>
                <w:kern w:val="0"/>
                <w:sz w:val="20"/>
                <w:szCs w:val="20"/>
                <w:lang/>
              </w:rPr>
            </w:pPr>
            <w:r>
              <w:rPr>
                <w:rFonts w:ascii="宋体" w:hAnsi="宋体" w:cs="宋体" w:hint="eastAsia"/>
                <w:kern w:val="0"/>
                <w:sz w:val="20"/>
                <w:szCs w:val="20"/>
                <w:lang/>
              </w:rPr>
              <w:t>浙商汇金聚瑞债券型证券投资基金</w:t>
            </w:r>
          </w:p>
          <w:p w:rsidR="00000000" w:rsidRDefault="0027262C">
            <w:pPr>
              <w:widowControl/>
              <w:jc w:val="left"/>
              <w:textAlignment w:val="center"/>
              <w:rPr>
                <w:rFonts w:ascii="宋体" w:hAnsi="宋体" w:cs="宋体" w:hint="eastAsia"/>
                <w:kern w:val="0"/>
                <w:sz w:val="20"/>
                <w:szCs w:val="20"/>
                <w:lang/>
              </w:rPr>
            </w:pPr>
          </w:p>
        </w:tc>
      </w:tr>
    </w:tbl>
    <w:p w:rsidR="00000000" w:rsidRDefault="0027262C" w:rsidP="0027262C">
      <w:pPr>
        <w:spacing w:beforeLines="100"/>
        <w:rPr>
          <w:rFonts w:ascii="仿宋_GB2312" w:eastAsia="仿宋_GB2312" w:hAnsi="仿宋"/>
          <w:kern w:val="0"/>
          <w:sz w:val="24"/>
          <w:szCs w:val="32"/>
        </w:rPr>
      </w:pPr>
      <w:r>
        <w:rPr>
          <w:rFonts w:ascii="仿宋_GB2312" w:eastAsia="仿宋_GB2312" w:hAnsi="仿宋" w:hint="eastAsia"/>
          <w:kern w:val="0"/>
          <w:sz w:val="24"/>
          <w:szCs w:val="32"/>
        </w:rPr>
        <w:t>注：</w:t>
      </w:r>
      <w:r>
        <w:rPr>
          <w:rFonts w:ascii="仿宋_GB2312" w:eastAsia="仿宋_GB2312" w:hAnsi="仿宋" w:hint="eastAsia"/>
          <w:kern w:val="0"/>
          <w:sz w:val="24"/>
          <w:szCs w:val="32"/>
        </w:rPr>
        <w:t>1</w:t>
      </w:r>
      <w:r>
        <w:rPr>
          <w:rFonts w:ascii="仿宋_GB2312" w:eastAsia="仿宋_GB2312" w:hAnsi="仿宋" w:hint="eastAsia"/>
          <w:kern w:val="0"/>
          <w:sz w:val="24"/>
          <w:szCs w:val="32"/>
        </w:rPr>
        <w:t>、浙商汇金平稳增长一年持有期混合型证券投资基金</w:t>
      </w:r>
      <w:r>
        <w:rPr>
          <w:rFonts w:ascii="仿宋_GB2312" w:eastAsia="仿宋_GB2312" w:hAnsi="仿宋"/>
          <w:kern w:val="0"/>
          <w:sz w:val="24"/>
          <w:szCs w:val="32"/>
        </w:rPr>
        <w:t>对每份基金份额设置最短持有期限</w:t>
      </w:r>
      <w:r>
        <w:rPr>
          <w:rFonts w:ascii="仿宋_GB2312" w:eastAsia="仿宋_GB2312" w:hAnsi="仿宋" w:hint="eastAsia"/>
          <w:kern w:val="0"/>
          <w:sz w:val="24"/>
          <w:szCs w:val="32"/>
        </w:rPr>
        <w:t>的基金</w:t>
      </w:r>
      <w:r>
        <w:rPr>
          <w:rFonts w:ascii="仿宋_GB2312" w:eastAsia="仿宋_GB2312" w:hAnsi="仿宋"/>
          <w:kern w:val="0"/>
          <w:sz w:val="24"/>
          <w:szCs w:val="32"/>
        </w:rPr>
        <w:t>，</w:t>
      </w:r>
      <w:r>
        <w:rPr>
          <w:rFonts w:ascii="仿宋_GB2312" w:eastAsia="仿宋_GB2312" w:hAnsi="仿宋" w:hint="eastAsia"/>
          <w:kern w:val="0"/>
          <w:sz w:val="24"/>
          <w:szCs w:val="32"/>
        </w:rPr>
        <w:t>最短持有期限请详见基金合同、招募说明书（更新）等法</w:t>
      </w:r>
      <w:r>
        <w:rPr>
          <w:rFonts w:ascii="仿宋_GB2312" w:eastAsia="仿宋_GB2312" w:hAnsi="仿宋" w:hint="eastAsia"/>
          <w:kern w:val="0"/>
          <w:sz w:val="24"/>
          <w:szCs w:val="32"/>
        </w:rPr>
        <w:lastRenderedPageBreak/>
        <w:t>律文件</w:t>
      </w:r>
      <w:r>
        <w:rPr>
          <w:rFonts w:ascii="仿宋_GB2312" w:eastAsia="仿宋_GB2312" w:hAnsi="仿宋"/>
          <w:kern w:val="0"/>
          <w:sz w:val="24"/>
          <w:szCs w:val="32"/>
        </w:rPr>
        <w:t>，</w:t>
      </w:r>
      <w:r>
        <w:rPr>
          <w:rFonts w:ascii="仿宋_GB2312" w:eastAsia="仿宋_GB2312" w:hAnsi="仿宋" w:hint="eastAsia"/>
          <w:kern w:val="0"/>
          <w:sz w:val="24"/>
          <w:szCs w:val="32"/>
        </w:rPr>
        <w:t>在最短持有期间</w:t>
      </w:r>
      <w:r>
        <w:rPr>
          <w:rFonts w:ascii="仿宋_GB2312" w:eastAsia="仿宋_GB2312" w:hAnsi="仿宋"/>
          <w:kern w:val="0"/>
          <w:sz w:val="24"/>
          <w:szCs w:val="32"/>
        </w:rPr>
        <w:t>投资者不能提出赎回申请；</w:t>
      </w:r>
    </w:p>
    <w:p w:rsidR="00000000" w:rsidRDefault="0027262C" w:rsidP="0027262C">
      <w:pPr>
        <w:spacing w:beforeLines="100"/>
        <w:rPr>
          <w:rFonts w:ascii="仿宋_GB2312" w:eastAsia="仿宋_GB2312" w:hAnsi="仿宋"/>
          <w:kern w:val="0"/>
          <w:sz w:val="24"/>
          <w:szCs w:val="32"/>
        </w:rPr>
      </w:pPr>
      <w:r>
        <w:rPr>
          <w:rFonts w:ascii="仿宋_GB2312" w:eastAsia="仿宋_GB2312" w:hAnsi="仿宋" w:hint="eastAsia"/>
          <w:kern w:val="0"/>
          <w:sz w:val="24"/>
          <w:szCs w:val="32"/>
        </w:rPr>
        <w:t>2</w:t>
      </w:r>
      <w:r>
        <w:rPr>
          <w:rFonts w:ascii="仿宋_GB2312" w:eastAsia="仿宋_GB2312" w:hAnsi="仿宋" w:hint="eastAsia"/>
          <w:kern w:val="0"/>
          <w:sz w:val="24"/>
          <w:szCs w:val="32"/>
        </w:rPr>
        <w:t>、浙商汇金安享</w:t>
      </w:r>
      <w:r>
        <w:rPr>
          <w:rFonts w:ascii="仿宋_GB2312" w:eastAsia="仿宋_GB2312" w:hAnsi="仿宋" w:hint="eastAsia"/>
          <w:kern w:val="0"/>
          <w:sz w:val="24"/>
          <w:szCs w:val="32"/>
        </w:rPr>
        <w:t>66</w:t>
      </w:r>
      <w:r>
        <w:rPr>
          <w:rFonts w:ascii="仿宋_GB2312" w:eastAsia="仿宋_GB2312" w:hAnsi="仿宋" w:hint="eastAsia"/>
          <w:kern w:val="0"/>
          <w:sz w:val="24"/>
          <w:szCs w:val="32"/>
        </w:rPr>
        <w:t>个月定期开放债券型证券投资基金在</w:t>
      </w:r>
      <w:r>
        <w:rPr>
          <w:rFonts w:ascii="仿宋_GB2312" w:eastAsia="仿宋_GB2312" w:hAnsi="仿宋"/>
          <w:kern w:val="0"/>
          <w:sz w:val="24"/>
          <w:szCs w:val="32"/>
        </w:rPr>
        <w:t>封闭期内，待封闭期结束，本公司会及时发布相关开放公告，</w:t>
      </w:r>
      <w:r>
        <w:rPr>
          <w:rFonts w:ascii="仿宋_GB2312" w:eastAsia="仿宋_GB2312" w:hAnsi="仿宋"/>
          <w:kern w:val="0"/>
          <w:sz w:val="24"/>
          <w:szCs w:val="32"/>
        </w:rPr>
        <w:t>敬请留意。具体业务办理流程、规则请遵循相关销售机构的规定</w:t>
      </w:r>
      <w:r>
        <w:rPr>
          <w:rFonts w:ascii="仿宋_GB2312" w:eastAsia="仿宋_GB2312" w:hAnsi="仿宋" w:hint="eastAsia"/>
          <w:kern w:val="0"/>
          <w:sz w:val="24"/>
          <w:szCs w:val="32"/>
        </w:rPr>
        <w:t>；</w:t>
      </w:r>
    </w:p>
    <w:p w:rsidR="00000000" w:rsidRDefault="0027262C" w:rsidP="0027262C">
      <w:pPr>
        <w:spacing w:beforeLines="100"/>
        <w:rPr>
          <w:rFonts w:ascii="仿宋_GB2312" w:eastAsia="仿宋_GB2312" w:cs="宋体" w:hint="eastAsia"/>
          <w:kern w:val="0"/>
          <w:sz w:val="32"/>
          <w:szCs w:val="32"/>
        </w:rPr>
      </w:pPr>
      <w:r>
        <w:rPr>
          <w:rFonts w:ascii="仿宋_GB2312" w:eastAsia="仿宋_GB2312" w:hAnsi="仿宋" w:hint="eastAsia"/>
          <w:kern w:val="0"/>
          <w:sz w:val="24"/>
          <w:szCs w:val="32"/>
        </w:rPr>
        <w:t>3</w:t>
      </w:r>
      <w:r>
        <w:rPr>
          <w:rFonts w:ascii="仿宋_GB2312" w:eastAsia="仿宋_GB2312" w:hAnsi="仿宋" w:hint="eastAsia"/>
          <w:kern w:val="0"/>
          <w:sz w:val="24"/>
          <w:szCs w:val="32"/>
        </w:rPr>
        <w:t>、浙商汇金月享</w:t>
      </w:r>
      <w:r>
        <w:rPr>
          <w:rFonts w:ascii="仿宋_GB2312" w:eastAsia="仿宋_GB2312" w:hAnsi="仿宋" w:hint="eastAsia"/>
          <w:kern w:val="0"/>
          <w:sz w:val="24"/>
          <w:szCs w:val="32"/>
        </w:rPr>
        <w:t>30</w:t>
      </w:r>
      <w:r>
        <w:rPr>
          <w:rFonts w:ascii="仿宋_GB2312" w:eastAsia="仿宋_GB2312" w:hAnsi="仿宋" w:hint="eastAsia"/>
          <w:kern w:val="0"/>
          <w:sz w:val="24"/>
          <w:szCs w:val="32"/>
        </w:rPr>
        <w:t>天滚动持有中短债证券投资基金，对于每份基金份额设定</w:t>
      </w:r>
      <w:r>
        <w:rPr>
          <w:rFonts w:ascii="仿宋_GB2312" w:eastAsia="仿宋_GB2312" w:hAnsi="仿宋" w:hint="eastAsia"/>
          <w:kern w:val="0"/>
          <w:sz w:val="24"/>
          <w:szCs w:val="32"/>
        </w:rPr>
        <w:t>30</w:t>
      </w:r>
      <w:r>
        <w:rPr>
          <w:rFonts w:ascii="仿宋_GB2312" w:eastAsia="仿宋_GB2312" w:hAnsi="仿宋" w:hint="eastAsia"/>
          <w:kern w:val="0"/>
          <w:sz w:val="24"/>
          <w:szCs w:val="32"/>
        </w:rPr>
        <w:t>天滚动运作期。每个运作期到期日前，基金份额持有人不能提出赎回申请。请详见基金合同、招募说明书（更新）等法律文件。</w:t>
      </w:r>
    </w:p>
    <w:p w:rsidR="00000000" w:rsidRDefault="0027262C">
      <w:pPr>
        <w:spacing w:line="360" w:lineRule="auto"/>
        <w:jc w:val="left"/>
        <w:rPr>
          <w:rFonts w:ascii="仿宋_GB2312" w:eastAsia="仿宋_GB2312" w:cs="宋体" w:hint="eastAsia"/>
          <w:kern w:val="0"/>
          <w:sz w:val="32"/>
          <w:szCs w:val="32"/>
        </w:rPr>
      </w:pPr>
    </w:p>
    <w:p w:rsidR="00000000" w:rsidRDefault="0027262C">
      <w:pPr>
        <w:spacing w:line="360" w:lineRule="auto"/>
        <w:jc w:val="left"/>
        <w:rPr>
          <w:rFonts w:ascii="仿宋_GB2312" w:eastAsia="仿宋_GB2312" w:hAnsi="仿宋" w:hint="eastAsia"/>
          <w:sz w:val="32"/>
          <w:szCs w:val="32"/>
        </w:rPr>
      </w:pPr>
      <w:r>
        <w:rPr>
          <w:rFonts w:ascii="仿宋_GB2312" w:eastAsia="仿宋_GB2312" w:cs="宋体" w:hint="eastAsia"/>
          <w:kern w:val="0"/>
          <w:sz w:val="32"/>
          <w:szCs w:val="32"/>
        </w:rPr>
        <w:t>二</w:t>
      </w:r>
      <w:r>
        <w:rPr>
          <w:rFonts w:ascii="仿宋_GB2312" w:eastAsia="仿宋_GB2312" w:cs="宋体" w:hint="eastAsia"/>
          <w:kern w:val="0"/>
          <w:sz w:val="32"/>
          <w:szCs w:val="32"/>
        </w:rPr>
        <w:t>、</w:t>
      </w:r>
      <w:r>
        <w:rPr>
          <w:rFonts w:ascii="仿宋_GB2312" w:eastAsia="仿宋_GB2312" w:hAnsi="仿宋" w:hint="eastAsia"/>
          <w:sz w:val="32"/>
          <w:szCs w:val="32"/>
        </w:rPr>
        <w:t>费率优惠活动</w:t>
      </w:r>
    </w:p>
    <w:p w:rsidR="00000000" w:rsidRDefault="0027262C">
      <w:pPr>
        <w:numPr>
          <w:ilvl w:val="0"/>
          <w:numId w:val="1"/>
        </w:numPr>
        <w:spacing w:line="360" w:lineRule="auto"/>
        <w:ind w:firstLineChars="200" w:firstLine="640"/>
        <w:rPr>
          <w:rFonts w:ascii="仿宋_GB2312" w:eastAsia="仿宋_GB2312" w:cs="宋体" w:hint="eastAsia"/>
          <w:kern w:val="0"/>
          <w:sz w:val="32"/>
          <w:szCs w:val="32"/>
        </w:rPr>
      </w:pPr>
      <w:r>
        <w:rPr>
          <w:rFonts w:ascii="仿宋_GB2312" w:eastAsia="仿宋_GB2312" w:cs="宋体" w:hint="eastAsia"/>
          <w:kern w:val="0"/>
          <w:sz w:val="32"/>
          <w:szCs w:val="32"/>
        </w:rPr>
        <w:t>自</w:t>
      </w:r>
      <w:r>
        <w:rPr>
          <w:rFonts w:ascii="仿宋_GB2312" w:eastAsia="仿宋_GB2312" w:cs="宋体" w:hint="eastAsia"/>
          <w:kern w:val="0"/>
          <w:sz w:val="32"/>
          <w:szCs w:val="32"/>
        </w:rPr>
        <w:t>2022</w:t>
      </w:r>
      <w:r>
        <w:rPr>
          <w:rFonts w:ascii="仿宋_GB2312" w:eastAsia="仿宋_GB2312" w:cs="宋体" w:hint="eastAsia"/>
          <w:kern w:val="0"/>
          <w:sz w:val="32"/>
          <w:szCs w:val="32"/>
        </w:rPr>
        <w:t>年</w:t>
      </w:r>
      <w:r>
        <w:rPr>
          <w:rFonts w:ascii="仿宋_GB2312" w:eastAsia="仿宋_GB2312" w:cs="宋体" w:hint="eastAsia"/>
          <w:kern w:val="0"/>
          <w:sz w:val="32"/>
          <w:szCs w:val="32"/>
        </w:rPr>
        <w:t>11</w:t>
      </w:r>
      <w:r>
        <w:rPr>
          <w:rFonts w:ascii="仿宋_GB2312" w:eastAsia="仿宋_GB2312" w:cs="宋体" w:hint="eastAsia"/>
          <w:kern w:val="0"/>
          <w:sz w:val="32"/>
          <w:szCs w:val="32"/>
        </w:rPr>
        <w:t>月</w:t>
      </w:r>
      <w:r>
        <w:rPr>
          <w:rFonts w:ascii="仿宋_GB2312" w:eastAsia="仿宋_GB2312" w:cs="宋体" w:hint="eastAsia"/>
          <w:kern w:val="0"/>
          <w:sz w:val="32"/>
          <w:szCs w:val="32"/>
        </w:rPr>
        <w:t>25</w:t>
      </w:r>
      <w:r>
        <w:rPr>
          <w:rFonts w:ascii="仿宋_GB2312" w:eastAsia="仿宋_GB2312" w:cs="宋体" w:hint="eastAsia"/>
          <w:kern w:val="0"/>
          <w:sz w:val="32"/>
          <w:szCs w:val="32"/>
        </w:rPr>
        <w:t>日</w:t>
      </w:r>
      <w:r>
        <w:rPr>
          <w:rFonts w:ascii="仿宋_GB2312" w:eastAsia="仿宋_GB2312" w:cs="宋体" w:hint="eastAsia"/>
          <w:kern w:val="0"/>
          <w:sz w:val="32"/>
          <w:szCs w:val="32"/>
        </w:rPr>
        <w:t>起</w:t>
      </w:r>
      <w:r>
        <w:rPr>
          <w:rFonts w:ascii="仿宋_GB2312" w:eastAsia="仿宋_GB2312" w:cs="宋体" w:hint="eastAsia"/>
          <w:kern w:val="0"/>
          <w:sz w:val="32"/>
          <w:szCs w:val="32"/>
        </w:rPr>
        <w:t>，</w:t>
      </w:r>
      <w:r>
        <w:rPr>
          <w:rFonts w:ascii="仿宋_GB2312" w:eastAsia="仿宋_GB2312" w:cs="宋体" w:hint="eastAsia"/>
          <w:kern w:val="0"/>
          <w:sz w:val="32"/>
          <w:szCs w:val="32"/>
        </w:rPr>
        <w:t>投资人通过</w:t>
      </w:r>
      <w:r>
        <w:rPr>
          <w:rFonts w:ascii="仿宋_GB2312" w:eastAsia="仿宋_GB2312" w:hAnsi="仿宋" w:hint="eastAsia"/>
          <w:sz w:val="32"/>
          <w:szCs w:val="32"/>
        </w:rPr>
        <w:t>同花顺</w:t>
      </w:r>
      <w:r>
        <w:rPr>
          <w:rFonts w:ascii="仿宋_GB2312" w:eastAsia="仿宋_GB2312" w:cs="宋体" w:hint="eastAsia"/>
          <w:kern w:val="0"/>
          <w:sz w:val="32"/>
          <w:szCs w:val="32"/>
        </w:rPr>
        <w:t>申</w:t>
      </w:r>
      <w:r>
        <w:rPr>
          <w:rFonts w:ascii="仿宋_GB2312" w:eastAsia="仿宋_GB2312" w:cs="宋体" w:hint="eastAsia"/>
          <w:kern w:val="0"/>
          <w:sz w:val="32"/>
          <w:szCs w:val="32"/>
        </w:rPr>
        <w:t>、认</w:t>
      </w:r>
      <w:r>
        <w:rPr>
          <w:rFonts w:ascii="仿宋_GB2312" w:eastAsia="仿宋_GB2312" w:cs="宋体" w:hint="eastAsia"/>
          <w:kern w:val="0"/>
          <w:sz w:val="32"/>
          <w:szCs w:val="32"/>
        </w:rPr>
        <w:t>购</w:t>
      </w:r>
      <w:r>
        <w:rPr>
          <w:rFonts w:ascii="仿宋_GB2312" w:eastAsia="仿宋_GB2312" w:cs="宋体" w:hint="eastAsia"/>
          <w:kern w:val="0"/>
          <w:sz w:val="32"/>
          <w:szCs w:val="32"/>
        </w:rPr>
        <w:t>上述基金</w:t>
      </w:r>
      <w:r>
        <w:rPr>
          <w:rFonts w:ascii="仿宋_GB2312" w:eastAsia="仿宋_GB2312" w:cs="宋体" w:hint="eastAsia"/>
          <w:kern w:val="0"/>
          <w:sz w:val="32"/>
          <w:szCs w:val="32"/>
        </w:rPr>
        <w:t>份额，每个基金账户首次申</w:t>
      </w:r>
      <w:r>
        <w:rPr>
          <w:rFonts w:ascii="仿宋_GB2312" w:eastAsia="仿宋_GB2312" w:cs="宋体" w:hint="eastAsia"/>
          <w:kern w:val="0"/>
          <w:sz w:val="32"/>
          <w:szCs w:val="32"/>
        </w:rPr>
        <w:t>、认</w:t>
      </w:r>
      <w:r>
        <w:rPr>
          <w:rFonts w:ascii="仿宋_GB2312" w:eastAsia="仿宋_GB2312" w:cs="宋体" w:hint="eastAsia"/>
          <w:kern w:val="0"/>
          <w:sz w:val="32"/>
          <w:szCs w:val="32"/>
        </w:rPr>
        <w:t>购的单笔最低申购金额调整为人民币</w:t>
      </w:r>
      <w:r>
        <w:rPr>
          <w:rFonts w:ascii="仿宋_GB2312" w:eastAsia="仿宋_GB2312" w:cs="宋体" w:hint="eastAsia"/>
          <w:kern w:val="0"/>
          <w:sz w:val="32"/>
          <w:szCs w:val="32"/>
        </w:rPr>
        <w:t>1</w:t>
      </w:r>
      <w:r>
        <w:rPr>
          <w:rFonts w:ascii="仿宋_GB2312" w:eastAsia="仿宋_GB2312" w:cs="宋体" w:hint="eastAsia"/>
          <w:kern w:val="0"/>
          <w:sz w:val="32"/>
          <w:szCs w:val="32"/>
        </w:rPr>
        <w:t>0</w:t>
      </w:r>
      <w:r>
        <w:rPr>
          <w:rFonts w:ascii="仿宋_GB2312" w:eastAsia="仿宋_GB2312" w:cs="宋体" w:hint="eastAsia"/>
          <w:kern w:val="0"/>
          <w:sz w:val="32"/>
          <w:szCs w:val="32"/>
        </w:rPr>
        <w:t>.00</w:t>
      </w:r>
      <w:r>
        <w:rPr>
          <w:rFonts w:ascii="仿宋_GB2312" w:eastAsia="仿宋_GB2312" w:cs="宋体" w:hint="eastAsia"/>
          <w:kern w:val="0"/>
          <w:sz w:val="32"/>
          <w:szCs w:val="32"/>
        </w:rPr>
        <w:t>元（含申</w:t>
      </w:r>
      <w:r>
        <w:rPr>
          <w:rFonts w:ascii="仿宋_GB2312" w:eastAsia="仿宋_GB2312" w:cs="宋体" w:hint="eastAsia"/>
          <w:kern w:val="0"/>
          <w:sz w:val="32"/>
          <w:szCs w:val="32"/>
        </w:rPr>
        <w:t>、认</w:t>
      </w:r>
      <w:r>
        <w:rPr>
          <w:rFonts w:ascii="仿宋_GB2312" w:eastAsia="仿宋_GB2312" w:cs="宋体" w:hint="eastAsia"/>
          <w:kern w:val="0"/>
          <w:sz w:val="32"/>
          <w:szCs w:val="32"/>
        </w:rPr>
        <w:t>购费），追加申购不设单笔最低限额。基金份额持有人通过</w:t>
      </w:r>
      <w:r>
        <w:rPr>
          <w:rFonts w:ascii="仿宋_GB2312" w:eastAsia="仿宋_GB2312" w:cs="宋体" w:hint="eastAsia"/>
          <w:kern w:val="0"/>
          <w:sz w:val="32"/>
          <w:szCs w:val="32"/>
        </w:rPr>
        <w:t>同花顺</w:t>
      </w:r>
      <w:r>
        <w:rPr>
          <w:rFonts w:ascii="仿宋_GB2312" w:eastAsia="仿宋_GB2312" w:cs="宋体" w:hint="eastAsia"/>
          <w:kern w:val="0"/>
          <w:sz w:val="32"/>
          <w:szCs w:val="32"/>
        </w:rPr>
        <w:t>赎回基金份额，每次赎回申请不得低于</w:t>
      </w:r>
      <w:r>
        <w:rPr>
          <w:rFonts w:ascii="仿宋_GB2312" w:eastAsia="仿宋_GB2312" w:cs="宋体" w:hint="eastAsia"/>
          <w:kern w:val="0"/>
          <w:sz w:val="32"/>
          <w:szCs w:val="32"/>
        </w:rPr>
        <w:t>1</w:t>
      </w:r>
      <w:r>
        <w:rPr>
          <w:rFonts w:ascii="仿宋_GB2312" w:eastAsia="仿宋_GB2312" w:cs="宋体" w:hint="eastAsia"/>
          <w:kern w:val="0"/>
          <w:sz w:val="32"/>
          <w:szCs w:val="32"/>
        </w:rPr>
        <w:t>份基金份</w:t>
      </w:r>
      <w:r>
        <w:rPr>
          <w:rFonts w:ascii="仿宋_GB2312" w:eastAsia="仿宋_GB2312" w:cs="宋体" w:hint="eastAsia"/>
          <w:kern w:val="0"/>
          <w:sz w:val="32"/>
          <w:szCs w:val="32"/>
        </w:rPr>
        <w:t>额。上述基金的每个交易账户最低持有基金份额为</w:t>
      </w:r>
      <w:r>
        <w:rPr>
          <w:rFonts w:ascii="仿宋_GB2312" w:eastAsia="仿宋_GB2312" w:cs="宋体" w:hint="eastAsia"/>
          <w:kern w:val="0"/>
          <w:sz w:val="32"/>
          <w:szCs w:val="32"/>
        </w:rPr>
        <w:t>1</w:t>
      </w:r>
      <w:r>
        <w:rPr>
          <w:rFonts w:ascii="仿宋_GB2312" w:eastAsia="仿宋_GB2312" w:cs="宋体" w:hint="eastAsia"/>
          <w:kern w:val="0"/>
          <w:sz w:val="32"/>
          <w:szCs w:val="32"/>
        </w:rPr>
        <w:t>份，若某笔赎回导致单个交易账户的基金份额余额少于</w:t>
      </w:r>
      <w:r>
        <w:rPr>
          <w:rFonts w:ascii="仿宋_GB2312" w:eastAsia="仿宋_GB2312" w:cs="宋体" w:hint="eastAsia"/>
          <w:kern w:val="0"/>
          <w:sz w:val="32"/>
          <w:szCs w:val="32"/>
        </w:rPr>
        <w:t>1</w:t>
      </w:r>
      <w:r>
        <w:rPr>
          <w:rFonts w:ascii="仿宋_GB2312" w:eastAsia="仿宋_GB2312" w:cs="宋体" w:hint="eastAsia"/>
          <w:kern w:val="0"/>
          <w:sz w:val="32"/>
          <w:szCs w:val="32"/>
        </w:rPr>
        <w:t>份时，余额部分基金份额必须一同赎回。投资人在销售机构办理相关业务时，需遵循销售机构的相关约定。</w:t>
      </w:r>
    </w:p>
    <w:p w:rsidR="00000000" w:rsidRDefault="0027262C">
      <w:pPr>
        <w:numPr>
          <w:ilvl w:val="0"/>
          <w:numId w:val="1"/>
        </w:num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投资者通过</w:t>
      </w:r>
      <w:r>
        <w:rPr>
          <w:rFonts w:ascii="仿宋_GB2312" w:eastAsia="仿宋_GB2312" w:hAnsi="仿宋" w:hint="eastAsia"/>
          <w:sz w:val="32"/>
          <w:szCs w:val="32"/>
        </w:rPr>
        <w:t>同花顺</w:t>
      </w:r>
      <w:r>
        <w:rPr>
          <w:rFonts w:ascii="仿宋_GB2312" w:eastAsia="仿宋_GB2312" w:hAnsi="仿宋" w:hint="eastAsia"/>
          <w:sz w:val="32"/>
          <w:szCs w:val="32"/>
        </w:rPr>
        <w:t>申、认购不设折扣限制，具体折扣费率以</w:t>
      </w:r>
      <w:r>
        <w:rPr>
          <w:rFonts w:ascii="仿宋_GB2312" w:eastAsia="仿宋_GB2312" w:hAnsi="仿宋" w:hint="eastAsia"/>
          <w:sz w:val="32"/>
          <w:szCs w:val="32"/>
        </w:rPr>
        <w:t>同花顺</w:t>
      </w:r>
      <w:r>
        <w:rPr>
          <w:rFonts w:ascii="仿宋_GB2312" w:eastAsia="仿宋_GB2312" w:hAnsi="仿宋" w:hint="eastAsia"/>
          <w:sz w:val="32"/>
          <w:szCs w:val="32"/>
        </w:rPr>
        <w:t>活动为准。基金原费率请详见基金合同、招募说明书（更新）等法律文件，以及本公司发布的最新业务公告。</w:t>
      </w:r>
    </w:p>
    <w:p w:rsidR="00000000" w:rsidRDefault="0027262C">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3</w:t>
      </w:r>
      <w:r>
        <w:rPr>
          <w:rFonts w:ascii="仿宋_GB2312" w:eastAsia="仿宋_GB2312" w:hAnsi="仿宋" w:hint="eastAsia"/>
          <w:sz w:val="32"/>
          <w:szCs w:val="32"/>
        </w:rPr>
        <w:t>、</w:t>
      </w:r>
      <w:r>
        <w:rPr>
          <w:rFonts w:ascii="仿宋_GB2312" w:eastAsia="仿宋_GB2312" w:hAnsi="仿宋" w:hint="eastAsia"/>
          <w:sz w:val="32"/>
          <w:szCs w:val="32"/>
        </w:rPr>
        <w:t>费率优惠期限内，如本公司新增通过</w:t>
      </w:r>
      <w:r>
        <w:rPr>
          <w:rFonts w:ascii="仿宋_GB2312" w:eastAsia="仿宋_GB2312" w:hAnsi="仿宋" w:hint="eastAsia"/>
          <w:sz w:val="32"/>
          <w:szCs w:val="32"/>
        </w:rPr>
        <w:t>同花顺</w:t>
      </w:r>
      <w:r>
        <w:rPr>
          <w:rFonts w:ascii="仿宋_GB2312" w:eastAsia="仿宋_GB2312" w:hAnsi="仿宋" w:hint="eastAsia"/>
          <w:sz w:val="32"/>
          <w:szCs w:val="32"/>
        </w:rPr>
        <w:t>销售的基金产品，则自该基金产品开放申、认购当日起，将同时开通该基金上述优惠活动。费率优惠期限，以</w:t>
      </w:r>
      <w:r>
        <w:rPr>
          <w:rFonts w:ascii="仿宋_GB2312" w:eastAsia="仿宋_GB2312" w:hAnsi="仿宋" w:hint="eastAsia"/>
          <w:sz w:val="32"/>
          <w:szCs w:val="32"/>
        </w:rPr>
        <w:t>同花顺</w:t>
      </w:r>
      <w:r>
        <w:rPr>
          <w:rFonts w:ascii="仿宋_GB2312" w:eastAsia="仿宋_GB2312" w:hAnsi="仿宋" w:hint="eastAsia"/>
          <w:sz w:val="32"/>
          <w:szCs w:val="32"/>
        </w:rPr>
        <w:t>官方网站</w:t>
      </w:r>
      <w:r>
        <w:rPr>
          <w:rFonts w:ascii="仿宋_GB2312" w:eastAsia="仿宋_GB2312" w:hAnsi="仿宋" w:hint="eastAsia"/>
          <w:sz w:val="32"/>
          <w:szCs w:val="32"/>
        </w:rPr>
        <w:lastRenderedPageBreak/>
        <w:t>所示公告为准</w:t>
      </w:r>
      <w:r>
        <w:rPr>
          <w:rFonts w:ascii="仿宋_GB2312" w:eastAsia="仿宋_GB2312" w:hAnsi="仿宋" w:hint="eastAsia"/>
          <w:sz w:val="32"/>
          <w:szCs w:val="32"/>
        </w:rPr>
        <w:t>。</w:t>
      </w:r>
    </w:p>
    <w:p w:rsidR="00000000" w:rsidRDefault="0027262C">
      <w:pPr>
        <w:spacing w:line="360" w:lineRule="auto"/>
        <w:ind w:firstLineChars="200" w:firstLine="640"/>
        <w:rPr>
          <w:rFonts w:ascii="仿宋_GB2312" w:eastAsia="仿宋_GB2312" w:hAnsi="仿宋" w:hint="eastAsia"/>
          <w:sz w:val="32"/>
          <w:szCs w:val="32"/>
        </w:rPr>
      </w:pPr>
    </w:p>
    <w:p w:rsidR="00000000" w:rsidRDefault="0027262C">
      <w:pPr>
        <w:spacing w:line="360" w:lineRule="auto"/>
        <w:jc w:val="left"/>
        <w:rPr>
          <w:rFonts w:ascii="仿宋_GB2312" w:eastAsia="仿宋_GB2312" w:hAnsi="仿宋" w:hint="eastAsia"/>
          <w:sz w:val="32"/>
          <w:szCs w:val="32"/>
        </w:rPr>
      </w:pPr>
      <w:r>
        <w:rPr>
          <w:rFonts w:ascii="仿宋_GB2312" w:eastAsia="仿宋_GB2312" w:hAnsi="仿宋" w:hint="eastAsia"/>
          <w:sz w:val="32"/>
          <w:szCs w:val="32"/>
        </w:rPr>
        <w:t>三、基金定投业务说明</w:t>
      </w:r>
    </w:p>
    <w:p w:rsidR="00000000" w:rsidRDefault="0027262C">
      <w:pPr>
        <w:spacing w:line="360" w:lineRule="auto"/>
        <w:ind w:firstLineChars="200" w:firstLine="640"/>
        <w:jc w:val="left"/>
        <w:rPr>
          <w:rFonts w:ascii="仿宋_GB2312" w:eastAsia="仿宋_GB2312" w:hAnsi="仿宋" w:hint="eastAsia"/>
          <w:sz w:val="32"/>
          <w:szCs w:val="32"/>
        </w:rPr>
      </w:pPr>
      <w:r>
        <w:rPr>
          <w:rFonts w:ascii="仿宋_GB2312" w:eastAsia="仿宋_GB2312" w:hAnsi="仿宋" w:hint="eastAsia"/>
          <w:sz w:val="32"/>
          <w:szCs w:val="32"/>
        </w:rPr>
        <w:t>自</w:t>
      </w:r>
      <w:r>
        <w:rPr>
          <w:rFonts w:ascii="仿宋_GB2312" w:eastAsia="仿宋_GB2312" w:hAnsi="仿宋" w:hint="eastAsia"/>
          <w:sz w:val="32"/>
          <w:szCs w:val="32"/>
        </w:rPr>
        <w:t>2022</w:t>
      </w:r>
      <w:r>
        <w:rPr>
          <w:rFonts w:ascii="仿宋_GB2312" w:eastAsia="仿宋_GB2312" w:hAnsi="仿宋" w:hint="eastAsia"/>
          <w:sz w:val="32"/>
          <w:szCs w:val="32"/>
        </w:rPr>
        <w:t>年</w:t>
      </w:r>
      <w:r>
        <w:rPr>
          <w:rFonts w:ascii="仿宋_GB2312" w:eastAsia="仿宋_GB2312" w:hAnsi="仿宋" w:hint="eastAsia"/>
          <w:sz w:val="32"/>
          <w:szCs w:val="32"/>
        </w:rPr>
        <w:t>11</w:t>
      </w:r>
      <w:r>
        <w:rPr>
          <w:rFonts w:ascii="仿宋_GB2312" w:eastAsia="仿宋_GB2312" w:hAnsi="仿宋" w:hint="eastAsia"/>
          <w:sz w:val="32"/>
          <w:szCs w:val="32"/>
        </w:rPr>
        <w:t>月</w:t>
      </w:r>
      <w:r>
        <w:rPr>
          <w:rFonts w:ascii="仿宋_GB2312" w:eastAsia="仿宋_GB2312" w:hAnsi="仿宋" w:hint="eastAsia"/>
          <w:sz w:val="32"/>
          <w:szCs w:val="32"/>
        </w:rPr>
        <w:t>25</w:t>
      </w:r>
      <w:r>
        <w:rPr>
          <w:rFonts w:ascii="仿宋_GB2312" w:eastAsia="仿宋_GB2312" w:hAnsi="仿宋" w:hint="eastAsia"/>
          <w:sz w:val="32"/>
          <w:szCs w:val="32"/>
        </w:rPr>
        <w:t>日</w:t>
      </w:r>
      <w:r>
        <w:rPr>
          <w:rFonts w:ascii="仿宋_GB2312" w:eastAsia="仿宋_GB2312" w:hAnsi="仿宋" w:hint="eastAsia"/>
          <w:sz w:val="32"/>
          <w:szCs w:val="32"/>
        </w:rPr>
        <w:t>起，投资人可通过</w:t>
      </w:r>
      <w:r>
        <w:rPr>
          <w:rFonts w:ascii="仿宋_GB2312" w:eastAsia="仿宋_GB2312" w:hAnsi="仿宋" w:hint="eastAsia"/>
          <w:sz w:val="32"/>
          <w:szCs w:val="32"/>
        </w:rPr>
        <w:t>同花顺</w:t>
      </w:r>
      <w:r>
        <w:rPr>
          <w:rFonts w:ascii="仿宋_GB2312" w:eastAsia="仿宋_GB2312" w:hAnsi="仿宋" w:hint="eastAsia"/>
          <w:sz w:val="32"/>
          <w:szCs w:val="32"/>
        </w:rPr>
        <w:t>办理</w:t>
      </w:r>
      <w:r>
        <w:rPr>
          <w:rFonts w:ascii="仿宋_GB2312" w:eastAsia="仿宋_GB2312" w:cs="宋体" w:hint="eastAsia"/>
          <w:kern w:val="0"/>
          <w:sz w:val="32"/>
          <w:szCs w:val="32"/>
        </w:rPr>
        <w:t>上述基金</w:t>
      </w:r>
      <w:r>
        <w:rPr>
          <w:rFonts w:ascii="仿宋_GB2312" w:eastAsia="仿宋_GB2312" w:hAnsi="仿宋" w:hint="eastAsia"/>
          <w:sz w:val="32"/>
          <w:szCs w:val="32"/>
        </w:rPr>
        <w:t>定投业务，申请受理时间与本公司管理的基金日常申购业务受理时间相同。</w:t>
      </w:r>
    </w:p>
    <w:p w:rsidR="00000000" w:rsidRDefault="0027262C">
      <w:pPr>
        <w:spacing w:line="360" w:lineRule="auto"/>
        <w:ind w:firstLineChars="200" w:firstLine="640"/>
        <w:jc w:val="left"/>
        <w:rPr>
          <w:rFonts w:ascii="仿宋_GB2312" w:eastAsia="仿宋_GB2312" w:hAnsi="仿宋" w:hint="eastAsia"/>
          <w:sz w:val="32"/>
          <w:szCs w:val="32"/>
        </w:rPr>
      </w:pPr>
      <w:r>
        <w:rPr>
          <w:rFonts w:ascii="仿宋_GB2312" w:eastAsia="仿宋_GB2312" w:hAnsi="仿宋" w:hint="eastAsia"/>
          <w:sz w:val="32"/>
          <w:szCs w:val="32"/>
        </w:rPr>
        <w:t>1.</w:t>
      </w:r>
      <w:r>
        <w:rPr>
          <w:rFonts w:ascii="仿宋_GB2312" w:eastAsia="仿宋_GB2312" w:hAnsi="仿宋" w:hint="eastAsia"/>
          <w:sz w:val="32"/>
          <w:szCs w:val="32"/>
        </w:rPr>
        <w:t>定投规则</w:t>
      </w:r>
    </w:p>
    <w:p w:rsidR="00000000" w:rsidRDefault="0027262C">
      <w:pPr>
        <w:spacing w:line="360" w:lineRule="auto"/>
        <w:ind w:firstLineChars="200" w:firstLine="640"/>
        <w:jc w:val="left"/>
        <w:rPr>
          <w:rFonts w:ascii="仿宋_GB2312" w:eastAsia="仿宋_GB2312" w:hAnsi="仿宋" w:hint="eastAsia"/>
          <w:sz w:val="32"/>
          <w:szCs w:val="32"/>
        </w:rPr>
      </w:pPr>
      <w:r>
        <w:rPr>
          <w:rFonts w:ascii="仿宋_GB2312" w:eastAsia="仿宋_GB2312" w:hAnsi="仿宋" w:hint="eastAsia"/>
          <w:sz w:val="32"/>
          <w:szCs w:val="32"/>
        </w:rPr>
        <w:t>投资人在办理基金定投业务时可自行约定每期扣款时间及固定的投资金额（即申购金额），每期申购金额不得低于人民币</w:t>
      </w:r>
      <w:r>
        <w:rPr>
          <w:rFonts w:ascii="仿宋_GB2312" w:eastAsia="仿宋_GB2312" w:hAnsi="仿宋" w:hint="eastAsia"/>
          <w:sz w:val="32"/>
          <w:szCs w:val="32"/>
        </w:rPr>
        <w:t>1</w:t>
      </w:r>
      <w:r>
        <w:rPr>
          <w:rFonts w:ascii="仿宋_GB2312" w:eastAsia="仿宋_GB2312" w:hAnsi="仿宋" w:hint="eastAsia"/>
          <w:sz w:val="32"/>
          <w:szCs w:val="32"/>
        </w:rPr>
        <w:t>0</w:t>
      </w:r>
      <w:r>
        <w:rPr>
          <w:rFonts w:ascii="仿宋_GB2312" w:eastAsia="仿宋_GB2312" w:hAnsi="仿宋" w:hint="eastAsia"/>
          <w:sz w:val="32"/>
          <w:szCs w:val="32"/>
        </w:rPr>
        <w:t>元，交易级差以销售机构的业务规定为准。</w:t>
      </w:r>
      <w:r>
        <w:rPr>
          <w:rFonts w:ascii="仿宋_GB2312" w:eastAsia="仿宋_GB2312" w:hAnsi="仿宋" w:hint="eastAsia"/>
          <w:sz w:val="32"/>
          <w:szCs w:val="32"/>
        </w:rPr>
        <w:br/>
      </w:r>
      <w:r>
        <w:rPr>
          <w:rFonts w:ascii="仿宋_GB2312" w:eastAsia="仿宋_GB2312" w:hAnsi="仿宋" w:hint="eastAsia"/>
          <w:sz w:val="32"/>
          <w:szCs w:val="32"/>
        </w:rPr>
        <w:t xml:space="preserve">    </w:t>
      </w:r>
      <w:r>
        <w:rPr>
          <w:rFonts w:ascii="仿宋_GB2312" w:eastAsia="仿宋_GB2312" w:hAnsi="仿宋" w:hint="eastAsia"/>
          <w:sz w:val="32"/>
          <w:szCs w:val="32"/>
        </w:rPr>
        <w:t>在今后的业务开展过程中，</w:t>
      </w:r>
      <w:r>
        <w:rPr>
          <w:rFonts w:ascii="仿宋_GB2312" w:eastAsia="仿宋_GB2312" w:hAnsi="仿宋" w:hint="eastAsia"/>
          <w:sz w:val="32"/>
          <w:szCs w:val="32"/>
        </w:rPr>
        <w:t>同花顺</w:t>
      </w:r>
      <w:r>
        <w:rPr>
          <w:rFonts w:ascii="仿宋_GB2312" w:eastAsia="仿宋_GB2312" w:hAnsi="仿宋" w:hint="eastAsia"/>
          <w:sz w:val="32"/>
          <w:szCs w:val="32"/>
        </w:rPr>
        <w:t>对最低定投金额的规定发生变化的，适用</w:t>
      </w:r>
      <w:r>
        <w:rPr>
          <w:rFonts w:ascii="仿宋_GB2312" w:eastAsia="仿宋_GB2312" w:hAnsi="仿宋" w:hint="eastAsia"/>
          <w:sz w:val="32"/>
          <w:szCs w:val="32"/>
        </w:rPr>
        <w:t>同花顺</w:t>
      </w:r>
      <w:r>
        <w:rPr>
          <w:rFonts w:ascii="仿宋_GB2312" w:eastAsia="仿宋_GB2312" w:hAnsi="仿宋" w:hint="eastAsia"/>
          <w:sz w:val="32"/>
          <w:szCs w:val="32"/>
        </w:rPr>
        <w:t>的最新规定。</w:t>
      </w:r>
    </w:p>
    <w:p w:rsidR="00000000" w:rsidRDefault="0027262C">
      <w:pPr>
        <w:spacing w:line="360" w:lineRule="auto"/>
        <w:ind w:firstLineChars="200" w:firstLine="640"/>
        <w:jc w:val="left"/>
        <w:rPr>
          <w:rFonts w:ascii="仿宋_GB2312" w:eastAsia="仿宋_GB2312" w:hAnsi="仿宋" w:hint="eastAsia"/>
          <w:sz w:val="32"/>
          <w:szCs w:val="32"/>
        </w:rPr>
      </w:pPr>
      <w:r>
        <w:rPr>
          <w:rFonts w:ascii="仿宋_GB2312" w:eastAsia="仿宋_GB2312" w:hAnsi="仿宋" w:hint="eastAsia"/>
          <w:sz w:val="32"/>
          <w:szCs w:val="32"/>
        </w:rPr>
        <w:t>2</w:t>
      </w:r>
      <w:r>
        <w:rPr>
          <w:rFonts w:ascii="仿宋_GB2312" w:eastAsia="仿宋_GB2312" w:hAnsi="仿宋" w:hint="eastAsia"/>
          <w:sz w:val="32"/>
          <w:szCs w:val="32"/>
        </w:rPr>
        <w:t>.</w:t>
      </w:r>
      <w:r>
        <w:rPr>
          <w:rFonts w:ascii="仿宋_GB2312" w:eastAsia="仿宋_GB2312" w:hAnsi="仿宋" w:hint="eastAsia"/>
          <w:sz w:val="32"/>
          <w:szCs w:val="32"/>
        </w:rPr>
        <w:t>定投费率</w:t>
      </w:r>
      <w:r>
        <w:rPr>
          <w:rFonts w:ascii="仿宋_GB2312" w:eastAsia="仿宋_GB2312" w:hAnsi="仿宋" w:hint="eastAsia"/>
          <w:sz w:val="32"/>
          <w:szCs w:val="32"/>
        </w:rPr>
        <w:br/>
      </w:r>
      <w:r>
        <w:rPr>
          <w:rFonts w:ascii="仿宋_GB2312" w:eastAsia="仿宋_GB2312" w:hAnsi="仿宋" w:hint="eastAsia"/>
          <w:sz w:val="32"/>
          <w:szCs w:val="32"/>
        </w:rPr>
        <w:t xml:space="preserve">    </w:t>
      </w:r>
      <w:r>
        <w:rPr>
          <w:rFonts w:ascii="仿宋_GB2312" w:eastAsia="仿宋_GB2312" w:hAnsi="仿宋" w:hint="eastAsia"/>
          <w:sz w:val="32"/>
          <w:szCs w:val="32"/>
        </w:rPr>
        <w:t>基金定投业务的申购费率、计费方式以</w:t>
      </w:r>
      <w:r>
        <w:rPr>
          <w:rFonts w:ascii="仿宋_GB2312" w:eastAsia="仿宋_GB2312" w:hAnsi="仿宋" w:hint="eastAsia"/>
          <w:sz w:val="32"/>
          <w:szCs w:val="32"/>
        </w:rPr>
        <w:t>同花顺</w:t>
      </w:r>
      <w:r>
        <w:rPr>
          <w:rFonts w:ascii="仿宋_GB2312" w:eastAsia="仿宋_GB2312" w:hAnsi="仿宋" w:hint="eastAsia"/>
          <w:sz w:val="32"/>
          <w:szCs w:val="32"/>
        </w:rPr>
        <w:t>公告为准。</w:t>
      </w:r>
      <w:r>
        <w:rPr>
          <w:rFonts w:ascii="仿宋_GB2312" w:eastAsia="仿宋_GB2312" w:hAnsi="仿宋" w:hint="eastAsia"/>
          <w:sz w:val="32"/>
          <w:szCs w:val="32"/>
        </w:rPr>
        <w:br/>
      </w:r>
      <w:r>
        <w:rPr>
          <w:rFonts w:ascii="仿宋_GB2312" w:eastAsia="仿宋_GB2312" w:hAnsi="仿宋" w:hint="eastAsia"/>
          <w:sz w:val="32"/>
          <w:szCs w:val="32"/>
        </w:rPr>
        <w:t xml:space="preserve">   </w:t>
      </w:r>
      <w:r>
        <w:rPr>
          <w:rFonts w:ascii="仿宋_GB2312" w:eastAsia="仿宋_GB2312" w:hAnsi="仿宋" w:hint="eastAsia"/>
          <w:sz w:val="32"/>
          <w:szCs w:val="32"/>
        </w:rPr>
        <w:t xml:space="preserve"> 3.</w:t>
      </w:r>
      <w:r>
        <w:rPr>
          <w:rFonts w:ascii="仿宋_GB2312" w:eastAsia="仿宋_GB2312" w:hAnsi="仿宋" w:hint="eastAsia"/>
          <w:sz w:val="32"/>
          <w:szCs w:val="32"/>
        </w:rPr>
        <w:t>办理时间</w:t>
      </w:r>
    </w:p>
    <w:p w:rsidR="00000000" w:rsidRDefault="0027262C">
      <w:pPr>
        <w:spacing w:line="360" w:lineRule="auto"/>
        <w:ind w:firstLineChars="200" w:firstLine="640"/>
        <w:jc w:val="left"/>
        <w:rPr>
          <w:rFonts w:ascii="仿宋_GB2312" w:eastAsia="仿宋_GB2312" w:hAnsi="仿宋"/>
          <w:sz w:val="32"/>
          <w:szCs w:val="32"/>
        </w:rPr>
      </w:pPr>
      <w:r>
        <w:rPr>
          <w:rFonts w:ascii="仿宋_GB2312" w:eastAsia="仿宋_GB2312" w:hAnsi="仿宋" w:hint="eastAsia"/>
          <w:sz w:val="32"/>
          <w:szCs w:val="32"/>
        </w:rPr>
        <w:t>基金</w:t>
      </w:r>
      <w:r>
        <w:rPr>
          <w:rFonts w:ascii="仿宋_GB2312" w:eastAsia="仿宋_GB2312" w:hAnsi="仿宋" w:hint="eastAsia"/>
          <w:sz w:val="32"/>
          <w:szCs w:val="32"/>
        </w:rPr>
        <w:t>定投业务的申请受理时间与本公司管理的基金日常申购业务受理时间相同。</w:t>
      </w:r>
      <w:r>
        <w:rPr>
          <w:rFonts w:ascii="仿宋_GB2312" w:eastAsia="仿宋_GB2312" w:hAnsi="仿宋" w:hint="eastAsia"/>
          <w:sz w:val="32"/>
          <w:szCs w:val="32"/>
        </w:rPr>
        <w:br/>
      </w:r>
      <w:r>
        <w:rPr>
          <w:rFonts w:ascii="仿宋_GB2312" w:eastAsia="仿宋_GB2312" w:hAnsi="仿宋" w:hint="eastAsia"/>
          <w:sz w:val="32"/>
          <w:szCs w:val="32"/>
        </w:rPr>
        <w:t xml:space="preserve">   </w:t>
      </w:r>
      <w:r>
        <w:rPr>
          <w:rFonts w:ascii="仿宋_GB2312" w:eastAsia="仿宋_GB2312" w:hAnsi="仿宋" w:hint="eastAsia"/>
          <w:sz w:val="32"/>
          <w:szCs w:val="32"/>
        </w:rPr>
        <w:t xml:space="preserve"> 4.</w:t>
      </w:r>
      <w:r>
        <w:rPr>
          <w:rFonts w:ascii="仿宋_GB2312" w:eastAsia="仿宋_GB2312" w:hAnsi="仿宋" w:hint="eastAsia"/>
          <w:sz w:val="32"/>
          <w:szCs w:val="32"/>
        </w:rPr>
        <w:t>交易确认</w:t>
      </w:r>
      <w:r>
        <w:rPr>
          <w:rFonts w:ascii="仿宋_GB2312" w:eastAsia="仿宋_GB2312" w:hAnsi="仿宋" w:hint="eastAsia"/>
          <w:sz w:val="32"/>
          <w:szCs w:val="32"/>
        </w:rPr>
        <w:br/>
      </w:r>
      <w:r>
        <w:rPr>
          <w:rFonts w:ascii="仿宋_GB2312" w:eastAsia="仿宋_GB2312" w:hAnsi="仿宋" w:hint="eastAsia"/>
          <w:sz w:val="32"/>
          <w:szCs w:val="32"/>
        </w:rPr>
        <w:t xml:space="preserve">   </w:t>
      </w:r>
      <w:r>
        <w:rPr>
          <w:rFonts w:ascii="仿宋_GB2312" w:eastAsia="仿宋_GB2312" w:hAnsi="仿宋"/>
          <w:sz w:val="32"/>
          <w:szCs w:val="32"/>
        </w:rPr>
        <w:t>上述基金，每期实际扣款日即为基金申购申请日，并以该日</w:t>
      </w:r>
      <w:r>
        <w:rPr>
          <w:rFonts w:ascii="仿宋_GB2312" w:eastAsia="仿宋_GB2312" w:hAnsi="仿宋"/>
          <w:sz w:val="32"/>
          <w:szCs w:val="32"/>
        </w:rPr>
        <w:t xml:space="preserve">(T </w:t>
      </w:r>
      <w:r>
        <w:rPr>
          <w:rFonts w:ascii="仿宋_GB2312" w:eastAsia="仿宋_GB2312" w:hAnsi="仿宋"/>
          <w:sz w:val="32"/>
          <w:szCs w:val="32"/>
        </w:rPr>
        <w:t>日</w:t>
      </w:r>
      <w:r>
        <w:rPr>
          <w:rFonts w:ascii="仿宋_GB2312" w:eastAsia="仿宋_GB2312" w:hAnsi="仿宋"/>
          <w:sz w:val="32"/>
          <w:szCs w:val="32"/>
        </w:rPr>
        <w:t>)</w:t>
      </w:r>
      <w:r>
        <w:rPr>
          <w:rFonts w:ascii="仿宋_GB2312" w:eastAsia="仿宋_GB2312" w:hAnsi="仿宋"/>
          <w:sz w:val="32"/>
          <w:szCs w:val="32"/>
        </w:rPr>
        <w:t>的基金份额净值为基准计算申购份额，申购份额将在</w:t>
      </w:r>
      <w:r>
        <w:rPr>
          <w:rFonts w:ascii="仿宋_GB2312" w:eastAsia="仿宋_GB2312" w:hAnsi="仿宋"/>
          <w:sz w:val="32"/>
          <w:szCs w:val="32"/>
        </w:rPr>
        <w:t>T</w:t>
      </w:r>
      <w:r>
        <w:rPr>
          <w:rFonts w:ascii="仿宋_GB2312" w:eastAsia="仿宋_GB2312" w:hAnsi="仿宋"/>
          <w:sz w:val="32"/>
          <w:szCs w:val="32"/>
        </w:rPr>
        <w:t>＋</w:t>
      </w:r>
      <w:r>
        <w:rPr>
          <w:rFonts w:ascii="仿宋_GB2312" w:eastAsia="仿宋_GB2312" w:hAnsi="仿宋"/>
          <w:sz w:val="32"/>
          <w:szCs w:val="32"/>
        </w:rPr>
        <w:t>1</w:t>
      </w:r>
      <w:r>
        <w:rPr>
          <w:rFonts w:ascii="仿宋_GB2312" w:eastAsia="仿宋_GB2312" w:hAnsi="仿宋"/>
          <w:sz w:val="32"/>
          <w:szCs w:val="32"/>
        </w:rPr>
        <w:t>工作日确认成功后直接计入投资人的基金账户内。基金份额确认查询和赎回起始日为</w:t>
      </w:r>
      <w:r>
        <w:rPr>
          <w:rFonts w:ascii="仿宋_GB2312" w:eastAsia="仿宋_GB2312" w:hAnsi="仿宋"/>
          <w:sz w:val="32"/>
          <w:szCs w:val="32"/>
        </w:rPr>
        <w:t>T</w:t>
      </w:r>
      <w:r>
        <w:rPr>
          <w:rFonts w:ascii="仿宋_GB2312" w:eastAsia="仿宋_GB2312" w:hAnsi="仿宋"/>
          <w:sz w:val="32"/>
          <w:szCs w:val="32"/>
        </w:rPr>
        <w:t>＋</w:t>
      </w:r>
      <w:r>
        <w:rPr>
          <w:rFonts w:ascii="仿宋_GB2312" w:eastAsia="仿宋_GB2312" w:hAnsi="仿宋"/>
          <w:sz w:val="32"/>
          <w:szCs w:val="32"/>
        </w:rPr>
        <w:t>2</w:t>
      </w:r>
      <w:r>
        <w:rPr>
          <w:rFonts w:ascii="仿宋_GB2312" w:eastAsia="仿宋_GB2312" w:hAnsi="仿宋"/>
          <w:sz w:val="32"/>
          <w:szCs w:val="32"/>
        </w:rPr>
        <w:t>工作日。</w:t>
      </w:r>
    </w:p>
    <w:p w:rsidR="00000000" w:rsidRDefault="0027262C">
      <w:pPr>
        <w:spacing w:line="360" w:lineRule="auto"/>
        <w:ind w:firstLineChars="200" w:firstLine="640"/>
        <w:rPr>
          <w:rFonts w:ascii="仿宋_GB2312" w:eastAsia="仿宋_GB2312" w:hAnsi="仿宋" w:hint="eastAsia"/>
          <w:sz w:val="32"/>
          <w:szCs w:val="32"/>
        </w:rPr>
      </w:pPr>
      <w:r>
        <w:rPr>
          <w:rFonts w:ascii="仿宋_GB2312" w:eastAsia="仿宋_GB2312" w:hAnsi="仿宋"/>
          <w:sz w:val="32"/>
          <w:szCs w:val="32"/>
        </w:rPr>
        <w:t>销售机构对申购申请的受理并不代表申请一定成功，而仅代表销售机构确实接收到该申购申请。申购申请的确认以登记机构的确认结果为准。对于申请的确认情况，投资人应及时查询并妥善行使合法权利。若申购不成功或无效，则申购款项本</w:t>
      </w:r>
      <w:r>
        <w:rPr>
          <w:rFonts w:ascii="仿宋_GB2312" w:eastAsia="仿宋_GB2312" w:hAnsi="仿宋"/>
          <w:sz w:val="32"/>
          <w:szCs w:val="32"/>
        </w:rPr>
        <w:t>金退还给投资人。</w:t>
      </w:r>
      <w:r>
        <w:rPr>
          <w:rFonts w:ascii="仿宋_GB2312" w:eastAsia="仿宋_GB2312" w:hAnsi="仿宋" w:hint="eastAsia"/>
          <w:sz w:val="32"/>
          <w:szCs w:val="32"/>
        </w:rPr>
        <w:br/>
      </w:r>
      <w:r>
        <w:rPr>
          <w:rFonts w:ascii="仿宋_GB2312" w:eastAsia="仿宋_GB2312" w:hAnsi="仿宋"/>
          <w:sz w:val="32"/>
          <w:szCs w:val="32"/>
        </w:rPr>
        <w:t xml:space="preserve">   </w:t>
      </w:r>
      <w:r>
        <w:rPr>
          <w:rFonts w:ascii="仿宋_GB2312" w:eastAsia="仿宋_GB2312" w:hAnsi="仿宋"/>
          <w:sz w:val="32"/>
          <w:szCs w:val="32"/>
        </w:rPr>
        <w:t>申购以金额申请，遵循</w:t>
      </w:r>
      <w:r>
        <w:rPr>
          <w:rFonts w:ascii="仿宋_GB2312" w:eastAsia="仿宋_GB2312" w:hAnsi="仿宋"/>
          <w:sz w:val="32"/>
          <w:szCs w:val="32"/>
        </w:rPr>
        <w:t>“</w:t>
      </w:r>
      <w:r>
        <w:rPr>
          <w:rFonts w:ascii="仿宋_GB2312" w:eastAsia="仿宋_GB2312" w:hAnsi="仿宋"/>
          <w:sz w:val="32"/>
          <w:szCs w:val="32"/>
        </w:rPr>
        <w:t>未知价</w:t>
      </w:r>
      <w:r>
        <w:rPr>
          <w:rFonts w:ascii="仿宋_GB2312" w:eastAsia="仿宋_GB2312" w:hAnsi="仿宋"/>
          <w:sz w:val="32"/>
          <w:szCs w:val="32"/>
        </w:rPr>
        <w:t>”</w:t>
      </w:r>
      <w:r>
        <w:rPr>
          <w:rFonts w:ascii="仿宋_GB2312" w:eastAsia="仿宋_GB2312" w:hAnsi="仿宋"/>
          <w:sz w:val="32"/>
          <w:szCs w:val="32"/>
        </w:rPr>
        <w:t>原则，即申购价格以申请当日的基金份额净值为基准进行计算。</w:t>
      </w:r>
      <w:r>
        <w:rPr>
          <w:rFonts w:ascii="仿宋_GB2312" w:eastAsia="仿宋_GB2312" w:hAnsi="仿宋" w:hint="eastAsia"/>
          <w:sz w:val="32"/>
          <w:szCs w:val="32"/>
        </w:rPr>
        <w:br/>
      </w:r>
      <w:r>
        <w:rPr>
          <w:rFonts w:ascii="仿宋_GB2312" w:eastAsia="仿宋_GB2312" w:hAnsi="仿宋"/>
          <w:sz w:val="32"/>
          <w:szCs w:val="32"/>
        </w:rPr>
        <w:t xml:space="preserve">   </w:t>
      </w:r>
      <w:r>
        <w:rPr>
          <w:rFonts w:ascii="仿宋_GB2312" w:eastAsia="仿宋_GB2312" w:hAnsi="仿宋"/>
          <w:sz w:val="32"/>
          <w:szCs w:val="32"/>
        </w:rPr>
        <w:t>投资人在提交申购申请时须按销售机构规定的方式备足申购资金，否则所提交的申购申请不成立。</w:t>
      </w:r>
      <w:r>
        <w:rPr>
          <w:rFonts w:ascii="仿宋_GB2312" w:eastAsia="仿宋_GB2312" w:hAnsi="仿宋" w:hint="eastAsia"/>
          <w:sz w:val="32"/>
          <w:szCs w:val="32"/>
        </w:rPr>
        <w:br/>
      </w:r>
      <w:r>
        <w:rPr>
          <w:rFonts w:ascii="仿宋_GB2312" w:eastAsia="仿宋_GB2312" w:hAnsi="仿宋"/>
          <w:sz w:val="32"/>
          <w:szCs w:val="32"/>
        </w:rPr>
        <w:t xml:space="preserve">   </w:t>
      </w:r>
      <w:r>
        <w:rPr>
          <w:rFonts w:ascii="仿宋_GB2312" w:eastAsia="仿宋_GB2312" w:hAnsi="仿宋"/>
          <w:sz w:val="32"/>
          <w:szCs w:val="32"/>
        </w:rPr>
        <w:t>当日的申购申请可以在基金管理人规定的时间以内撤销。</w:t>
      </w:r>
    </w:p>
    <w:p w:rsidR="00000000" w:rsidRDefault="0027262C">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重要提示</w:t>
      </w:r>
    </w:p>
    <w:p w:rsidR="00000000" w:rsidRDefault="0027262C">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1.</w:t>
      </w:r>
      <w:r>
        <w:rPr>
          <w:rFonts w:ascii="仿宋_GB2312" w:eastAsia="仿宋_GB2312" w:hAnsi="仿宋" w:hint="eastAsia"/>
          <w:sz w:val="32"/>
          <w:szCs w:val="32"/>
        </w:rPr>
        <w:t>本优惠活动仅适用于本公司产品在同花顺处于正常申购期的基金产品的前端收费模式的申购费及处于基金募集期的基金认购费。</w:t>
      </w:r>
    </w:p>
    <w:p w:rsidR="00000000" w:rsidRDefault="0027262C">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2.</w:t>
      </w:r>
      <w:r>
        <w:rPr>
          <w:rFonts w:ascii="仿宋_GB2312" w:eastAsia="仿宋_GB2312" w:hAnsi="仿宋" w:hint="eastAsia"/>
          <w:sz w:val="32"/>
          <w:szCs w:val="32"/>
        </w:rPr>
        <w:t>本优惠活动仅适用于本公司产品在同花顺申、认购业务的费用，不包括基金赎回、转换业务等其他业务的费用。</w:t>
      </w:r>
    </w:p>
    <w:p w:rsidR="00000000" w:rsidRDefault="0027262C">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3.</w:t>
      </w:r>
      <w:r>
        <w:rPr>
          <w:rFonts w:ascii="仿宋_GB2312" w:eastAsia="仿宋_GB2312" w:hAnsi="仿宋" w:hint="eastAsia"/>
          <w:sz w:val="32"/>
          <w:szCs w:val="32"/>
        </w:rPr>
        <w:t>费率优惠活动</w:t>
      </w:r>
      <w:r>
        <w:rPr>
          <w:rFonts w:ascii="仿宋_GB2312" w:eastAsia="仿宋_GB2312" w:hAnsi="仿宋" w:hint="eastAsia"/>
          <w:sz w:val="32"/>
          <w:szCs w:val="32"/>
        </w:rPr>
        <w:t>解释权同花顺所有，有关优惠活动的具体规定如有变化，敬请投资者留意前述销售机构的有关公告。</w:t>
      </w:r>
    </w:p>
    <w:p w:rsidR="00000000" w:rsidRDefault="0027262C">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4.</w:t>
      </w:r>
      <w:r>
        <w:rPr>
          <w:rFonts w:ascii="仿宋_GB2312" w:eastAsia="仿宋_GB2312" w:hAnsi="仿宋" w:hint="eastAsia"/>
          <w:sz w:val="32"/>
          <w:szCs w:val="32"/>
        </w:rPr>
        <w:t>费率优惠活动期间，业务办理的流程以同花顺的规定为准。投资者欲了解基金产品的详细情况，请仔细阅读基金的基金合同、招募说明书等法律文件。</w:t>
      </w:r>
    </w:p>
    <w:p w:rsidR="00000000" w:rsidRDefault="0027262C">
      <w:pPr>
        <w:spacing w:line="360" w:lineRule="auto"/>
        <w:ind w:firstLineChars="200" w:firstLine="640"/>
        <w:rPr>
          <w:rFonts w:ascii="仿宋_GB2312" w:eastAsia="仿宋_GB2312" w:hAnsi="仿宋" w:hint="eastAsia"/>
          <w:sz w:val="32"/>
          <w:szCs w:val="32"/>
        </w:rPr>
      </w:pPr>
    </w:p>
    <w:p w:rsidR="00000000" w:rsidRDefault="0027262C">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投资者也可以通过以下途径咨询有关情况：</w:t>
      </w:r>
    </w:p>
    <w:p w:rsidR="00000000" w:rsidRDefault="0027262C">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1</w:t>
      </w:r>
      <w:r>
        <w:rPr>
          <w:rFonts w:ascii="仿宋_GB2312" w:eastAsia="仿宋_GB2312" w:hAnsi="仿宋" w:hint="eastAsia"/>
          <w:sz w:val="32"/>
          <w:szCs w:val="32"/>
        </w:rPr>
        <w:t>、</w:t>
      </w:r>
      <w:r>
        <w:rPr>
          <w:rFonts w:ascii="仿宋_GB2312" w:eastAsia="仿宋_GB2312" w:hAnsi="仿宋" w:hint="eastAsia"/>
          <w:sz w:val="32"/>
          <w:szCs w:val="32"/>
        </w:rPr>
        <w:t>同花顺销售有限公司</w:t>
      </w:r>
    </w:p>
    <w:p w:rsidR="00000000" w:rsidRDefault="0027262C">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客户服务热线：</w:t>
      </w:r>
      <w:r>
        <w:rPr>
          <w:rFonts w:ascii="仿宋_GB2312" w:eastAsia="仿宋_GB2312" w:hAnsi="仿宋" w:hint="eastAsia"/>
          <w:sz w:val="32"/>
          <w:szCs w:val="32"/>
        </w:rPr>
        <w:t>952555</w:t>
      </w:r>
    </w:p>
    <w:p w:rsidR="00000000" w:rsidRDefault="0027262C">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公司网址：</w:t>
      </w:r>
      <w:r>
        <w:rPr>
          <w:rFonts w:ascii="仿宋_GB2312" w:eastAsia="仿宋_GB2312" w:hAnsi="仿宋" w:hint="eastAsia"/>
          <w:sz w:val="32"/>
          <w:szCs w:val="32"/>
        </w:rPr>
        <w:t>www.ijijin.com.cn</w:t>
      </w:r>
    </w:p>
    <w:p w:rsidR="00000000" w:rsidRDefault="0027262C">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2</w:t>
      </w:r>
      <w:r>
        <w:rPr>
          <w:rFonts w:ascii="仿宋_GB2312" w:eastAsia="仿宋_GB2312" w:hAnsi="仿宋" w:hint="eastAsia"/>
          <w:sz w:val="32"/>
          <w:szCs w:val="32"/>
        </w:rPr>
        <w:t>、浙江浙商证券资产管理有限公司</w:t>
      </w:r>
    </w:p>
    <w:p w:rsidR="00000000" w:rsidRDefault="0027262C">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客户服务热线：</w:t>
      </w:r>
      <w:r>
        <w:rPr>
          <w:rFonts w:ascii="仿宋_GB2312" w:eastAsia="仿宋_GB2312" w:hAnsi="仿宋" w:hint="eastAsia"/>
          <w:sz w:val="32"/>
          <w:szCs w:val="32"/>
        </w:rPr>
        <w:t>95345</w:t>
      </w:r>
    </w:p>
    <w:p w:rsidR="00000000" w:rsidRDefault="0027262C">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公司网址：</w:t>
      </w:r>
      <w:hyperlink r:id="rId5" w:history="1">
        <w:r>
          <w:rPr>
            <w:rFonts w:ascii="仿宋_GB2312" w:eastAsia="仿宋_GB2312" w:hAnsi="仿宋" w:hint="eastAsia"/>
            <w:sz w:val="32"/>
            <w:szCs w:val="32"/>
          </w:rPr>
          <w:t>www.stocke.com.cn</w:t>
        </w:r>
      </w:hyperlink>
    </w:p>
    <w:p w:rsidR="00000000" w:rsidRDefault="0027262C">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风险提示：本公司承诺以诚实信用、勤勉尽责的原则管理和运用基金资产，但不保证基金一定盈利，也不保证最低收益。投资人投资于本公司旗下基金时应认真阅读各基金的基金合同、招募说明书。敬请投资人注意投资风险。</w:t>
      </w:r>
    </w:p>
    <w:p w:rsidR="00000000" w:rsidRDefault="0027262C">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本公告的解释权归浙江浙商证券资产管理有限公司。</w:t>
      </w:r>
    </w:p>
    <w:p w:rsidR="00000000" w:rsidRDefault="0027262C">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特此公告。</w:t>
      </w:r>
    </w:p>
    <w:p w:rsidR="00000000" w:rsidRDefault="0027262C">
      <w:pPr>
        <w:spacing w:line="360" w:lineRule="auto"/>
        <w:ind w:firstLineChars="200" w:firstLine="640"/>
        <w:rPr>
          <w:rFonts w:ascii="仿宋_GB2312" w:eastAsia="仿宋_GB2312" w:hAnsi="仿宋" w:hint="eastAsia"/>
          <w:sz w:val="32"/>
          <w:szCs w:val="32"/>
        </w:rPr>
      </w:pPr>
    </w:p>
    <w:p w:rsidR="00000000" w:rsidRDefault="0027262C">
      <w:pPr>
        <w:widowControl/>
        <w:ind w:firstLineChars="200" w:firstLine="640"/>
        <w:jc w:val="left"/>
        <w:rPr>
          <w:rFonts w:ascii="仿宋_GB2312" w:eastAsia="仿宋_GB2312" w:cs="宋体" w:hint="eastAsia"/>
          <w:kern w:val="0"/>
          <w:sz w:val="32"/>
          <w:szCs w:val="32"/>
        </w:rPr>
      </w:pPr>
      <w:r>
        <w:rPr>
          <w:rFonts w:ascii="仿宋_GB2312" w:eastAsia="仿宋_GB2312" w:cs="宋体" w:hint="eastAsia"/>
          <w:kern w:val="0"/>
          <w:sz w:val="32"/>
          <w:szCs w:val="32"/>
        </w:rPr>
        <w:t xml:space="preserve"> </w:t>
      </w:r>
    </w:p>
    <w:p w:rsidR="00000000" w:rsidRDefault="0027262C">
      <w:pPr>
        <w:widowControl/>
        <w:ind w:firstLineChars="1100" w:firstLine="3520"/>
        <w:jc w:val="left"/>
        <w:rPr>
          <w:rFonts w:ascii="仿宋_GB2312" w:eastAsia="仿宋_GB2312" w:cs="宋体" w:hint="eastAsia"/>
          <w:kern w:val="0"/>
          <w:sz w:val="32"/>
          <w:szCs w:val="32"/>
        </w:rPr>
      </w:pPr>
      <w:r>
        <w:rPr>
          <w:rFonts w:ascii="仿宋_GB2312" w:eastAsia="仿宋_GB2312" w:cs="宋体" w:hint="eastAsia"/>
          <w:kern w:val="0"/>
          <w:sz w:val="32"/>
          <w:szCs w:val="32"/>
        </w:rPr>
        <w:t>浙江浙商证券资产管理有限公司</w:t>
      </w:r>
    </w:p>
    <w:p w:rsidR="00000000" w:rsidRDefault="0027262C">
      <w:pPr>
        <w:widowControl/>
        <w:ind w:firstLineChars="1100" w:firstLine="3520"/>
        <w:jc w:val="left"/>
        <w:rPr>
          <w:rFonts w:ascii="仿宋_GB2312" w:eastAsia="仿宋_GB2312" w:cs="宋体"/>
          <w:kern w:val="0"/>
          <w:sz w:val="32"/>
          <w:szCs w:val="32"/>
        </w:rPr>
      </w:pPr>
      <w:r>
        <w:rPr>
          <w:rFonts w:ascii="仿宋_GB2312" w:eastAsia="仿宋_GB2312" w:cs="宋体" w:hint="eastAsia"/>
          <w:kern w:val="0"/>
          <w:sz w:val="32"/>
          <w:szCs w:val="32"/>
        </w:rPr>
        <w:t>202</w:t>
      </w:r>
      <w:r>
        <w:rPr>
          <w:rFonts w:ascii="仿宋_GB2312" w:eastAsia="仿宋_GB2312" w:cs="宋体" w:hint="eastAsia"/>
          <w:kern w:val="0"/>
          <w:sz w:val="32"/>
          <w:szCs w:val="32"/>
        </w:rPr>
        <w:t>2</w:t>
      </w:r>
      <w:r>
        <w:rPr>
          <w:rFonts w:ascii="仿宋_GB2312" w:eastAsia="仿宋_GB2312" w:cs="宋体" w:hint="eastAsia"/>
          <w:kern w:val="0"/>
          <w:sz w:val="32"/>
          <w:szCs w:val="32"/>
        </w:rPr>
        <w:t>年</w:t>
      </w:r>
      <w:r>
        <w:rPr>
          <w:rFonts w:ascii="仿宋_GB2312" w:eastAsia="仿宋_GB2312" w:cs="宋体" w:hint="eastAsia"/>
          <w:kern w:val="0"/>
          <w:sz w:val="32"/>
          <w:szCs w:val="32"/>
        </w:rPr>
        <w:t>11</w:t>
      </w:r>
      <w:r>
        <w:rPr>
          <w:rFonts w:ascii="仿宋_GB2312" w:eastAsia="仿宋_GB2312" w:cs="宋体" w:hint="eastAsia"/>
          <w:kern w:val="0"/>
          <w:sz w:val="32"/>
          <w:szCs w:val="32"/>
        </w:rPr>
        <w:t>月</w:t>
      </w:r>
      <w:r>
        <w:rPr>
          <w:rFonts w:ascii="仿宋_GB2312" w:eastAsia="仿宋_GB2312" w:cs="宋体" w:hint="eastAsia"/>
          <w:kern w:val="0"/>
          <w:sz w:val="32"/>
          <w:szCs w:val="32"/>
        </w:rPr>
        <w:t>25</w:t>
      </w:r>
      <w:r>
        <w:rPr>
          <w:rFonts w:ascii="仿宋_GB2312" w:eastAsia="仿宋_GB2312" w:cs="宋体" w:hint="eastAsia"/>
          <w:kern w:val="0"/>
          <w:sz w:val="32"/>
          <w:szCs w:val="32"/>
        </w:rPr>
        <w:t>日</w:t>
      </w:r>
    </w:p>
    <w:sectPr w:rsidR="00000000">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charset w:val="86"/>
    <w:family w:val="auto"/>
    <w:pitch w:val="default"/>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8E529"/>
    <w:multiLevelType w:val="singleLevel"/>
    <w:tmpl w:val="43E8E529"/>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262C"/>
    <w:rsid w:val="0027262C"/>
    <w:rsid w:val="0085013C"/>
    <w:rsid w:val="010643A0"/>
    <w:rsid w:val="029817AA"/>
    <w:rsid w:val="03CA589E"/>
    <w:rsid w:val="03F206F3"/>
    <w:rsid w:val="06F252BA"/>
    <w:rsid w:val="092802CD"/>
    <w:rsid w:val="0A233BDB"/>
    <w:rsid w:val="11CF6852"/>
    <w:rsid w:val="15F6657B"/>
    <w:rsid w:val="18793AFF"/>
    <w:rsid w:val="1ED52829"/>
    <w:rsid w:val="209E0BF9"/>
    <w:rsid w:val="233D620C"/>
    <w:rsid w:val="26177B96"/>
    <w:rsid w:val="28B81510"/>
    <w:rsid w:val="2A767916"/>
    <w:rsid w:val="2B116D30"/>
    <w:rsid w:val="2BC05C72"/>
    <w:rsid w:val="2D0E3DB4"/>
    <w:rsid w:val="30411F37"/>
    <w:rsid w:val="312356C3"/>
    <w:rsid w:val="31AB245C"/>
    <w:rsid w:val="38DC5E09"/>
    <w:rsid w:val="4C16409B"/>
    <w:rsid w:val="4CDD2CCD"/>
    <w:rsid w:val="5A0208BD"/>
    <w:rsid w:val="619E5769"/>
    <w:rsid w:val="649E6B26"/>
    <w:rsid w:val="68A8464C"/>
    <w:rsid w:val="693B179A"/>
    <w:rsid w:val="6B93489B"/>
    <w:rsid w:val="719B224C"/>
    <w:rsid w:val="733D1FA0"/>
    <w:rsid w:val="79C75B09"/>
    <w:rsid w:val="7D2C378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bCs/>
      <w:kern w:val="44"/>
      <w:sz w:val="48"/>
      <w:szCs w:val="48"/>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jc w:val="left"/>
    </w:pPr>
    <w:rPr>
      <w:kern w:val="0"/>
      <w:sz w:val="24"/>
    </w:rPr>
  </w:style>
  <w:style w:type="character" w:styleId="a4">
    <w:name w:val="Strong"/>
    <w:basedOn w:val="a0"/>
    <w:qFormat/>
    <w:rPr>
      <w:b w:val="0"/>
      <w:bCs w:val="0"/>
      <w:i w:val="0"/>
      <w:iCs w:val="0"/>
    </w:rPr>
  </w:style>
  <w:style w:type="character" w:styleId="a5">
    <w:name w:val="FollowedHyperlink"/>
    <w:basedOn w:val="a0"/>
    <w:rPr>
      <w:color w:val="800080"/>
      <w:u w:val="none"/>
    </w:rPr>
  </w:style>
  <w:style w:type="character" w:styleId="a6">
    <w:name w:val="Emphasis"/>
    <w:basedOn w:val="a0"/>
    <w:qFormat/>
    <w:rPr>
      <w:b w:val="0"/>
      <w:bCs w:val="0"/>
      <w:i w:val="0"/>
      <w:iCs w:val="0"/>
    </w:rPr>
  </w:style>
  <w:style w:type="character" w:styleId="a7">
    <w:name w:val="Hyperlink"/>
    <w:basedOn w:val="a0"/>
    <w:rPr>
      <w:color w:val="0000FF"/>
      <w:u w:val="none"/>
    </w:rPr>
  </w:style>
  <w:style w:type="character" w:customStyle="1" w:styleId="fontstyle01">
    <w:name w:val="fontstyle01"/>
    <w:basedOn w:val="a0"/>
    <w:rPr>
      <w:rFonts w:ascii="宋体" w:eastAsia="宋体" w:hAnsi="宋体" w:cs="宋体" w:hint="eastAsia"/>
      <w:b w:val="0"/>
      <w:bCs w:val="0"/>
      <w:i w:val="0"/>
      <w:iCs w:val="0"/>
      <w:color w:val="000000"/>
      <w:sz w:val="30"/>
      <w:szCs w:val="30"/>
    </w:rPr>
  </w:style>
  <w:style w:type="character" w:customStyle="1" w:styleId="fontstyle21">
    <w:name w:val="fontstyle21"/>
    <w:basedOn w:val="a0"/>
    <w:rPr>
      <w:rFonts w:ascii="Calibri" w:hAnsi="Calibri" w:cs="Calibri"/>
      <w:b w:val="0"/>
      <w:bCs w:val="0"/>
      <w:i w:val="0"/>
      <w:iCs w:val="0"/>
      <w:color w:val="000000"/>
      <w:sz w:val="22"/>
      <w:szCs w:val="22"/>
    </w:rPr>
  </w:style>
  <w:style w:type="character" w:customStyle="1" w:styleId="on">
    <w:name w:val="on"/>
    <w:basedOn w:val="a0"/>
    <w:rPr>
      <w:color w:val="FFFFFF"/>
      <w:shd w:val="clear" w:color="auto" w:fill="D70E19"/>
    </w:rPr>
  </w:style>
  <w:style w:type="character" w:customStyle="1" w:styleId="on1">
    <w:name w:val="on1"/>
    <w:basedOn w:val="a0"/>
    <w:rPr>
      <w:color w:val="D70E19"/>
    </w:rPr>
  </w:style>
  <w:style w:type="character" w:customStyle="1" w:styleId="on2">
    <w:name w:val="on2"/>
    <w:basedOn w:val="a0"/>
    <w:rPr>
      <w:color w:val="FFFFFF"/>
      <w:shd w:val="clear" w:color="auto" w:fill="D70E19"/>
    </w:rPr>
  </w:style>
  <w:style w:type="character" w:customStyle="1" w:styleId="on3">
    <w:name w:val="on3"/>
    <w:basedOn w:val="a0"/>
    <w:rPr>
      <w:color w:val="D70E19"/>
      <w:shd w:val="clear" w:color="auto" w:fill="FFFFFF"/>
    </w:rPr>
  </w:style>
  <w:style w:type="character" w:customStyle="1" w:styleId="dothide">
    <w:name w:val="dot_hide"/>
    <w:basedOn w:val="a0"/>
    <w:rPr>
      <w:vanish/>
    </w:rPr>
  </w:style>
  <w:style w:type="character" w:customStyle="1" w:styleId="dotshow">
    <w:name w:val="dot_show"/>
    <w:basedOn w:val="a0"/>
  </w:style>
  <w:style w:type="paragraph" w:customStyle="1" w:styleId="p1">
    <w:name w:val="p1"/>
    <w:basedOn w:val="a"/>
    <w:pPr>
      <w:jc w:val="left"/>
      <w:textAlignment w:val="center"/>
    </w:pPr>
    <w:rPr>
      <w:kern w:val="0"/>
    </w:rPr>
  </w:style>
  <w:style w:type="paragraph" w:customStyle="1" w:styleId="p12">
    <w:name w:val="p12"/>
    <w:basedOn w:val="a"/>
    <w:pPr>
      <w:shd w:val="clear" w:color="auto" w:fill="000000"/>
      <w:spacing w:line="768" w:lineRule="atLeast"/>
      <w:jc w:val="left"/>
    </w:pPr>
    <w:rPr>
      <w:color w:val="FFFFFF"/>
      <w:kern w:val="0"/>
      <w:sz w:val="19"/>
      <w:szCs w:val="19"/>
    </w:rPr>
  </w:style>
  <w:style w:type="paragraph" w:customStyle="1" w:styleId="p14">
    <w:name w:val="p14"/>
    <w:basedOn w:val="a"/>
    <w:pPr>
      <w:spacing w:line="360" w:lineRule="atLeast"/>
      <w:jc w:val="left"/>
    </w:pPr>
    <w:rPr>
      <w:color w:val="333333"/>
      <w:kern w:val="0"/>
      <w:sz w:val="24"/>
    </w:rPr>
  </w:style>
  <w:style w:type="paragraph" w:customStyle="1" w:styleId="p16">
    <w:name w:val="p16"/>
    <w:basedOn w:val="a"/>
    <w:pPr>
      <w:spacing w:line="480" w:lineRule="atLeast"/>
      <w:jc w:val="left"/>
    </w:pPr>
    <w:rPr>
      <w:b/>
      <w:bCs/>
      <w:color w:val="FFFFFF"/>
      <w:kern w:val="0"/>
      <w:sz w:val="45"/>
      <w:szCs w:val="45"/>
    </w:rPr>
  </w:style>
  <w:style w:type="paragraph" w:customStyle="1" w:styleId="p18">
    <w:name w:val="p18"/>
    <w:basedOn w:val="a"/>
    <w:pPr>
      <w:spacing w:after="120" w:line="288" w:lineRule="atLeast"/>
      <w:jc w:val="left"/>
    </w:pPr>
    <w:rPr>
      <w:color w:val="333333"/>
      <w:kern w:val="0"/>
      <w:sz w:val="16"/>
      <w:szCs w:val="16"/>
    </w:rPr>
  </w:style>
  <w:style w:type="paragraph" w:customStyle="1" w:styleId="p110">
    <w:name w:val="p110"/>
    <w:basedOn w:val="a"/>
    <w:pPr>
      <w:spacing w:after="144" w:line="264" w:lineRule="atLeast"/>
      <w:jc w:val="left"/>
    </w:pPr>
    <w:rPr>
      <w:color w:val="333333"/>
      <w:kern w:val="0"/>
      <w:sz w:val="16"/>
      <w:szCs w:val="16"/>
    </w:rPr>
  </w:style>
  <w:style w:type="paragraph" w:customStyle="1" w:styleId="p112">
    <w:name w:val="p112"/>
    <w:basedOn w:val="a"/>
    <w:pPr>
      <w:spacing w:line="384" w:lineRule="atLeast"/>
      <w:jc w:val="left"/>
    </w:pPr>
    <w:rPr>
      <w:color w:val="000000"/>
      <w:kern w:val="0"/>
      <w:sz w:val="28"/>
      <w:szCs w:val="28"/>
    </w:rPr>
  </w:style>
  <w:style w:type="paragraph" w:customStyle="1" w:styleId="p114">
    <w:name w:val="p114"/>
    <w:basedOn w:val="a"/>
    <w:pPr>
      <w:jc w:val="left"/>
    </w:pPr>
    <w:rPr>
      <w:color w:val="FFFFFF"/>
      <w:kern w:val="0"/>
    </w:rPr>
  </w:style>
  <w:style w:type="paragraph" w:customStyle="1" w:styleId="p116">
    <w:name w:val="p116"/>
    <w:basedOn w:val="a"/>
    <w:pPr>
      <w:jc w:val="left"/>
    </w:pPr>
    <w:rPr>
      <w:kern w:val="0"/>
    </w:rPr>
  </w:style>
  <w:style w:type="paragraph" w:customStyle="1" w:styleId="p118">
    <w:name w:val="p118"/>
    <w:basedOn w:val="a"/>
    <w:pPr>
      <w:jc w:val="left"/>
    </w:pPr>
    <w:rPr>
      <w:kern w:val="0"/>
    </w:rPr>
  </w:style>
  <w:style w:type="paragraph" w:customStyle="1" w:styleId="p120">
    <w:name w:val="p120"/>
    <w:basedOn w:val="a"/>
    <w:pPr>
      <w:spacing w:line="312" w:lineRule="atLeast"/>
      <w:jc w:val="left"/>
    </w:pPr>
    <w:rPr>
      <w:color w:val="333333"/>
      <w:kern w:val="0"/>
      <w:sz w:val="16"/>
      <w:szCs w:val="16"/>
    </w:rPr>
  </w:style>
  <w:style w:type="paragraph" w:customStyle="1" w:styleId="p122">
    <w:name w:val="p122"/>
    <w:basedOn w:val="a"/>
    <w:pPr>
      <w:spacing w:before="120" w:line="300" w:lineRule="atLeast"/>
      <w:jc w:val="left"/>
    </w:pPr>
    <w:rPr>
      <w:color w:val="333333"/>
      <w:kern w:val="0"/>
      <w:szCs w:val="21"/>
    </w:rPr>
  </w:style>
  <w:style w:type="paragraph" w:customStyle="1" w:styleId="p124">
    <w:name w:val="p124"/>
    <w:basedOn w:val="a"/>
    <w:pPr>
      <w:spacing w:line="240" w:lineRule="atLeast"/>
      <w:jc w:val="left"/>
    </w:pPr>
    <w:rPr>
      <w:color w:val="666666"/>
      <w:kern w:val="0"/>
      <w:sz w:val="16"/>
      <w:szCs w:val="16"/>
    </w:rPr>
  </w:style>
  <w:style w:type="paragraph" w:customStyle="1" w:styleId="p126">
    <w:name w:val="p126"/>
    <w:basedOn w:val="a"/>
    <w:pPr>
      <w:spacing w:line="288" w:lineRule="atLeast"/>
      <w:jc w:val="left"/>
    </w:pPr>
    <w:rPr>
      <w:color w:val="B9B9B9"/>
      <w:kern w:val="0"/>
      <w:sz w:val="16"/>
      <w:szCs w:val="16"/>
    </w:rPr>
  </w:style>
  <w:style w:type="paragraph" w:customStyle="1" w:styleId="p128">
    <w:name w:val="p128"/>
    <w:basedOn w:val="a"/>
    <w:pPr>
      <w:jc w:val="left"/>
    </w:pPr>
    <w:rPr>
      <w:kern w:val="0"/>
      <w:sz w:val="16"/>
      <w:szCs w:val="16"/>
    </w:rPr>
  </w:style>
  <w:style w:type="paragraph" w:customStyle="1" w:styleId="p130">
    <w:name w:val="p130"/>
    <w:basedOn w:val="a"/>
    <w:pPr>
      <w:spacing w:line="288" w:lineRule="atLeast"/>
      <w:jc w:val="left"/>
    </w:pPr>
    <w:rPr>
      <w:color w:val="787B81"/>
      <w:kern w:val="0"/>
      <w:sz w:val="16"/>
      <w:szCs w:val="16"/>
    </w:rPr>
  </w:style>
  <w:style w:type="paragraph" w:customStyle="1" w:styleId="p132">
    <w:name w:val="p132"/>
    <w:basedOn w:val="a"/>
    <w:pPr>
      <w:spacing w:line="288" w:lineRule="atLeast"/>
      <w:jc w:val="left"/>
    </w:pPr>
    <w:rPr>
      <w:color w:val="B9B9B9"/>
      <w:kern w:val="0"/>
      <w:sz w:val="16"/>
      <w:szCs w:val="16"/>
    </w:rPr>
  </w:style>
  <w:style w:type="paragraph" w:customStyle="1" w:styleId="p134">
    <w:name w:val="p134"/>
    <w:basedOn w:val="a"/>
    <w:pPr>
      <w:spacing w:line="360" w:lineRule="atLeast"/>
      <w:jc w:val="left"/>
    </w:pPr>
    <w:rPr>
      <w:color w:val="333333"/>
      <w:kern w:val="0"/>
      <w:sz w:val="16"/>
      <w:szCs w:val="16"/>
    </w:rPr>
  </w:style>
  <w:style w:type="paragraph" w:customStyle="1" w:styleId="p136">
    <w:name w:val="p136"/>
    <w:basedOn w:val="a"/>
    <w:pPr>
      <w:spacing w:after="96"/>
      <w:jc w:val="left"/>
    </w:pPr>
    <w:rPr>
      <w:kern w:val="0"/>
    </w:rPr>
  </w:style>
  <w:style w:type="paragraph" w:customStyle="1" w:styleId="p138">
    <w:name w:val="p138"/>
    <w:basedOn w:val="a"/>
    <w:pPr>
      <w:spacing w:line="528" w:lineRule="atLeast"/>
      <w:jc w:val="left"/>
    </w:pPr>
    <w:rPr>
      <w:color w:val="333333"/>
      <w:kern w:val="0"/>
      <w:sz w:val="19"/>
      <w:szCs w:val="19"/>
    </w:rPr>
  </w:style>
  <w:style w:type="paragraph" w:customStyle="1" w:styleId="p140">
    <w:name w:val="p140"/>
    <w:basedOn w:val="a"/>
    <w:pPr>
      <w:spacing w:line="360" w:lineRule="atLeast"/>
      <w:jc w:val="left"/>
    </w:pPr>
    <w:rPr>
      <w:color w:val="333333"/>
      <w:kern w:val="0"/>
      <w:sz w:val="19"/>
      <w:szCs w:val="19"/>
    </w:rPr>
  </w:style>
  <w:style w:type="paragraph" w:customStyle="1" w:styleId="p142">
    <w:name w:val="p142"/>
    <w:basedOn w:val="a"/>
    <w:pPr>
      <w:spacing w:before="84" w:line="240" w:lineRule="atLeast"/>
      <w:jc w:val="left"/>
    </w:pPr>
    <w:rPr>
      <w:color w:val="999999"/>
      <w:kern w:val="0"/>
      <w:sz w:val="16"/>
      <w:szCs w:val="16"/>
    </w:rPr>
  </w:style>
  <w:style w:type="paragraph" w:customStyle="1" w:styleId="p144">
    <w:name w:val="p144"/>
    <w:basedOn w:val="a"/>
    <w:pPr>
      <w:spacing w:line="360" w:lineRule="atLeast"/>
      <w:jc w:val="left"/>
    </w:pPr>
    <w:rPr>
      <w:color w:val="D70E19"/>
      <w:kern w:val="0"/>
      <w:sz w:val="33"/>
      <w:szCs w:val="33"/>
    </w:rPr>
  </w:style>
  <w:style w:type="paragraph" w:customStyle="1" w:styleId="p146">
    <w:name w:val="p146"/>
    <w:basedOn w:val="a"/>
    <w:pPr>
      <w:jc w:val="left"/>
    </w:pPr>
    <w:rPr>
      <w:color w:val="D70E19"/>
      <w:kern w:val="0"/>
    </w:rPr>
  </w:style>
  <w:style w:type="paragraph" w:customStyle="1" w:styleId="p148">
    <w:name w:val="p148"/>
    <w:basedOn w:val="a"/>
    <w:pPr>
      <w:spacing w:before="120" w:line="288" w:lineRule="atLeast"/>
      <w:jc w:val="left"/>
    </w:pPr>
    <w:rPr>
      <w:color w:val="333333"/>
      <w:kern w:val="0"/>
      <w:sz w:val="19"/>
      <w:szCs w:val="19"/>
    </w:rPr>
  </w:style>
  <w:style w:type="paragraph" w:customStyle="1" w:styleId="p150">
    <w:name w:val="p150"/>
    <w:basedOn w:val="a"/>
    <w:pPr>
      <w:spacing w:before="240" w:line="360" w:lineRule="atLeast"/>
      <w:jc w:val="left"/>
    </w:pPr>
    <w:rPr>
      <w:color w:val="333333"/>
      <w:kern w:val="0"/>
      <w:sz w:val="19"/>
      <w:szCs w:val="19"/>
    </w:rPr>
  </w:style>
  <w:style w:type="paragraph" w:customStyle="1" w:styleId="p152">
    <w:name w:val="p152"/>
    <w:basedOn w:val="a"/>
    <w:pPr>
      <w:jc w:val="left"/>
    </w:pPr>
    <w:rPr>
      <w:color w:val="D70E19"/>
      <w:kern w:val="0"/>
    </w:rPr>
  </w:style>
  <w:style w:type="paragraph" w:customStyle="1" w:styleId="p154">
    <w:name w:val="p154"/>
    <w:basedOn w:val="a"/>
    <w:pPr>
      <w:spacing w:after="180" w:line="288" w:lineRule="atLeast"/>
      <w:jc w:val="left"/>
    </w:pPr>
    <w:rPr>
      <w:color w:val="666666"/>
      <w:kern w:val="0"/>
      <w:sz w:val="16"/>
      <w:szCs w:val="16"/>
    </w:rPr>
  </w:style>
  <w:style w:type="paragraph" w:customStyle="1" w:styleId="p156">
    <w:name w:val="p156"/>
    <w:basedOn w:val="a"/>
    <w:pPr>
      <w:spacing w:line="288" w:lineRule="atLeast"/>
      <w:jc w:val="left"/>
    </w:pPr>
    <w:rPr>
      <w:color w:val="333333"/>
      <w:kern w:val="0"/>
      <w:sz w:val="19"/>
      <w:szCs w:val="19"/>
    </w:rPr>
  </w:style>
  <w:style w:type="paragraph" w:customStyle="1" w:styleId="p158">
    <w:name w:val="p158"/>
    <w:basedOn w:val="a"/>
    <w:pPr>
      <w:spacing w:line="240" w:lineRule="atLeast"/>
      <w:jc w:val="left"/>
    </w:pPr>
    <w:rPr>
      <w:color w:val="666666"/>
      <w:kern w:val="0"/>
      <w:sz w:val="16"/>
      <w:szCs w:val="16"/>
    </w:rPr>
  </w:style>
  <w:style w:type="paragraph" w:customStyle="1" w:styleId="p160">
    <w:name w:val="p160"/>
    <w:basedOn w:val="a"/>
    <w:pPr>
      <w:spacing w:line="360" w:lineRule="atLeast"/>
      <w:jc w:val="left"/>
    </w:pPr>
    <w:rPr>
      <w:color w:val="FFFFFF"/>
      <w:kern w:val="0"/>
      <w:sz w:val="33"/>
      <w:szCs w:val="33"/>
    </w:rPr>
  </w:style>
  <w:style w:type="paragraph" w:customStyle="1" w:styleId="p162">
    <w:name w:val="p162"/>
    <w:basedOn w:val="a"/>
    <w:pPr>
      <w:spacing w:before="156" w:line="288" w:lineRule="atLeast"/>
      <w:ind w:firstLine="210"/>
      <w:jc w:val="left"/>
    </w:pPr>
    <w:rPr>
      <w:color w:val="333333"/>
      <w:kern w:val="0"/>
      <w:sz w:val="16"/>
      <w:szCs w:val="16"/>
    </w:rPr>
  </w:style>
  <w:style w:type="paragraph" w:customStyle="1" w:styleId="p164">
    <w:name w:val="p164"/>
    <w:basedOn w:val="a"/>
    <w:pPr>
      <w:spacing w:before="240" w:line="264" w:lineRule="atLeast"/>
      <w:jc w:val="left"/>
    </w:pPr>
    <w:rPr>
      <w:color w:val="666666"/>
      <w:kern w:val="0"/>
      <w:sz w:val="14"/>
      <w:szCs w:val="14"/>
    </w:rPr>
  </w:style>
  <w:style w:type="paragraph" w:customStyle="1" w:styleId="p166">
    <w:name w:val="p166"/>
    <w:basedOn w:val="a"/>
    <w:pPr>
      <w:spacing w:line="312" w:lineRule="atLeast"/>
      <w:jc w:val="left"/>
    </w:pPr>
    <w:rPr>
      <w:color w:val="666666"/>
      <w:kern w:val="0"/>
      <w:sz w:val="16"/>
      <w:szCs w:val="16"/>
    </w:rPr>
  </w:style>
  <w:style w:type="paragraph" w:customStyle="1" w:styleId="p168">
    <w:name w:val="p168"/>
    <w:basedOn w:val="a"/>
    <w:pPr>
      <w:spacing w:before="48" w:line="288" w:lineRule="atLeast"/>
      <w:jc w:val="left"/>
    </w:pPr>
    <w:rPr>
      <w:color w:val="333333"/>
      <w:kern w:val="0"/>
      <w:sz w:val="16"/>
      <w:szCs w:val="16"/>
    </w:rPr>
  </w:style>
  <w:style w:type="paragraph" w:customStyle="1" w:styleId="p170">
    <w:name w:val="p170"/>
    <w:basedOn w:val="a"/>
    <w:pPr>
      <w:spacing w:line="360" w:lineRule="atLeast"/>
      <w:jc w:val="left"/>
    </w:pPr>
    <w:rPr>
      <w:color w:val="FFFFFF"/>
      <w:kern w:val="0"/>
      <w:sz w:val="16"/>
      <w:szCs w:val="16"/>
    </w:rPr>
  </w:style>
  <w:style w:type="paragraph" w:customStyle="1" w:styleId="p172">
    <w:name w:val="p172"/>
    <w:basedOn w:val="a"/>
    <w:pPr>
      <w:spacing w:after="60" w:line="312" w:lineRule="atLeast"/>
      <w:jc w:val="left"/>
    </w:pPr>
    <w:rPr>
      <w:color w:val="333333"/>
      <w:kern w:val="0"/>
      <w:sz w:val="19"/>
      <w:szCs w:val="19"/>
    </w:rPr>
  </w:style>
  <w:style w:type="paragraph" w:customStyle="1" w:styleId="p174">
    <w:name w:val="p174"/>
    <w:basedOn w:val="a"/>
    <w:pPr>
      <w:jc w:val="left"/>
    </w:pPr>
    <w:rPr>
      <w:color w:val="D70E19"/>
      <w:kern w:val="0"/>
    </w:rPr>
  </w:style>
  <w:style w:type="paragraph" w:customStyle="1" w:styleId="p176">
    <w:name w:val="p176"/>
    <w:basedOn w:val="a"/>
    <w:pPr>
      <w:spacing w:line="288" w:lineRule="atLeast"/>
      <w:jc w:val="center"/>
    </w:pPr>
    <w:rPr>
      <w:color w:val="999999"/>
      <w:kern w:val="0"/>
      <w:sz w:val="16"/>
      <w:szCs w:val="16"/>
    </w:rPr>
  </w:style>
  <w:style w:type="paragraph" w:customStyle="1" w:styleId="p178">
    <w:name w:val="p178"/>
    <w:basedOn w:val="a"/>
    <w:pPr>
      <w:spacing w:line="288" w:lineRule="atLeast"/>
      <w:jc w:val="left"/>
    </w:pPr>
    <w:rPr>
      <w:color w:val="999999"/>
      <w:kern w:val="0"/>
      <w:sz w:val="16"/>
      <w:szCs w:val="16"/>
    </w:rPr>
  </w:style>
  <w:style w:type="paragraph" w:customStyle="1" w:styleId="p180">
    <w:name w:val="p180"/>
    <w:basedOn w:val="a"/>
    <w:pPr>
      <w:jc w:val="left"/>
    </w:pPr>
    <w:rPr>
      <w:kern w:val="0"/>
    </w:rPr>
  </w:style>
  <w:style w:type="paragraph" w:customStyle="1" w:styleId="p182">
    <w:name w:val="p182"/>
    <w:basedOn w:val="a"/>
    <w:pPr>
      <w:jc w:val="left"/>
    </w:pPr>
    <w:rPr>
      <w:kern w:val="0"/>
    </w:rPr>
  </w:style>
  <w:style w:type="paragraph" w:customStyle="1" w:styleId="p184">
    <w:name w:val="p184"/>
    <w:basedOn w:val="a"/>
    <w:pPr>
      <w:spacing w:line="360" w:lineRule="atLeast"/>
      <w:jc w:val="left"/>
    </w:pPr>
    <w:rPr>
      <w:color w:val="FFFFFF"/>
      <w:kern w:val="0"/>
      <w:sz w:val="24"/>
    </w:rPr>
  </w:style>
  <w:style w:type="paragraph" w:customStyle="1" w:styleId="p186">
    <w:name w:val="p186"/>
    <w:basedOn w:val="a"/>
    <w:pPr>
      <w:spacing w:line="288" w:lineRule="atLeast"/>
      <w:ind w:firstLine="315"/>
      <w:jc w:val="left"/>
    </w:pPr>
    <w:rPr>
      <w:color w:val="333333"/>
      <w:kern w:val="0"/>
      <w:sz w:val="16"/>
      <w:szCs w:val="16"/>
    </w:rPr>
  </w:style>
  <w:style w:type="paragraph" w:customStyle="1" w:styleId="p188">
    <w:name w:val="p188"/>
    <w:basedOn w:val="a"/>
    <w:pPr>
      <w:spacing w:line="456" w:lineRule="atLeast"/>
      <w:jc w:val="left"/>
    </w:pPr>
    <w:rPr>
      <w:color w:val="666666"/>
      <w:kern w:val="0"/>
      <w:sz w:val="16"/>
      <w:szCs w:val="16"/>
    </w:rPr>
  </w:style>
  <w:style w:type="paragraph" w:customStyle="1" w:styleId="p190">
    <w:name w:val="p190"/>
    <w:basedOn w:val="a"/>
    <w:pPr>
      <w:spacing w:after="60" w:line="288" w:lineRule="atLeast"/>
      <w:jc w:val="left"/>
    </w:pPr>
    <w:rPr>
      <w:color w:val="333333"/>
      <w:kern w:val="0"/>
      <w:sz w:val="16"/>
      <w:szCs w:val="16"/>
    </w:rPr>
  </w:style>
  <w:style w:type="paragraph" w:customStyle="1" w:styleId="p192">
    <w:name w:val="p192"/>
    <w:basedOn w:val="a"/>
    <w:pPr>
      <w:spacing w:before="144" w:line="336" w:lineRule="atLeast"/>
      <w:jc w:val="left"/>
    </w:pPr>
    <w:rPr>
      <w:color w:val="333333"/>
      <w:kern w:val="0"/>
      <w:sz w:val="16"/>
      <w:szCs w:val="16"/>
    </w:rPr>
  </w:style>
  <w:style w:type="paragraph" w:customStyle="1" w:styleId="p194">
    <w:name w:val="p194"/>
    <w:basedOn w:val="a"/>
    <w:pPr>
      <w:spacing w:before="264" w:line="288" w:lineRule="atLeast"/>
      <w:jc w:val="left"/>
    </w:pPr>
    <w:rPr>
      <w:color w:val="333333"/>
      <w:kern w:val="0"/>
      <w:sz w:val="16"/>
      <w:szCs w:val="16"/>
    </w:rPr>
  </w:style>
  <w:style w:type="paragraph" w:customStyle="1" w:styleId="p196">
    <w:name w:val="p196"/>
    <w:basedOn w:val="a"/>
    <w:pPr>
      <w:spacing w:line="384" w:lineRule="atLeast"/>
      <w:jc w:val="left"/>
    </w:pPr>
    <w:rPr>
      <w:color w:val="333333"/>
      <w:kern w:val="0"/>
      <w:sz w:val="19"/>
      <w:szCs w:val="19"/>
    </w:rPr>
  </w:style>
  <w:style w:type="paragraph" w:customStyle="1" w:styleId="p198">
    <w:name w:val="p198"/>
    <w:basedOn w:val="a"/>
    <w:pPr>
      <w:spacing w:line="288" w:lineRule="atLeast"/>
      <w:jc w:val="left"/>
      <w:textAlignment w:val="center"/>
    </w:pPr>
    <w:rPr>
      <w:color w:val="333333"/>
      <w:kern w:val="0"/>
      <w:sz w:val="16"/>
      <w:szCs w:val="16"/>
    </w:rPr>
  </w:style>
  <w:style w:type="paragraph" w:customStyle="1" w:styleId="p1100">
    <w:name w:val="p1100"/>
    <w:basedOn w:val="a"/>
    <w:pPr>
      <w:spacing w:line="384" w:lineRule="atLeast"/>
      <w:jc w:val="left"/>
    </w:pPr>
    <w:rPr>
      <w:color w:val="999999"/>
      <w:kern w:val="0"/>
      <w:sz w:val="16"/>
      <w:szCs w:val="16"/>
    </w:rPr>
  </w:style>
  <w:style w:type="paragraph" w:customStyle="1" w:styleId="p1102">
    <w:name w:val="p1102"/>
    <w:basedOn w:val="a"/>
    <w:pPr>
      <w:spacing w:line="384" w:lineRule="atLeast"/>
      <w:jc w:val="left"/>
    </w:pPr>
    <w:rPr>
      <w:color w:val="333333"/>
      <w:kern w:val="0"/>
      <w:sz w:val="19"/>
      <w:szCs w:val="19"/>
    </w:rPr>
  </w:style>
  <w:style w:type="paragraph" w:customStyle="1" w:styleId="p1104">
    <w:name w:val="p1104"/>
    <w:basedOn w:val="a"/>
    <w:pPr>
      <w:spacing w:after="120" w:line="288" w:lineRule="atLeast"/>
      <w:jc w:val="left"/>
    </w:pPr>
    <w:rPr>
      <w:color w:val="333333"/>
      <w:kern w:val="0"/>
      <w:sz w:val="16"/>
      <w:szCs w:val="16"/>
    </w:rPr>
  </w:style>
  <w:style w:type="paragraph" w:customStyle="1" w:styleId="p1106">
    <w:name w:val="p1106"/>
    <w:basedOn w:val="a"/>
    <w:pPr>
      <w:spacing w:line="288" w:lineRule="atLeast"/>
      <w:jc w:val="left"/>
    </w:pPr>
    <w:rPr>
      <w:color w:val="333333"/>
      <w:kern w:val="0"/>
      <w:sz w:val="16"/>
      <w:szCs w:val="16"/>
    </w:rPr>
  </w:style>
  <w:style w:type="paragraph" w:customStyle="1" w:styleId="p1108">
    <w:name w:val="p1108"/>
    <w:basedOn w:val="a"/>
    <w:pPr>
      <w:jc w:val="left"/>
    </w:pPr>
    <w:rPr>
      <w:color w:val="D70E19"/>
      <w:kern w:val="0"/>
    </w:rPr>
  </w:style>
  <w:style w:type="paragraph" w:customStyle="1" w:styleId="p1110">
    <w:name w:val="p1110"/>
    <w:basedOn w:val="a"/>
    <w:pPr>
      <w:spacing w:before="132" w:line="384" w:lineRule="atLeast"/>
      <w:jc w:val="center"/>
    </w:pPr>
    <w:rPr>
      <w:color w:val="333333"/>
      <w:kern w:val="0"/>
      <w:sz w:val="19"/>
      <w:szCs w:val="19"/>
    </w:rPr>
  </w:style>
  <w:style w:type="paragraph" w:customStyle="1" w:styleId="p1112">
    <w:name w:val="p1112"/>
    <w:basedOn w:val="a"/>
    <w:pPr>
      <w:spacing w:before="168" w:line="288" w:lineRule="atLeast"/>
      <w:jc w:val="left"/>
    </w:pPr>
    <w:rPr>
      <w:color w:val="666666"/>
      <w:kern w:val="0"/>
      <w:sz w:val="16"/>
      <w:szCs w:val="16"/>
    </w:rPr>
  </w:style>
  <w:style w:type="paragraph" w:customStyle="1" w:styleId="p1114">
    <w:name w:val="p1114"/>
    <w:basedOn w:val="a"/>
    <w:pPr>
      <w:spacing w:line="288" w:lineRule="atLeast"/>
      <w:jc w:val="left"/>
    </w:pPr>
    <w:rPr>
      <w:color w:val="333333"/>
      <w:kern w:val="0"/>
      <w:sz w:val="16"/>
      <w:szCs w:val="16"/>
    </w:rPr>
  </w:style>
  <w:style w:type="paragraph" w:customStyle="1" w:styleId="p1116">
    <w:name w:val="p1116"/>
    <w:basedOn w:val="a"/>
    <w:pPr>
      <w:spacing w:before="132" w:line="288" w:lineRule="atLeast"/>
      <w:jc w:val="left"/>
    </w:pPr>
    <w:rPr>
      <w:color w:val="333333"/>
      <w:kern w:val="0"/>
      <w:sz w:val="16"/>
      <w:szCs w:val="16"/>
    </w:rPr>
  </w:style>
  <w:style w:type="paragraph" w:customStyle="1" w:styleId="p1118">
    <w:name w:val="p1118"/>
    <w:basedOn w:val="a"/>
    <w:pPr>
      <w:spacing w:before="36" w:line="384" w:lineRule="atLeast"/>
      <w:jc w:val="left"/>
    </w:pPr>
    <w:rPr>
      <w:color w:val="999999"/>
      <w:kern w:val="0"/>
      <w:sz w:val="16"/>
      <w:szCs w:val="16"/>
    </w:rPr>
  </w:style>
  <w:style w:type="paragraph" w:customStyle="1" w:styleId="p1120">
    <w:name w:val="p1120"/>
    <w:basedOn w:val="a"/>
    <w:pPr>
      <w:spacing w:before="96" w:line="264" w:lineRule="atLeast"/>
      <w:jc w:val="left"/>
    </w:pPr>
    <w:rPr>
      <w:color w:val="666666"/>
      <w:kern w:val="0"/>
      <w:sz w:val="14"/>
      <w:szCs w:val="14"/>
    </w:rPr>
  </w:style>
  <w:style w:type="paragraph" w:customStyle="1" w:styleId="p1122">
    <w:name w:val="p1122"/>
    <w:basedOn w:val="a"/>
    <w:pPr>
      <w:jc w:val="left"/>
    </w:pPr>
    <w:rPr>
      <w:kern w:val="0"/>
      <w:sz w:val="16"/>
      <w:szCs w:val="16"/>
    </w:rPr>
  </w:style>
  <w:style w:type="paragraph" w:customStyle="1" w:styleId="p1124">
    <w:name w:val="p1124"/>
    <w:basedOn w:val="a"/>
    <w:pPr>
      <w:spacing w:line="192" w:lineRule="atLeast"/>
      <w:jc w:val="left"/>
    </w:pPr>
    <w:rPr>
      <w:color w:val="666666"/>
      <w:kern w:val="0"/>
      <w:sz w:val="16"/>
      <w:szCs w:val="16"/>
    </w:rPr>
  </w:style>
  <w:style w:type="character" w:customStyle="1" w:styleId="on4">
    <w:name w:val="on4"/>
    <w:basedOn w:val="a0"/>
    <w:rPr>
      <w:color w:val="D70E19"/>
      <w:shd w:val="clear" w:color="auto" w:fill="FFFFFF"/>
    </w:rPr>
  </w:style>
  <w:style w:type="character" w:customStyle="1" w:styleId="on5">
    <w:name w:val="on5"/>
    <w:basedOn w:val="a0"/>
    <w:rPr>
      <w:color w:val="D70E19"/>
      <w:bdr w:val="none" w:sz="0" w:space="0" w:color="E5E5E5"/>
      <w:shd w:val="clear" w:color="auto" w:fill="FFFFFF"/>
    </w:rPr>
  </w:style>
  <w:style w:type="character" w:customStyle="1" w:styleId="on6">
    <w:name w:val="on6"/>
    <w:basedOn w:val="a0"/>
    <w:rPr>
      <w:color w:val="FFFFFF"/>
      <w:bdr w:val="none" w:sz="0" w:space="0" w:color="auto"/>
      <w:shd w:val="clear" w:color="auto" w:fill="D70E19"/>
    </w:rPr>
  </w:style>
  <w:style w:type="character" w:customStyle="1" w:styleId="on7">
    <w:name w:val="on7"/>
    <w:basedOn w:val="a0"/>
    <w:rPr>
      <w:color w:val="FFFFFF"/>
      <w:bdr w:val="none" w:sz="0" w:space="0" w:color="auto"/>
      <w:shd w:val="clear" w:color="auto" w:fill="D70E19"/>
    </w:rPr>
  </w:style>
  <w:style w:type="character" w:customStyle="1" w:styleId="on8">
    <w:name w:val="on8"/>
    <w:basedOn w:val="a0"/>
    <w:rPr>
      <w:color w:val="D70E19"/>
      <w:shd w:val="clear" w:color="auto" w:fill="FFF6F6"/>
    </w:rPr>
  </w:style>
  <w:style w:type="character" w:customStyle="1" w:styleId="on9">
    <w:name w:val="on9"/>
    <w:basedOn w:val="a0"/>
    <w:rPr>
      <w:color w:val="D70E19"/>
    </w:rPr>
  </w:style>
  <w:style w:type="character" w:customStyle="1" w:styleId="on10">
    <w:name w:val="on10"/>
    <w:basedOn w:val="a0"/>
  </w:style>
  <w:style w:type="character" w:customStyle="1" w:styleId="on11">
    <w:name w:val="on11"/>
    <w:basedOn w:val="a0"/>
    <w:rPr>
      <w:color w:val="D70E19"/>
      <w:shd w:val="clear" w:color="auto" w:fill="FFFFFF"/>
    </w:rPr>
  </w:style>
  <w:style w:type="character" w:customStyle="1" w:styleId="act9">
    <w:name w:val="act9"/>
    <w:basedOn w:val="a0"/>
    <w:rPr>
      <w:color w:val="FFFFFF"/>
      <w:bdr w:val="none" w:sz="0" w:space="0" w:color="auto"/>
      <w:shd w:val="clear" w:color="auto" w:fill="D70E19"/>
    </w:rPr>
  </w:style>
  <w:style w:type="character" w:customStyle="1" w:styleId="act10">
    <w:name w:val="act10"/>
    <w:basedOn w:val="a0"/>
    <w:rPr>
      <w:color w:val="D70E19"/>
    </w:rPr>
  </w:style>
  <w:style w:type="character" w:customStyle="1" w:styleId="first-child">
    <w:name w:val="first-child"/>
    <w:basedOn w:val="a0"/>
    <w:rPr>
      <w:bdr w:val="none" w:sz="0" w:space="0" w:color="auto"/>
    </w:rPr>
  </w:style>
  <w:style w:type="character" w:customStyle="1" w:styleId="long">
    <w:name w:val="long"/>
    <w:basedOn w:val="a0"/>
  </w:style>
  <w:style w:type="character" w:customStyle="1" w:styleId="hover60">
    <w:name w:val="hover60"/>
    <w:basedOn w:val="a0"/>
    <w:rPr>
      <w:color w:val="D70E19"/>
    </w:rPr>
  </w:style>
  <w:style w:type="character" w:customStyle="1" w:styleId="red2">
    <w:name w:val="red2"/>
    <w:basedOn w:val="a0"/>
  </w:style>
  <w:style w:type="character" w:customStyle="1" w:styleId="top4">
    <w:name w:val="top4"/>
    <w:basedOn w:val="a0"/>
  </w:style>
  <w:style w:type="character" w:customStyle="1" w:styleId="on12">
    <w:name w:val="on12"/>
    <w:basedOn w:val="a0"/>
    <w:rPr>
      <w:color w:val="D70E19"/>
      <w:shd w:val="clear" w:color="auto" w:fill="FFFFFF"/>
    </w:rPr>
  </w:style>
  <w:style w:type="character" w:customStyle="1" w:styleId="red">
    <w:name w:val="red"/>
    <w:basedOn w:val="a0"/>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ocke.com.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2115</Characters>
  <Application>Microsoft Office Word</Application>
  <DocSecurity>4</DocSecurity>
  <Lines>17</Lines>
  <Paragraphs>4</Paragraphs>
  <ScaleCrop>false</ScaleCrop>
  <Company>CNSTOCK</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ZHONGM</cp:lastModifiedBy>
  <cp:revision>2</cp:revision>
  <cp:lastPrinted>2021-11-24T01:59:00Z</cp:lastPrinted>
  <dcterms:created xsi:type="dcterms:W3CDTF">2022-11-24T16:01:00Z</dcterms:created>
  <dcterms:modified xsi:type="dcterms:W3CDTF">2022-11-24T16:01:00Z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