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C9" w:rsidRDefault="007461C8">
      <w:pPr>
        <w:pStyle w:val="Default"/>
        <w:jc w:val="center"/>
        <w:rPr>
          <w:rFonts w:ascii="黑体" w:eastAsia="黑体" w:hAnsi="黑体"/>
          <w:b/>
          <w:color w:val="FF0000"/>
          <w:sz w:val="32"/>
          <w:szCs w:val="32"/>
        </w:rPr>
      </w:pPr>
      <w:r>
        <w:rPr>
          <w:rFonts w:ascii="黑体" w:eastAsia="黑体" w:hAnsi="黑体" w:hint="eastAsia"/>
          <w:b/>
          <w:color w:val="FF0000"/>
          <w:sz w:val="32"/>
          <w:szCs w:val="32"/>
        </w:rPr>
        <w:t>关于嘉实创业板交易型开放式指数证券投资基金</w:t>
      </w:r>
    </w:p>
    <w:p w:rsidR="004911C9" w:rsidRDefault="007461C8">
      <w:pPr>
        <w:pStyle w:val="Default"/>
        <w:jc w:val="center"/>
        <w:rPr>
          <w:rFonts w:ascii="黑体" w:eastAsia="黑体" w:hAnsi="黑体"/>
          <w:b/>
          <w:color w:val="FF0000"/>
          <w:sz w:val="32"/>
          <w:szCs w:val="32"/>
        </w:rPr>
      </w:pPr>
      <w:r>
        <w:rPr>
          <w:rFonts w:ascii="黑体" w:eastAsia="黑体" w:hAnsi="黑体" w:hint="eastAsia"/>
          <w:b/>
          <w:color w:val="FF0000"/>
          <w:sz w:val="32"/>
          <w:szCs w:val="32"/>
        </w:rPr>
        <w:t>终止上市交易的公告</w:t>
      </w:r>
    </w:p>
    <w:p w:rsidR="004911C9" w:rsidRDefault="004911C9">
      <w:pPr>
        <w:adjustRightInd w:val="0"/>
        <w:snapToGrid w:val="0"/>
        <w:spacing w:line="360" w:lineRule="auto"/>
        <w:ind w:firstLine="480"/>
        <w:rPr>
          <w:rStyle w:val="da"/>
          <w:rFonts w:ascii="宋体" w:eastAsia="宋体" w:hAnsi="宋体" w:cs="Arial"/>
        </w:rPr>
      </w:pP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根据《中华人民共和国证券投资基金法》（以下简称“《基金法》”）、《公开募集证券投资基金运作管理办法》、《深圳证券交易所证券投资基金上市规则》、《嘉实创业板交易型开放式指数证券投资基金基金合同》（以下简称</w:t>
      </w:r>
      <w:r>
        <w:rPr>
          <w:rStyle w:val="da"/>
          <w:rFonts w:ascii="宋体" w:eastAsia="宋体" w:hAnsi="宋体" w:cs="Arial"/>
          <w:sz w:val="24"/>
          <w:szCs w:val="24"/>
        </w:rPr>
        <w:t>“</w:t>
      </w:r>
      <w:r>
        <w:rPr>
          <w:rStyle w:val="da"/>
          <w:rFonts w:ascii="宋体" w:eastAsia="宋体" w:hAnsi="宋体" w:cs="Arial" w:hint="eastAsia"/>
          <w:sz w:val="24"/>
          <w:szCs w:val="24"/>
        </w:rPr>
        <w:t>《基金合同》</w:t>
      </w:r>
      <w:r>
        <w:rPr>
          <w:rStyle w:val="da"/>
          <w:rFonts w:ascii="宋体" w:eastAsia="宋体" w:hAnsi="宋体" w:cs="Arial"/>
          <w:sz w:val="24"/>
          <w:szCs w:val="24"/>
        </w:rPr>
        <w:t>”</w:t>
      </w:r>
      <w:r>
        <w:rPr>
          <w:rStyle w:val="da"/>
          <w:rFonts w:ascii="宋体" w:eastAsia="宋体" w:hAnsi="宋体" w:cs="Arial" w:hint="eastAsia"/>
          <w:sz w:val="24"/>
          <w:szCs w:val="24"/>
        </w:rPr>
        <w:t>）和《关于嘉实创业板交易型开放式指数证券投资基金基金份额持有人大会表决结果暨决议生效的公告》等的有关规定，嘉实创业板交易型开放式指数证券投资基金（</w:t>
      </w:r>
      <w:r>
        <w:rPr>
          <w:rStyle w:val="da"/>
          <w:rFonts w:ascii="宋体" w:eastAsia="宋体" w:hAnsi="宋体" w:cs="Arial"/>
          <w:sz w:val="24"/>
          <w:szCs w:val="24"/>
        </w:rPr>
        <w:t>以下简称“本基金”或“</w:t>
      </w:r>
      <w:r>
        <w:rPr>
          <w:rStyle w:val="da"/>
          <w:rFonts w:ascii="宋体" w:eastAsia="宋体" w:hAnsi="宋体" w:cs="Arial" w:hint="eastAsia"/>
          <w:sz w:val="24"/>
          <w:szCs w:val="24"/>
        </w:rPr>
        <w:t>嘉实创业板</w:t>
      </w:r>
      <w:r>
        <w:rPr>
          <w:rStyle w:val="da"/>
          <w:rFonts w:ascii="宋体" w:eastAsia="宋体" w:hAnsi="宋体" w:cs="Arial"/>
          <w:sz w:val="24"/>
          <w:szCs w:val="24"/>
        </w:rPr>
        <w:t>ETF”）</w:t>
      </w:r>
      <w:r>
        <w:rPr>
          <w:rStyle w:val="da"/>
          <w:rFonts w:ascii="宋体" w:eastAsia="宋体" w:hAnsi="宋体" w:cs="Arial" w:hint="eastAsia"/>
          <w:sz w:val="24"/>
          <w:szCs w:val="24"/>
        </w:rPr>
        <w:t>的基金管理人嘉实基金管理有限公司(以下简称"基金管理人")已向深圳证券交易所申请终止本基金的上市交易，并获得深圳证券交易所《终止上市通知书》（</w:t>
      </w:r>
      <w:r w:rsidRPr="00F500E5">
        <w:rPr>
          <w:rStyle w:val="da"/>
          <w:rFonts w:ascii="宋体" w:eastAsia="宋体" w:hAnsi="宋体" w:cs="Arial" w:hint="eastAsia"/>
          <w:sz w:val="24"/>
          <w:szCs w:val="24"/>
        </w:rPr>
        <w:t>深证上[2022]</w:t>
      </w:r>
      <w:r w:rsidR="00F500E5" w:rsidRPr="00F500E5">
        <w:rPr>
          <w:rStyle w:val="da"/>
          <w:rFonts w:ascii="宋体" w:eastAsia="宋体" w:hAnsi="宋体" w:cs="Arial"/>
          <w:sz w:val="24"/>
          <w:szCs w:val="24"/>
        </w:rPr>
        <w:t>1115</w:t>
      </w:r>
      <w:r w:rsidRPr="00F500E5">
        <w:rPr>
          <w:rStyle w:val="da"/>
          <w:rFonts w:ascii="宋体" w:eastAsia="宋体" w:hAnsi="宋体" w:cs="Arial" w:hint="eastAsia"/>
          <w:sz w:val="24"/>
          <w:szCs w:val="24"/>
        </w:rPr>
        <w:t>号</w:t>
      </w:r>
      <w:r>
        <w:rPr>
          <w:rStyle w:val="da"/>
          <w:rFonts w:ascii="宋体" w:eastAsia="宋体" w:hAnsi="宋体" w:cs="Arial" w:hint="eastAsia"/>
          <w:sz w:val="24"/>
          <w:szCs w:val="24"/>
        </w:rPr>
        <w:t>）同意。现将本基金终止上市并终止申购赎回的相关事项公告如下：</w:t>
      </w:r>
    </w:p>
    <w:p w:rsidR="004911C9" w:rsidRDefault="004911C9">
      <w:pPr>
        <w:adjustRightInd w:val="0"/>
        <w:snapToGrid w:val="0"/>
        <w:spacing w:line="360" w:lineRule="auto"/>
        <w:ind w:firstLine="480"/>
        <w:rPr>
          <w:rStyle w:val="da"/>
          <w:rFonts w:ascii="宋体" w:eastAsia="宋体" w:hAnsi="宋体" w:cs="Arial"/>
          <w:sz w:val="24"/>
          <w:szCs w:val="24"/>
        </w:rPr>
      </w:pPr>
    </w:p>
    <w:p w:rsidR="004911C9" w:rsidRDefault="007461C8">
      <w:pPr>
        <w:adjustRightInd w:val="0"/>
        <w:snapToGrid w:val="0"/>
        <w:spacing w:line="360" w:lineRule="auto"/>
        <w:ind w:firstLineChars="200" w:firstLine="482"/>
        <w:rPr>
          <w:rStyle w:val="da"/>
          <w:rFonts w:ascii="宋体" w:eastAsia="宋体" w:hAnsi="宋体" w:cs="Arial"/>
          <w:b/>
          <w:sz w:val="24"/>
          <w:szCs w:val="24"/>
        </w:rPr>
      </w:pPr>
      <w:r>
        <w:rPr>
          <w:rStyle w:val="da"/>
          <w:rFonts w:ascii="宋体" w:eastAsia="宋体" w:hAnsi="宋体" w:cs="Arial" w:hint="eastAsia"/>
          <w:b/>
          <w:sz w:val="24"/>
          <w:szCs w:val="24"/>
        </w:rPr>
        <w:t>一、终止上市并终止申购赎回基金的基本信息</w:t>
      </w:r>
      <w:bookmarkStart w:id="0" w:name="_GoBack"/>
      <w:bookmarkEnd w:id="0"/>
    </w:p>
    <w:tbl>
      <w:tblPr>
        <w:tblStyle w:val="a9"/>
        <w:tblW w:w="0" w:type="auto"/>
        <w:tblLook w:val="04A0"/>
      </w:tblPr>
      <w:tblGrid>
        <w:gridCol w:w="2263"/>
        <w:gridCol w:w="6033"/>
      </w:tblGrid>
      <w:tr w:rsidR="004911C9">
        <w:tc>
          <w:tcPr>
            <w:tcW w:w="226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基金名称</w:t>
            </w:r>
          </w:p>
        </w:tc>
        <w:tc>
          <w:tcPr>
            <w:tcW w:w="603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嘉实创业板交易型开放式指数证券投资基金</w:t>
            </w:r>
          </w:p>
        </w:tc>
      </w:tr>
      <w:tr w:rsidR="004911C9">
        <w:tc>
          <w:tcPr>
            <w:tcW w:w="226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基金简称</w:t>
            </w:r>
          </w:p>
        </w:tc>
        <w:tc>
          <w:tcPr>
            <w:tcW w:w="603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嘉实创业板</w:t>
            </w:r>
            <w:r>
              <w:rPr>
                <w:rStyle w:val="da"/>
                <w:rFonts w:ascii="宋体" w:eastAsia="宋体" w:hAnsi="宋体" w:cs="Arial"/>
                <w:sz w:val="24"/>
                <w:szCs w:val="24"/>
              </w:rPr>
              <w:t>ETF</w:t>
            </w:r>
          </w:p>
        </w:tc>
      </w:tr>
      <w:tr w:rsidR="004911C9">
        <w:tc>
          <w:tcPr>
            <w:tcW w:w="226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场内简称</w:t>
            </w:r>
          </w:p>
        </w:tc>
        <w:tc>
          <w:tcPr>
            <w:tcW w:w="603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创业板</w:t>
            </w:r>
            <w:r>
              <w:rPr>
                <w:rStyle w:val="da"/>
                <w:rFonts w:ascii="宋体" w:eastAsia="宋体" w:hAnsi="宋体" w:cs="Arial"/>
                <w:sz w:val="24"/>
                <w:szCs w:val="24"/>
              </w:rPr>
              <w:t>ETF</w:t>
            </w:r>
            <w:r>
              <w:rPr>
                <w:rStyle w:val="da"/>
                <w:rFonts w:ascii="宋体" w:eastAsia="宋体" w:hAnsi="宋体" w:cs="Arial" w:hint="eastAsia"/>
                <w:sz w:val="24"/>
                <w:szCs w:val="24"/>
              </w:rPr>
              <w:t>嘉实</w:t>
            </w:r>
          </w:p>
        </w:tc>
      </w:tr>
      <w:tr w:rsidR="004911C9">
        <w:tc>
          <w:tcPr>
            <w:tcW w:w="226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交易代码</w:t>
            </w:r>
          </w:p>
        </w:tc>
        <w:tc>
          <w:tcPr>
            <w:tcW w:w="603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1599</w:t>
            </w:r>
            <w:r>
              <w:rPr>
                <w:rStyle w:val="da"/>
                <w:rFonts w:ascii="宋体" w:eastAsia="宋体" w:hAnsi="宋体" w:cs="Arial"/>
                <w:sz w:val="24"/>
                <w:szCs w:val="24"/>
              </w:rPr>
              <w:t>55</w:t>
            </w:r>
          </w:p>
        </w:tc>
      </w:tr>
      <w:tr w:rsidR="004911C9">
        <w:tc>
          <w:tcPr>
            <w:tcW w:w="226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终止上市日</w:t>
            </w:r>
          </w:p>
        </w:tc>
        <w:tc>
          <w:tcPr>
            <w:tcW w:w="603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2022</w:t>
            </w:r>
            <w:r>
              <w:rPr>
                <w:rStyle w:val="da"/>
                <w:rFonts w:ascii="宋体" w:eastAsia="宋体" w:hAnsi="宋体" w:cs="Arial"/>
                <w:sz w:val="24"/>
                <w:szCs w:val="24"/>
              </w:rPr>
              <w:t>年11月30日</w:t>
            </w:r>
          </w:p>
        </w:tc>
      </w:tr>
      <w:tr w:rsidR="004911C9">
        <w:tc>
          <w:tcPr>
            <w:tcW w:w="226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终止申购赎回日</w:t>
            </w:r>
          </w:p>
        </w:tc>
        <w:tc>
          <w:tcPr>
            <w:tcW w:w="6033" w:type="dxa"/>
          </w:tcPr>
          <w:p w:rsidR="004911C9" w:rsidRDefault="007461C8">
            <w:pPr>
              <w:adjustRightInd w:val="0"/>
              <w:snapToGrid w:val="0"/>
              <w:spacing w:line="360" w:lineRule="auto"/>
              <w:rPr>
                <w:rStyle w:val="da"/>
                <w:rFonts w:ascii="宋体" w:eastAsia="宋体" w:hAnsi="宋体" w:cs="Arial"/>
                <w:sz w:val="24"/>
                <w:szCs w:val="24"/>
              </w:rPr>
            </w:pPr>
            <w:r>
              <w:rPr>
                <w:rStyle w:val="da"/>
                <w:rFonts w:ascii="宋体" w:eastAsia="宋体" w:hAnsi="宋体" w:cs="Arial" w:hint="eastAsia"/>
                <w:sz w:val="24"/>
                <w:szCs w:val="24"/>
              </w:rPr>
              <w:t>2022</w:t>
            </w:r>
            <w:r>
              <w:rPr>
                <w:rStyle w:val="da"/>
                <w:rFonts w:ascii="宋体" w:eastAsia="宋体" w:hAnsi="宋体" w:cs="Arial"/>
                <w:sz w:val="24"/>
                <w:szCs w:val="24"/>
              </w:rPr>
              <w:t>年11月30日</w:t>
            </w:r>
          </w:p>
        </w:tc>
      </w:tr>
    </w:tbl>
    <w:p w:rsidR="004911C9" w:rsidRDefault="007461C8">
      <w:pPr>
        <w:adjustRightInd w:val="0"/>
        <w:snapToGrid w:val="0"/>
        <w:spacing w:line="360" w:lineRule="auto"/>
        <w:ind w:firstLineChars="200" w:firstLine="480"/>
        <w:rPr>
          <w:rStyle w:val="da"/>
          <w:rFonts w:ascii="宋体" w:eastAsia="宋体" w:hAnsi="宋体" w:cs="Arial"/>
          <w:sz w:val="24"/>
          <w:szCs w:val="24"/>
        </w:rPr>
      </w:pPr>
      <w:r>
        <w:rPr>
          <w:rStyle w:val="da"/>
          <w:rFonts w:ascii="宋体" w:eastAsia="宋体" w:hAnsi="宋体" w:cs="Arial" w:hint="eastAsia"/>
          <w:sz w:val="24"/>
          <w:szCs w:val="24"/>
        </w:rPr>
        <w:t>注：终止上市的权益登记日为</w:t>
      </w:r>
      <w:r>
        <w:rPr>
          <w:rStyle w:val="da"/>
          <w:rFonts w:ascii="宋体" w:eastAsia="宋体" w:hAnsi="宋体" w:cs="Arial"/>
          <w:sz w:val="24"/>
          <w:szCs w:val="24"/>
        </w:rPr>
        <w:t xml:space="preserve"> 202</w:t>
      </w:r>
      <w:r>
        <w:rPr>
          <w:rStyle w:val="da"/>
          <w:rFonts w:ascii="宋体" w:eastAsia="宋体" w:hAnsi="宋体" w:cs="Arial" w:hint="eastAsia"/>
          <w:sz w:val="24"/>
          <w:szCs w:val="24"/>
        </w:rPr>
        <w:t>2</w:t>
      </w:r>
      <w:r>
        <w:rPr>
          <w:rStyle w:val="da"/>
          <w:rFonts w:ascii="宋体" w:eastAsia="宋体" w:hAnsi="宋体" w:cs="Arial"/>
          <w:sz w:val="24"/>
          <w:szCs w:val="24"/>
        </w:rPr>
        <w:t>年11月</w:t>
      </w:r>
      <w:r>
        <w:rPr>
          <w:rStyle w:val="da"/>
          <w:rFonts w:ascii="宋体" w:eastAsia="宋体" w:hAnsi="宋体" w:cs="Arial" w:hint="eastAsia"/>
          <w:sz w:val="24"/>
          <w:szCs w:val="24"/>
        </w:rPr>
        <w:t>2</w:t>
      </w:r>
      <w:r>
        <w:rPr>
          <w:rStyle w:val="da"/>
          <w:rFonts w:ascii="宋体" w:eastAsia="宋体" w:hAnsi="宋体" w:cs="Arial"/>
          <w:sz w:val="24"/>
          <w:szCs w:val="24"/>
        </w:rPr>
        <w:t>9日，即在</w:t>
      </w:r>
      <w:r>
        <w:rPr>
          <w:rStyle w:val="da"/>
          <w:rFonts w:ascii="宋体" w:eastAsia="宋体" w:hAnsi="宋体" w:cs="Arial" w:hint="eastAsia"/>
          <w:sz w:val="24"/>
          <w:szCs w:val="24"/>
        </w:rPr>
        <w:t>2022</w:t>
      </w:r>
      <w:r>
        <w:rPr>
          <w:rStyle w:val="da"/>
          <w:rFonts w:ascii="宋体" w:eastAsia="宋体" w:hAnsi="宋体" w:cs="Arial"/>
          <w:sz w:val="24"/>
          <w:szCs w:val="24"/>
        </w:rPr>
        <w:t>年</w:t>
      </w:r>
      <w:r>
        <w:rPr>
          <w:rStyle w:val="da"/>
          <w:rFonts w:ascii="宋体" w:eastAsia="宋体" w:hAnsi="宋体" w:cs="Arial" w:hint="eastAsia"/>
          <w:sz w:val="24"/>
          <w:szCs w:val="24"/>
        </w:rPr>
        <w:t>1</w:t>
      </w:r>
      <w:r>
        <w:rPr>
          <w:rStyle w:val="da"/>
          <w:rFonts w:ascii="宋体" w:eastAsia="宋体" w:hAnsi="宋体" w:cs="Arial"/>
          <w:sz w:val="24"/>
          <w:szCs w:val="24"/>
        </w:rPr>
        <w:t>1月</w:t>
      </w:r>
      <w:r>
        <w:rPr>
          <w:rStyle w:val="da"/>
          <w:rFonts w:ascii="宋体" w:eastAsia="宋体" w:hAnsi="宋体" w:cs="Arial" w:hint="eastAsia"/>
          <w:sz w:val="24"/>
          <w:szCs w:val="24"/>
        </w:rPr>
        <w:t>2</w:t>
      </w:r>
      <w:r>
        <w:rPr>
          <w:rStyle w:val="da"/>
          <w:rFonts w:ascii="宋体" w:eastAsia="宋体" w:hAnsi="宋体" w:cs="Arial"/>
          <w:sz w:val="24"/>
          <w:szCs w:val="24"/>
        </w:rPr>
        <w:t>9日下午深圳</w:t>
      </w:r>
      <w:r>
        <w:rPr>
          <w:rStyle w:val="da"/>
          <w:rFonts w:ascii="宋体" w:eastAsia="宋体" w:hAnsi="宋体" w:cs="Arial" w:hint="eastAsia"/>
          <w:sz w:val="24"/>
          <w:szCs w:val="24"/>
        </w:rPr>
        <w:t>证券交易所交易结束后，在中国证券登记结算有限责任公司登记在册的本基金全体基金份额持有人享有本基金终止上市后的相关权利。</w:t>
      </w:r>
    </w:p>
    <w:p w:rsidR="004911C9" w:rsidRDefault="004911C9">
      <w:pPr>
        <w:adjustRightInd w:val="0"/>
        <w:snapToGrid w:val="0"/>
        <w:spacing w:line="360" w:lineRule="auto"/>
        <w:ind w:firstLineChars="200" w:firstLine="480"/>
        <w:rPr>
          <w:rStyle w:val="da"/>
          <w:rFonts w:ascii="宋体" w:eastAsia="宋体" w:hAnsi="宋体" w:cs="Arial"/>
          <w:sz w:val="24"/>
          <w:szCs w:val="24"/>
        </w:rPr>
      </w:pPr>
    </w:p>
    <w:p w:rsidR="004911C9" w:rsidRDefault="007461C8">
      <w:pPr>
        <w:adjustRightInd w:val="0"/>
        <w:snapToGrid w:val="0"/>
        <w:spacing w:line="360" w:lineRule="auto"/>
        <w:ind w:firstLineChars="200" w:firstLine="482"/>
        <w:rPr>
          <w:rStyle w:val="da"/>
          <w:rFonts w:ascii="宋体" w:eastAsia="宋体" w:hAnsi="宋体" w:cs="Arial"/>
          <w:b/>
          <w:sz w:val="24"/>
          <w:szCs w:val="24"/>
        </w:rPr>
      </w:pPr>
      <w:r>
        <w:rPr>
          <w:rStyle w:val="da"/>
          <w:rFonts w:ascii="宋体" w:eastAsia="宋体" w:hAnsi="宋体" w:cs="Arial" w:hint="eastAsia"/>
          <w:b/>
          <w:sz w:val="24"/>
          <w:szCs w:val="24"/>
        </w:rPr>
        <w:t>二、有关基金份额持有人大会决议的相关信息</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嘉实创业板交易型开放式指数证券投资基金基金份额持有人大会以通讯方式召开，会议审议通过了《关于嘉实创业板交易型开放式指数证券投资基金终止基金合同并终止上市有关事项的议案》（以下简称“《议案》”）。基金份额持有人大会决议于2022年</w:t>
      </w:r>
      <w:r>
        <w:rPr>
          <w:rStyle w:val="da"/>
          <w:rFonts w:ascii="宋体" w:eastAsia="宋体" w:hAnsi="宋体" w:cs="Arial"/>
          <w:sz w:val="24"/>
          <w:szCs w:val="24"/>
        </w:rPr>
        <w:t>11</w:t>
      </w:r>
      <w:r>
        <w:rPr>
          <w:rStyle w:val="da"/>
          <w:rFonts w:ascii="宋体" w:eastAsia="宋体" w:hAnsi="宋体" w:cs="Arial" w:hint="eastAsia"/>
          <w:sz w:val="24"/>
          <w:szCs w:val="24"/>
        </w:rPr>
        <w:t>月</w:t>
      </w:r>
      <w:r>
        <w:rPr>
          <w:rStyle w:val="da"/>
          <w:rFonts w:ascii="宋体" w:eastAsia="宋体" w:hAnsi="宋体" w:cs="Arial"/>
          <w:sz w:val="24"/>
          <w:szCs w:val="24"/>
        </w:rPr>
        <w:t>22</w:t>
      </w:r>
      <w:r>
        <w:rPr>
          <w:rStyle w:val="da"/>
          <w:rFonts w:ascii="宋体" w:eastAsia="宋体" w:hAnsi="宋体" w:cs="Arial" w:hint="eastAsia"/>
          <w:sz w:val="24"/>
          <w:szCs w:val="24"/>
        </w:rPr>
        <w:t>日表决通过之日起生效。基金管理人于2022年</w:t>
      </w:r>
      <w:r>
        <w:rPr>
          <w:rStyle w:val="da"/>
          <w:rFonts w:ascii="宋体" w:eastAsia="宋体" w:hAnsi="宋体" w:cs="Arial"/>
          <w:sz w:val="24"/>
          <w:szCs w:val="24"/>
        </w:rPr>
        <w:t>11</w:t>
      </w:r>
      <w:r>
        <w:rPr>
          <w:rStyle w:val="da"/>
          <w:rFonts w:ascii="宋体" w:eastAsia="宋体" w:hAnsi="宋体" w:cs="Arial" w:hint="eastAsia"/>
          <w:sz w:val="24"/>
          <w:szCs w:val="24"/>
        </w:rPr>
        <w:lastRenderedPageBreak/>
        <w:t>月</w:t>
      </w:r>
      <w:r>
        <w:rPr>
          <w:rStyle w:val="da"/>
          <w:rFonts w:ascii="宋体" w:eastAsia="宋体" w:hAnsi="宋体" w:cs="Arial"/>
          <w:sz w:val="24"/>
          <w:szCs w:val="24"/>
        </w:rPr>
        <w:t>23</w:t>
      </w:r>
      <w:r>
        <w:rPr>
          <w:rStyle w:val="da"/>
          <w:rFonts w:ascii="宋体" w:eastAsia="宋体" w:hAnsi="宋体" w:cs="Arial" w:hint="eastAsia"/>
          <w:sz w:val="24"/>
          <w:szCs w:val="24"/>
        </w:rPr>
        <w:t>日发布了《关于嘉实创业板交易型开放式指数证券投资基金基金份额持有人大会表决结果暨决议生效的公告》。本基金已于</w:t>
      </w:r>
      <w:r>
        <w:rPr>
          <w:rStyle w:val="da"/>
          <w:rFonts w:ascii="宋体" w:eastAsia="宋体" w:hAnsi="宋体" w:cs="Arial"/>
          <w:sz w:val="24"/>
          <w:szCs w:val="24"/>
        </w:rPr>
        <w:t>2022年11月22日开市起停牌，不再复牌直至终止上市。本基金申购业务已于2022</w:t>
      </w:r>
      <w:r>
        <w:rPr>
          <w:rStyle w:val="da"/>
          <w:rFonts w:ascii="宋体" w:eastAsia="宋体" w:hAnsi="宋体" w:cs="Arial" w:hint="eastAsia"/>
          <w:sz w:val="24"/>
          <w:szCs w:val="24"/>
        </w:rPr>
        <w:t>年1</w:t>
      </w:r>
      <w:r>
        <w:rPr>
          <w:rStyle w:val="da"/>
          <w:rFonts w:ascii="宋体" w:eastAsia="宋体" w:hAnsi="宋体" w:cs="Arial"/>
          <w:sz w:val="24"/>
          <w:szCs w:val="24"/>
        </w:rPr>
        <w:t>1月22日暂停，不再恢复。</w:t>
      </w:r>
      <w:r>
        <w:rPr>
          <w:rStyle w:val="da"/>
          <w:rFonts w:ascii="宋体" w:eastAsia="宋体" w:hAnsi="宋体" w:cs="Arial" w:hint="eastAsia"/>
          <w:sz w:val="24"/>
          <w:szCs w:val="24"/>
        </w:rPr>
        <w:t>本基金自2</w:t>
      </w:r>
      <w:r>
        <w:rPr>
          <w:rStyle w:val="da"/>
          <w:rFonts w:ascii="宋体" w:eastAsia="宋体" w:hAnsi="宋体" w:cs="Arial"/>
          <w:sz w:val="24"/>
          <w:szCs w:val="24"/>
        </w:rPr>
        <w:t>022</w:t>
      </w:r>
      <w:r>
        <w:rPr>
          <w:rStyle w:val="da"/>
          <w:rFonts w:ascii="宋体" w:eastAsia="宋体" w:hAnsi="宋体" w:cs="Arial" w:hint="eastAsia"/>
          <w:sz w:val="24"/>
          <w:szCs w:val="24"/>
        </w:rPr>
        <w:t>年1</w:t>
      </w:r>
      <w:r>
        <w:rPr>
          <w:rStyle w:val="da"/>
          <w:rFonts w:ascii="宋体" w:eastAsia="宋体" w:hAnsi="宋体" w:cs="Arial"/>
          <w:sz w:val="24"/>
          <w:szCs w:val="24"/>
        </w:rPr>
        <w:t>1</w:t>
      </w:r>
      <w:r>
        <w:rPr>
          <w:rStyle w:val="da"/>
          <w:rFonts w:ascii="宋体" w:eastAsia="宋体" w:hAnsi="宋体" w:cs="Arial" w:hint="eastAsia"/>
          <w:sz w:val="24"/>
          <w:szCs w:val="24"/>
        </w:rPr>
        <w:t>月2</w:t>
      </w:r>
      <w:r>
        <w:rPr>
          <w:rStyle w:val="da"/>
          <w:rFonts w:ascii="宋体" w:eastAsia="宋体" w:hAnsi="宋体" w:cs="Arial"/>
          <w:sz w:val="24"/>
          <w:szCs w:val="24"/>
        </w:rPr>
        <w:t>3</w:t>
      </w:r>
      <w:r>
        <w:rPr>
          <w:rStyle w:val="da"/>
          <w:rFonts w:ascii="宋体" w:eastAsia="宋体" w:hAnsi="宋体" w:cs="Arial" w:hint="eastAsia"/>
          <w:sz w:val="24"/>
          <w:szCs w:val="24"/>
        </w:rPr>
        <w:t>日起进入清算程序，停止办理赎回业务。</w:t>
      </w:r>
    </w:p>
    <w:p w:rsidR="004911C9" w:rsidRDefault="004911C9">
      <w:pPr>
        <w:adjustRightInd w:val="0"/>
        <w:snapToGrid w:val="0"/>
        <w:spacing w:line="360" w:lineRule="auto"/>
        <w:ind w:firstLineChars="200" w:firstLine="480"/>
        <w:rPr>
          <w:rStyle w:val="da"/>
          <w:rFonts w:ascii="宋体" w:eastAsia="宋体" w:hAnsi="宋体" w:cs="Arial"/>
          <w:sz w:val="24"/>
          <w:szCs w:val="24"/>
        </w:rPr>
      </w:pPr>
    </w:p>
    <w:p w:rsidR="004911C9" w:rsidRDefault="007461C8">
      <w:pPr>
        <w:adjustRightInd w:val="0"/>
        <w:snapToGrid w:val="0"/>
        <w:spacing w:line="360" w:lineRule="auto"/>
        <w:ind w:firstLineChars="200" w:firstLine="482"/>
        <w:rPr>
          <w:rStyle w:val="da"/>
          <w:rFonts w:ascii="宋体" w:eastAsia="宋体" w:hAnsi="宋体" w:cs="Arial"/>
          <w:b/>
          <w:sz w:val="24"/>
          <w:szCs w:val="24"/>
        </w:rPr>
      </w:pPr>
      <w:r>
        <w:rPr>
          <w:rStyle w:val="da"/>
          <w:rFonts w:ascii="宋体" w:eastAsia="宋体" w:hAnsi="宋体" w:cs="Arial" w:hint="eastAsia"/>
          <w:b/>
          <w:sz w:val="24"/>
          <w:szCs w:val="24"/>
        </w:rPr>
        <w:t>三、</w:t>
      </w:r>
      <w:r>
        <w:rPr>
          <w:rStyle w:val="da"/>
          <w:rFonts w:ascii="宋体" w:eastAsia="宋体" w:hAnsi="宋体" w:cs="Arial"/>
          <w:b/>
          <w:sz w:val="24"/>
          <w:szCs w:val="24"/>
        </w:rPr>
        <w:t>基金终止上市</w:t>
      </w:r>
      <w:r>
        <w:rPr>
          <w:rStyle w:val="da"/>
          <w:rFonts w:ascii="宋体" w:eastAsia="宋体" w:hAnsi="宋体" w:cs="Arial" w:hint="eastAsia"/>
          <w:b/>
          <w:sz w:val="24"/>
          <w:szCs w:val="24"/>
        </w:rPr>
        <w:t>并终止申购赎回</w:t>
      </w:r>
      <w:r>
        <w:rPr>
          <w:rStyle w:val="da"/>
          <w:rFonts w:ascii="宋体" w:eastAsia="宋体" w:hAnsi="宋体" w:cs="Arial"/>
          <w:b/>
          <w:sz w:val="24"/>
          <w:szCs w:val="24"/>
        </w:rPr>
        <w:t>后续事项说明</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本基金的基金合同依据基金份额持有人大会决议生效的《议案》终止，基金管理人将根据相关法律法规、基金合同等规定成立基金财产清算组，履行基金财产清算程序。基金财产清算相关事宜如下：</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1、本基金自2022年</w:t>
      </w:r>
      <w:r>
        <w:rPr>
          <w:rStyle w:val="da"/>
          <w:rFonts w:ascii="宋体" w:eastAsia="宋体" w:hAnsi="宋体" w:cs="Arial"/>
          <w:sz w:val="24"/>
          <w:szCs w:val="24"/>
        </w:rPr>
        <w:t>11</w:t>
      </w:r>
      <w:r>
        <w:rPr>
          <w:rStyle w:val="da"/>
          <w:rFonts w:ascii="宋体" w:eastAsia="宋体" w:hAnsi="宋体" w:cs="Arial" w:hint="eastAsia"/>
          <w:sz w:val="24"/>
          <w:szCs w:val="24"/>
        </w:rPr>
        <w:t>月</w:t>
      </w:r>
      <w:r>
        <w:rPr>
          <w:rStyle w:val="da"/>
          <w:rFonts w:ascii="宋体" w:eastAsia="宋体" w:hAnsi="宋体" w:cs="Arial"/>
          <w:sz w:val="24"/>
          <w:szCs w:val="24"/>
        </w:rPr>
        <w:t>23</w:t>
      </w:r>
      <w:r>
        <w:rPr>
          <w:rStyle w:val="da"/>
          <w:rFonts w:ascii="宋体" w:eastAsia="宋体" w:hAnsi="宋体" w:cs="Arial" w:hint="eastAsia"/>
          <w:sz w:val="24"/>
          <w:szCs w:val="24"/>
        </w:rPr>
        <w:t>日起进入清算程序。进入清算程序后，基金管理人不再接受持有人提出的份额申购、赎回等业务申请。本基金进入清算程序后，停止收取基金管理费、基金托管费和指数许可使用费。</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2、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3、基金</w:t>
      </w:r>
      <w:r w:rsidR="008C7A4D">
        <w:rPr>
          <w:rStyle w:val="da"/>
          <w:rFonts w:ascii="宋体" w:eastAsia="宋体" w:hAnsi="宋体" w:cs="Arial" w:hint="eastAsia"/>
          <w:sz w:val="24"/>
          <w:szCs w:val="24"/>
        </w:rPr>
        <w:t>财产</w:t>
      </w:r>
      <w:r>
        <w:rPr>
          <w:rStyle w:val="da"/>
          <w:rFonts w:ascii="宋体" w:eastAsia="宋体" w:hAnsi="宋体" w:cs="Arial" w:hint="eastAsia"/>
          <w:sz w:val="24"/>
          <w:szCs w:val="24"/>
        </w:rPr>
        <w:t>清算程序：</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1</w:t>
      </w:r>
      <w:r>
        <w:rPr>
          <w:rStyle w:val="da"/>
          <w:rFonts w:ascii="宋体" w:eastAsia="宋体" w:hAnsi="宋体" w:cs="Arial" w:hint="eastAsia"/>
          <w:sz w:val="24"/>
          <w:szCs w:val="24"/>
        </w:rPr>
        <w:t>）基金财产清算小组成立后，由基金财产清算小组统一接管基金；</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2</w:t>
      </w:r>
      <w:r>
        <w:rPr>
          <w:rStyle w:val="da"/>
          <w:rFonts w:ascii="宋体" w:eastAsia="宋体" w:hAnsi="宋体" w:cs="Arial" w:hint="eastAsia"/>
          <w:sz w:val="24"/>
          <w:szCs w:val="24"/>
        </w:rPr>
        <w:t>）对基金财产和债权债务进行清理和确认；</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3</w:t>
      </w:r>
      <w:r>
        <w:rPr>
          <w:rStyle w:val="da"/>
          <w:rFonts w:ascii="宋体" w:eastAsia="宋体" w:hAnsi="宋体" w:cs="Arial" w:hint="eastAsia"/>
          <w:sz w:val="24"/>
          <w:szCs w:val="24"/>
        </w:rPr>
        <w:t>）对基金财产进行估值和变现；</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4</w:t>
      </w:r>
      <w:r>
        <w:rPr>
          <w:rStyle w:val="da"/>
          <w:rFonts w:ascii="宋体" w:eastAsia="宋体" w:hAnsi="宋体" w:cs="Arial" w:hint="eastAsia"/>
          <w:sz w:val="24"/>
          <w:szCs w:val="24"/>
        </w:rPr>
        <w:t>）制作清算报告；</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5</w:t>
      </w:r>
      <w:r>
        <w:rPr>
          <w:rStyle w:val="da"/>
          <w:rFonts w:ascii="宋体" w:eastAsia="宋体" w:hAnsi="宋体" w:cs="Arial" w:hint="eastAsia"/>
          <w:sz w:val="24"/>
          <w:szCs w:val="24"/>
        </w:rPr>
        <w:t>）聘请会计师事务所对清算报告进行外部审计，聘请律师事务所对清算报告出具法律意见书；</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6</w:t>
      </w:r>
      <w:r>
        <w:rPr>
          <w:rStyle w:val="da"/>
          <w:rFonts w:ascii="宋体" w:eastAsia="宋体" w:hAnsi="宋体" w:cs="Arial" w:hint="eastAsia"/>
          <w:sz w:val="24"/>
          <w:szCs w:val="24"/>
        </w:rPr>
        <w:t>）将清算报告报中国证监会备案并公告；</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w:t>
      </w:r>
      <w:r>
        <w:rPr>
          <w:rStyle w:val="da"/>
          <w:rFonts w:ascii="宋体" w:eastAsia="宋体" w:hAnsi="宋体" w:cs="Arial"/>
          <w:sz w:val="24"/>
          <w:szCs w:val="24"/>
        </w:rPr>
        <w:t>7</w:t>
      </w:r>
      <w:r>
        <w:rPr>
          <w:rStyle w:val="da"/>
          <w:rFonts w:ascii="宋体" w:eastAsia="宋体" w:hAnsi="宋体" w:cs="Arial" w:hint="eastAsia"/>
          <w:sz w:val="24"/>
          <w:szCs w:val="24"/>
        </w:rPr>
        <w:t>）对基金剩余财产进行分配。</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4、清算费用</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清算费用是指基金财产清算小组在进行基金清算过程中发生的所有合理费用。按照《基金合同》的规定，清算费用应由基金财产清算小组优先从基金财产中支付。考虑到本基金清算的实际情况，从保护基金份额持有人利益的角度出发，本基金的清算费用将由基金管理人承担。</w:t>
      </w:r>
      <w:r>
        <w:rPr>
          <w:rStyle w:val="da"/>
          <w:rFonts w:ascii="宋体" w:eastAsia="宋体" w:hAnsi="宋体" w:cs="Arial"/>
          <w:sz w:val="24"/>
          <w:szCs w:val="24"/>
        </w:rPr>
        <w:t xml:space="preserve"> </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lastRenderedPageBreak/>
        <w:t>5、基金剩余财产的分配</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本基金基金财产清算后的全部剩余资产扣除基金财产清算费用（本基金清算费用由基金管理人承担）、交纳所欠税款并清偿基金债务后，按基金份额持有人持有的基金份额比例进行分配。</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对于基金缴存于中国证券登记结算有限责任公司的最低结算备付金和交易单元保证金等，由</w:t>
      </w:r>
      <w:r>
        <w:rPr>
          <w:rStyle w:val="da"/>
          <w:rFonts w:ascii="宋体" w:eastAsia="宋体" w:hAnsi="宋体" w:cs="Arial"/>
          <w:sz w:val="24"/>
          <w:szCs w:val="24"/>
        </w:rPr>
        <w:t>基金管理人</w:t>
      </w:r>
      <w:r>
        <w:rPr>
          <w:rStyle w:val="da"/>
          <w:rFonts w:ascii="宋体" w:eastAsia="宋体" w:hAnsi="宋体" w:cs="Arial" w:hint="eastAsia"/>
          <w:sz w:val="24"/>
          <w:szCs w:val="24"/>
        </w:rPr>
        <w:t>先行</w:t>
      </w:r>
      <w:r>
        <w:rPr>
          <w:rStyle w:val="da"/>
          <w:rFonts w:ascii="宋体" w:eastAsia="宋体" w:hAnsi="宋体" w:cs="Arial"/>
          <w:sz w:val="24"/>
          <w:szCs w:val="24"/>
        </w:rPr>
        <w:t>垫付，</w:t>
      </w:r>
      <w:r>
        <w:rPr>
          <w:rStyle w:val="da"/>
          <w:rFonts w:ascii="宋体" w:eastAsia="宋体" w:hAnsi="宋体" w:cs="Arial" w:hint="eastAsia"/>
          <w:sz w:val="24"/>
          <w:szCs w:val="24"/>
        </w:rPr>
        <w:t>在中国证券登记结算有限责任公司对其进行调整后收回的</w:t>
      </w:r>
      <w:r>
        <w:rPr>
          <w:rStyle w:val="da"/>
          <w:rFonts w:ascii="宋体" w:eastAsia="宋体" w:hAnsi="宋体" w:cs="Arial"/>
          <w:sz w:val="24"/>
          <w:szCs w:val="24"/>
        </w:rPr>
        <w:t>资金返还给基金管理人</w:t>
      </w:r>
      <w:r>
        <w:rPr>
          <w:rStyle w:val="da"/>
          <w:rFonts w:ascii="宋体" w:eastAsia="宋体" w:hAnsi="宋体" w:cs="Arial" w:hint="eastAsia"/>
          <w:sz w:val="24"/>
          <w:szCs w:val="24"/>
        </w:rPr>
        <w:t>。</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6、基金资</w:t>
      </w:r>
      <w:r>
        <w:rPr>
          <w:rStyle w:val="da"/>
          <w:rFonts w:ascii="宋体" w:eastAsia="宋体" w:hAnsi="宋体" w:cs="Arial"/>
          <w:sz w:val="24"/>
          <w:szCs w:val="24"/>
        </w:rPr>
        <w:t>产清算完毕，清算结果报中国证监会备案并予以公告后，基金合同终止。</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sz w:val="24"/>
          <w:szCs w:val="24"/>
        </w:rPr>
        <w:t>本基金终止上市后，基金管理人将按照中国证券登记结算有限责任公司深圳分公司的规定办理场内基金份额退出登记等业务。</w:t>
      </w: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投资者欲了解详细情况，可登录本基金管理人网站（www.jsfund.cn），或拨打客户服务电话 400-600-8800（免长途通话费） 咨询相关信息。</w:t>
      </w:r>
    </w:p>
    <w:p w:rsidR="004911C9" w:rsidRDefault="004911C9">
      <w:pPr>
        <w:adjustRightInd w:val="0"/>
        <w:snapToGrid w:val="0"/>
        <w:spacing w:line="360" w:lineRule="auto"/>
        <w:ind w:firstLine="480"/>
        <w:rPr>
          <w:rStyle w:val="da"/>
          <w:rFonts w:ascii="宋体" w:eastAsia="宋体" w:hAnsi="宋体" w:cs="Arial"/>
          <w:sz w:val="24"/>
          <w:szCs w:val="24"/>
        </w:rPr>
      </w:pPr>
    </w:p>
    <w:p w:rsidR="004911C9" w:rsidRDefault="007461C8">
      <w:pPr>
        <w:adjustRightInd w:val="0"/>
        <w:snapToGrid w:val="0"/>
        <w:spacing w:line="360" w:lineRule="auto"/>
        <w:ind w:firstLine="480"/>
        <w:rPr>
          <w:rStyle w:val="da"/>
          <w:rFonts w:ascii="宋体" w:eastAsia="宋体" w:hAnsi="宋体" w:cs="Arial"/>
          <w:sz w:val="24"/>
          <w:szCs w:val="24"/>
        </w:rPr>
      </w:pPr>
      <w:r>
        <w:rPr>
          <w:rStyle w:val="da"/>
          <w:rFonts w:ascii="宋体" w:eastAsia="宋体" w:hAnsi="宋体" w:cs="Arial" w:hint="eastAsia"/>
          <w:sz w:val="24"/>
          <w:szCs w:val="24"/>
        </w:rPr>
        <w:t>特此公告。</w:t>
      </w:r>
    </w:p>
    <w:p w:rsidR="004911C9" w:rsidRDefault="007461C8">
      <w:pPr>
        <w:adjustRightInd w:val="0"/>
        <w:snapToGrid w:val="0"/>
        <w:spacing w:line="360" w:lineRule="auto"/>
        <w:ind w:firstLine="480"/>
        <w:jc w:val="right"/>
        <w:rPr>
          <w:rStyle w:val="da"/>
          <w:rFonts w:ascii="宋体" w:eastAsia="宋体" w:hAnsi="宋体" w:cs="Arial"/>
          <w:sz w:val="24"/>
          <w:szCs w:val="24"/>
        </w:rPr>
      </w:pPr>
      <w:r>
        <w:rPr>
          <w:rStyle w:val="da"/>
          <w:rFonts w:ascii="宋体" w:eastAsia="宋体" w:hAnsi="宋体" w:cs="Arial" w:hint="eastAsia"/>
          <w:sz w:val="24"/>
          <w:szCs w:val="24"/>
        </w:rPr>
        <w:t>嘉实基金管理有限公司</w:t>
      </w:r>
    </w:p>
    <w:p w:rsidR="004911C9" w:rsidRDefault="007461C8">
      <w:pPr>
        <w:adjustRightInd w:val="0"/>
        <w:snapToGrid w:val="0"/>
        <w:spacing w:line="360" w:lineRule="auto"/>
        <w:ind w:firstLine="480"/>
        <w:jc w:val="right"/>
        <w:rPr>
          <w:rStyle w:val="da"/>
          <w:rFonts w:ascii="宋体" w:eastAsia="宋体" w:hAnsi="宋体" w:cs="Arial"/>
          <w:sz w:val="24"/>
          <w:szCs w:val="24"/>
        </w:rPr>
      </w:pPr>
      <w:r>
        <w:rPr>
          <w:rStyle w:val="da"/>
          <w:rFonts w:ascii="宋体" w:eastAsia="宋体" w:hAnsi="宋体" w:cs="Arial" w:hint="eastAsia"/>
          <w:sz w:val="24"/>
          <w:szCs w:val="24"/>
        </w:rPr>
        <w:t>202</w:t>
      </w:r>
      <w:r>
        <w:rPr>
          <w:rStyle w:val="da"/>
          <w:rFonts w:ascii="宋体" w:eastAsia="宋体" w:hAnsi="宋体" w:cs="Arial"/>
          <w:sz w:val="24"/>
          <w:szCs w:val="24"/>
        </w:rPr>
        <w:t>2</w:t>
      </w:r>
      <w:r>
        <w:rPr>
          <w:rStyle w:val="da"/>
          <w:rFonts w:ascii="宋体" w:eastAsia="宋体" w:hAnsi="宋体" w:cs="Arial" w:hint="eastAsia"/>
          <w:sz w:val="24"/>
          <w:szCs w:val="24"/>
        </w:rPr>
        <w:t>年</w:t>
      </w:r>
      <w:r>
        <w:rPr>
          <w:rStyle w:val="da"/>
          <w:rFonts w:ascii="宋体" w:eastAsia="宋体" w:hAnsi="宋体" w:cs="Arial"/>
          <w:sz w:val="24"/>
          <w:szCs w:val="24"/>
        </w:rPr>
        <w:t>11</w:t>
      </w:r>
      <w:r>
        <w:rPr>
          <w:rStyle w:val="da"/>
          <w:rFonts w:ascii="宋体" w:eastAsia="宋体" w:hAnsi="宋体" w:cs="Arial" w:hint="eastAsia"/>
          <w:sz w:val="24"/>
          <w:szCs w:val="24"/>
        </w:rPr>
        <w:t>月</w:t>
      </w:r>
      <w:r>
        <w:rPr>
          <w:rStyle w:val="da"/>
          <w:rFonts w:ascii="宋体" w:eastAsia="宋体" w:hAnsi="宋体" w:cs="Arial"/>
          <w:sz w:val="24"/>
          <w:szCs w:val="24"/>
        </w:rPr>
        <w:t>25</w:t>
      </w:r>
      <w:r>
        <w:rPr>
          <w:rStyle w:val="da"/>
          <w:rFonts w:ascii="宋体" w:eastAsia="宋体" w:hAnsi="宋体" w:cs="Arial" w:hint="eastAsia"/>
          <w:sz w:val="24"/>
          <w:szCs w:val="24"/>
        </w:rPr>
        <w:t>日</w:t>
      </w:r>
    </w:p>
    <w:p w:rsidR="004911C9" w:rsidRDefault="004911C9">
      <w:pPr>
        <w:rPr>
          <w:rFonts w:ascii="宋体" w:eastAsia="宋体" w:hAnsi="宋体"/>
          <w:sz w:val="24"/>
          <w:szCs w:val="24"/>
        </w:rPr>
      </w:pPr>
    </w:p>
    <w:sectPr w:rsidR="004911C9" w:rsidSect="00D0168F">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29C4" w16cex:dateUtc="2022-11-17T13:44:00Z"/>
  <w16cex:commentExtensible w16cex:durableId="27212A30" w16cex:dateUtc="2022-11-17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E83DF2" w16cid:durableId="2721250D"/>
  <w16cid:commentId w16cid:paraId="0B1C9AE9" w16cid:durableId="272129C4"/>
  <w16cid:commentId w16cid:paraId="011B2E2A" w16cid:durableId="27212A30"/>
  <w16cid:commentId w16cid:paraId="3D845F17" w16cid:durableId="2721250E"/>
  <w16cid:commentId w16cid:paraId="4F3D2CBF" w16cid:durableId="2721250F"/>
</w16cid:commentsId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2AAA"/>
    <w:rsid w:val="000A17BA"/>
    <w:rsid w:val="000F1B7E"/>
    <w:rsid w:val="001603AA"/>
    <w:rsid w:val="0016147D"/>
    <w:rsid w:val="001755F0"/>
    <w:rsid w:val="001A1BE6"/>
    <w:rsid w:val="001C1EE3"/>
    <w:rsid w:val="002E34C2"/>
    <w:rsid w:val="003269A0"/>
    <w:rsid w:val="00353564"/>
    <w:rsid w:val="003E4DDA"/>
    <w:rsid w:val="004714E8"/>
    <w:rsid w:val="00475623"/>
    <w:rsid w:val="004872B3"/>
    <w:rsid w:val="004911C9"/>
    <w:rsid w:val="004D2AAA"/>
    <w:rsid w:val="00571F44"/>
    <w:rsid w:val="005B2E1C"/>
    <w:rsid w:val="005E0B47"/>
    <w:rsid w:val="006651FF"/>
    <w:rsid w:val="006E4AFA"/>
    <w:rsid w:val="006F5352"/>
    <w:rsid w:val="00710305"/>
    <w:rsid w:val="007461C8"/>
    <w:rsid w:val="00795696"/>
    <w:rsid w:val="00851067"/>
    <w:rsid w:val="008823FF"/>
    <w:rsid w:val="008C0D51"/>
    <w:rsid w:val="008C7A4D"/>
    <w:rsid w:val="00A12D0A"/>
    <w:rsid w:val="00AD47F4"/>
    <w:rsid w:val="00B17DD1"/>
    <w:rsid w:val="00BF22FB"/>
    <w:rsid w:val="00C11FFD"/>
    <w:rsid w:val="00C40E9E"/>
    <w:rsid w:val="00CB2625"/>
    <w:rsid w:val="00CD08A9"/>
    <w:rsid w:val="00CD64AD"/>
    <w:rsid w:val="00D0168F"/>
    <w:rsid w:val="00D65F1A"/>
    <w:rsid w:val="00D75A91"/>
    <w:rsid w:val="00D9198E"/>
    <w:rsid w:val="00DE061F"/>
    <w:rsid w:val="00DF397A"/>
    <w:rsid w:val="00DF5E11"/>
    <w:rsid w:val="00EB0861"/>
    <w:rsid w:val="00EF3AFD"/>
    <w:rsid w:val="00F31A41"/>
    <w:rsid w:val="00F500E5"/>
    <w:rsid w:val="00F673A5"/>
    <w:rsid w:val="36303212"/>
    <w:rsid w:val="6BAA3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8F"/>
    <w:pPr>
      <w:widowControl w:val="0"/>
      <w:jc w:val="both"/>
    </w:pPr>
    <w:rPr>
      <w:kern w:val="2"/>
      <w:sz w:val="21"/>
      <w:szCs w:val="22"/>
    </w:rPr>
  </w:style>
  <w:style w:type="paragraph" w:styleId="4">
    <w:name w:val="heading 4"/>
    <w:basedOn w:val="a"/>
    <w:next w:val="a"/>
    <w:link w:val="4Char"/>
    <w:uiPriority w:val="9"/>
    <w:qFormat/>
    <w:rsid w:val="00D0168F"/>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qFormat/>
    <w:rsid w:val="00D0168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D0168F"/>
    <w:pPr>
      <w:jc w:val="left"/>
    </w:pPr>
  </w:style>
  <w:style w:type="paragraph" w:styleId="a4">
    <w:name w:val="Balloon Text"/>
    <w:basedOn w:val="a"/>
    <w:link w:val="Char0"/>
    <w:uiPriority w:val="99"/>
    <w:semiHidden/>
    <w:unhideWhenUsed/>
    <w:rsid w:val="00D0168F"/>
    <w:rPr>
      <w:sz w:val="18"/>
      <w:szCs w:val="18"/>
    </w:rPr>
  </w:style>
  <w:style w:type="paragraph" w:styleId="a5">
    <w:name w:val="footer"/>
    <w:basedOn w:val="a"/>
    <w:link w:val="Char1"/>
    <w:uiPriority w:val="99"/>
    <w:unhideWhenUsed/>
    <w:qFormat/>
    <w:rsid w:val="00D0168F"/>
    <w:pPr>
      <w:tabs>
        <w:tab w:val="center" w:pos="4153"/>
        <w:tab w:val="right" w:pos="8306"/>
      </w:tabs>
      <w:snapToGrid w:val="0"/>
      <w:jc w:val="left"/>
    </w:pPr>
    <w:rPr>
      <w:sz w:val="18"/>
      <w:szCs w:val="18"/>
    </w:rPr>
  </w:style>
  <w:style w:type="paragraph" w:styleId="a6">
    <w:name w:val="header"/>
    <w:basedOn w:val="a"/>
    <w:link w:val="Char2"/>
    <w:uiPriority w:val="99"/>
    <w:unhideWhenUsed/>
    <w:rsid w:val="00D0168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D0168F"/>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D0168F"/>
    <w:rPr>
      <w:b/>
      <w:bCs/>
    </w:rPr>
  </w:style>
  <w:style w:type="table" w:styleId="a9">
    <w:name w:val="Table Grid"/>
    <w:basedOn w:val="a1"/>
    <w:uiPriority w:val="39"/>
    <w:rsid w:val="00D01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D0168F"/>
    <w:rPr>
      <w:sz w:val="21"/>
      <w:szCs w:val="21"/>
    </w:rPr>
  </w:style>
  <w:style w:type="character" w:customStyle="1" w:styleId="4Char">
    <w:name w:val="标题 4 Char"/>
    <w:basedOn w:val="a0"/>
    <w:link w:val="4"/>
    <w:uiPriority w:val="9"/>
    <w:qFormat/>
    <w:rsid w:val="00D0168F"/>
    <w:rPr>
      <w:rFonts w:ascii="宋体" w:eastAsia="宋体" w:hAnsi="宋体" w:cs="宋体"/>
      <w:b/>
      <w:bCs/>
      <w:kern w:val="0"/>
      <w:sz w:val="24"/>
      <w:szCs w:val="24"/>
    </w:rPr>
  </w:style>
  <w:style w:type="character" w:customStyle="1" w:styleId="5Char">
    <w:name w:val="标题 5 Char"/>
    <w:basedOn w:val="a0"/>
    <w:link w:val="5"/>
    <w:uiPriority w:val="9"/>
    <w:rsid w:val="00D0168F"/>
    <w:rPr>
      <w:rFonts w:ascii="宋体" w:eastAsia="宋体" w:hAnsi="宋体" w:cs="宋体"/>
      <w:b/>
      <w:bCs/>
      <w:kern w:val="0"/>
      <w:sz w:val="20"/>
      <w:szCs w:val="20"/>
    </w:rPr>
  </w:style>
  <w:style w:type="paragraph" w:customStyle="1" w:styleId="Default">
    <w:name w:val="Default"/>
    <w:qFormat/>
    <w:rsid w:val="00D0168F"/>
    <w:pPr>
      <w:widowControl w:val="0"/>
      <w:autoSpaceDE w:val="0"/>
      <w:autoSpaceDN w:val="0"/>
      <w:adjustRightInd w:val="0"/>
    </w:pPr>
    <w:rPr>
      <w:rFonts w:ascii="仿宋" w:eastAsia="仿宋" w:cs="仿宋"/>
      <w:color w:val="000000"/>
      <w:sz w:val="24"/>
      <w:szCs w:val="24"/>
    </w:rPr>
  </w:style>
  <w:style w:type="character" w:customStyle="1" w:styleId="da">
    <w:name w:val="da"/>
    <w:basedOn w:val="a0"/>
    <w:qFormat/>
    <w:rsid w:val="00D0168F"/>
  </w:style>
  <w:style w:type="character" w:customStyle="1" w:styleId="Char">
    <w:name w:val="批注文字 Char"/>
    <w:basedOn w:val="a0"/>
    <w:link w:val="a3"/>
    <w:uiPriority w:val="99"/>
    <w:rsid w:val="00D0168F"/>
  </w:style>
  <w:style w:type="character" w:customStyle="1" w:styleId="Char3">
    <w:name w:val="批注主题 Char"/>
    <w:basedOn w:val="Char"/>
    <w:link w:val="a8"/>
    <w:uiPriority w:val="99"/>
    <w:semiHidden/>
    <w:rsid w:val="00D0168F"/>
    <w:rPr>
      <w:b/>
      <w:bCs/>
    </w:rPr>
  </w:style>
  <w:style w:type="character" w:customStyle="1" w:styleId="Char0">
    <w:name w:val="批注框文本 Char"/>
    <w:basedOn w:val="a0"/>
    <w:link w:val="a4"/>
    <w:uiPriority w:val="99"/>
    <w:semiHidden/>
    <w:qFormat/>
    <w:rsid w:val="00D0168F"/>
    <w:rPr>
      <w:sz w:val="18"/>
      <w:szCs w:val="18"/>
    </w:rPr>
  </w:style>
  <w:style w:type="paragraph" w:customStyle="1" w:styleId="1">
    <w:name w:val="修订1"/>
    <w:hidden/>
    <w:uiPriority w:val="99"/>
    <w:semiHidden/>
    <w:qFormat/>
    <w:rsid w:val="00D0168F"/>
    <w:rPr>
      <w:kern w:val="2"/>
      <w:sz w:val="21"/>
      <w:szCs w:val="22"/>
    </w:rPr>
  </w:style>
  <w:style w:type="character" w:customStyle="1" w:styleId="Char2">
    <w:name w:val="页眉 Char"/>
    <w:basedOn w:val="a0"/>
    <w:link w:val="a6"/>
    <w:uiPriority w:val="99"/>
    <w:qFormat/>
    <w:rsid w:val="00D0168F"/>
    <w:rPr>
      <w:sz w:val="18"/>
      <w:szCs w:val="18"/>
    </w:rPr>
  </w:style>
  <w:style w:type="character" w:customStyle="1" w:styleId="Char1">
    <w:name w:val="页脚 Char"/>
    <w:basedOn w:val="a0"/>
    <w:link w:val="a5"/>
    <w:uiPriority w:val="99"/>
    <w:qFormat/>
    <w:rsid w:val="00D0168F"/>
    <w:rPr>
      <w:sz w:val="18"/>
      <w:szCs w:val="18"/>
    </w:rPr>
  </w:style>
  <w:style w:type="paragraph" w:styleId="ab">
    <w:name w:val="Revision"/>
    <w:hidden/>
    <w:uiPriority w:val="99"/>
    <w:semiHidden/>
    <w:rsid w:val="001755F0"/>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1625</Characters>
  <Application>Microsoft Office Word</Application>
  <DocSecurity>4</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项新月</dc:creator>
  <cp:lastModifiedBy>ZHONGM</cp:lastModifiedBy>
  <cp:revision>2</cp:revision>
  <dcterms:created xsi:type="dcterms:W3CDTF">2022-11-24T16:01:00Z</dcterms:created>
  <dcterms:modified xsi:type="dcterms:W3CDTF">2022-11-24T16:01:00Z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