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6CD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浙商汇金新兴消费混合型证券投资基金</w:t>
      </w:r>
      <w:r>
        <w:rPr>
          <w:rFonts w:ascii="宋体" w:hAnsi="宋体" w:cs="宋体" w:hint="eastAsia"/>
          <w:b/>
          <w:bCs/>
          <w:sz w:val="36"/>
          <w:szCs w:val="36"/>
        </w:rPr>
        <w:t>参与</w:t>
      </w:r>
      <w:r>
        <w:rPr>
          <w:rFonts w:ascii="宋体" w:hAnsi="宋体" w:cs="宋体" w:hint="eastAsia"/>
          <w:b/>
          <w:bCs/>
          <w:sz w:val="36"/>
          <w:szCs w:val="36"/>
        </w:rPr>
        <w:t>浙江浙商证券资产管理有限公司直销柜台费率优惠活动的公告</w:t>
      </w:r>
    </w:p>
    <w:p w:rsidR="00000000" w:rsidRDefault="005176CD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000000" w:rsidRDefault="005176CD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为更好地满足广大投资者的需求，</w:t>
      </w:r>
      <w:r>
        <w:rPr>
          <w:rFonts w:ascii="宋体" w:hAnsi="宋体" w:cs="宋体" w:hint="eastAsia"/>
          <w:sz w:val="28"/>
          <w:szCs w:val="28"/>
        </w:rPr>
        <w:t>根据</w:t>
      </w:r>
      <w:r>
        <w:rPr>
          <w:rFonts w:ascii="宋体" w:hAnsi="宋体" w:cs="宋体" w:hint="eastAsia"/>
          <w:sz w:val="28"/>
          <w:szCs w:val="28"/>
        </w:rPr>
        <w:t>《浙商汇金新兴消费混合型证券投资基金</w:t>
      </w:r>
      <w:r>
        <w:rPr>
          <w:rFonts w:ascii="宋体" w:hAnsi="宋体" w:cs="宋体" w:hint="eastAsia"/>
          <w:sz w:val="28"/>
          <w:szCs w:val="28"/>
        </w:rPr>
        <w:t>基金合同</w:t>
      </w:r>
      <w:r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《浙商汇金新兴消费混合型证券投资基金</w:t>
      </w:r>
      <w:r>
        <w:rPr>
          <w:rFonts w:ascii="宋体" w:hAnsi="宋体" w:cs="宋体" w:hint="eastAsia"/>
          <w:sz w:val="28"/>
          <w:szCs w:val="28"/>
        </w:rPr>
        <w:t>招募说明书</w:t>
      </w:r>
      <w:r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>的约定，决定</w:t>
      </w:r>
      <w:r>
        <w:rPr>
          <w:rFonts w:ascii="宋体" w:hAnsi="宋体" w:cs="宋体" w:hint="eastAsia"/>
          <w:sz w:val="28"/>
          <w:szCs w:val="28"/>
        </w:rPr>
        <w:t>浙商汇金新兴消费混合型证券投资基金</w:t>
      </w:r>
      <w:r>
        <w:rPr>
          <w:rFonts w:ascii="宋体" w:hAnsi="宋体" w:cs="宋体" w:hint="eastAsia"/>
          <w:sz w:val="28"/>
          <w:szCs w:val="28"/>
        </w:rPr>
        <w:t>（以下简称“本基金”）参</w:t>
      </w:r>
      <w:r>
        <w:rPr>
          <w:rFonts w:ascii="宋体" w:hAnsi="宋体" w:cs="宋体" w:hint="eastAsia"/>
          <w:sz w:val="28"/>
          <w:szCs w:val="28"/>
        </w:rPr>
        <w:t>加浙江浙商证券资产管理有限公司直销柜台（以下简称“本公司直销柜台”）的费率优惠活动。现将具体费率优惠情况公告</w:t>
      </w:r>
      <w:r>
        <w:rPr>
          <w:rFonts w:ascii="宋体" w:hAnsi="宋体" w:cs="宋体" w:hint="eastAsia"/>
          <w:sz w:val="28"/>
          <w:szCs w:val="28"/>
        </w:rPr>
        <w:t>如下：</w:t>
      </w:r>
    </w:p>
    <w:p w:rsidR="00000000" w:rsidRDefault="005176CD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优惠时间</w:t>
      </w:r>
    </w:p>
    <w:p w:rsidR="00000000" w:rsidRDefault="005176CD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自</w:t>
      </w:r>
      <w:r>
        <w:rPr>
          <w:rFonts w:ascii="宋体" w:hAnsi="宋体" w:cs="宋体" w:hint="eastAsia"/>
          <w:sz w:val="28"/>
          <w:szCs w:val="28"/>
        </w:rPr>
        <w:t>2022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24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>-2022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000000" w:rsidRDefault="005176CD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费率优惠情况及说明</w:t>
      </w:r>
    </w:p>
    <w:p w:rsidR="00000000" w:rsidRDefault="005176CD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优惠活动期间，凡通过本</w:t>
      </w:r>
      <w:r>
        <w:rPr>
          <w:rFonts w:ascii="宋体" w:hAnsi="宋体" w:cs="宋体" w:hint="eastAsia"/>
          <w:sz w:val="28"/>
          <w:szCs w:val="28"/>
        </w:rPr>
        <w:t>公司直销柜台赎回本基金的投资者，在赎回时，赎回费享有如下优惠：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2665"/>
        <w:gridCol w:w="1055"/>
        <w:gridCol w:w="2000"/>
        <w:gridCol w:w="1586"/>
      </w:tblGrid>
      <w:tr w:rsidR="00000000">
        <w:tc>
          <w:tcPr>
            <w:tcW w:w="1216" w:type="dxa"/>
            <w:vMerge w:val="restart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赎回费</w:t>
            </w:r>
          </w:p>
        </w:tc>
        <w:tc>
          <w:tcPr>
            <w:tcW w:w="266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持有期限</w:t>
            </w:r>
          </w:p>
        </w:tc>
        <w:tc>
          <w:tcPr>
            <w:tcW w:w="105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调整前赎回费率</w:t>
            </w:r>
          </w:p>
        </w:tc>
        <w:tc>
          <w:tcPr>
            <w:tcW w:w="2000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调整前赎回费计入基金资产比例</w:t>
            </w:r>
          </w:p>
        </w:tc>
        <w:tc>
          <w:tcPr>
            <w:tcW w:w="1586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优惠后赎回费率</w:t>
            </w:r>
          </w:p>
        </w:tc>
      </w:tr>
      <w:tr w:rsidR="00000000">
        <w:tc>
          <w:tcPr>
            <w:tcW w:w="1216" w:type="dxa"/>
            <w:vMerge/>
            <w:vAlign w:val="center"/>
          </w:tcPr>
          <w:p w:rsidR="00000000" w:rsidRDefault="005176C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持有期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&lt;7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05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1.50%</w:t>
            </w:r>
          </w:p>
        </w:tc>
        <w:tc>
          <w:tcPr>
            <w:tcW w:w="2000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100%</w:t>
            </w:r>
          </w:p>
        </w:tc>
        <w:tc>
          <w:tcPr>
            <w:tcW w:w="1586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1.50%</w:t>
            </w:r>
          </w:p>
        </w:tc>
      </w:tr>
      <w:tr w:rsidR="00000000">
        <w:tc>
          <w:tcPr>
            <w:tcW w:w="1216" w:type="dxa"/>
            <w:vMerge/>
            <w:vAlign w:val="center"/>
          </w:tcPr>
          <w:p w:rsidR="00000000" w:rsidRDefault="005176C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日≤持有期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&lt;30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05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0.75%</w:t>
            </w:r>
          </w:p>
        </w:tc>
        <w:tc>
          <w:tcPr>
            <w:tcW w:w="2000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100%</w:t>
            </w:r>
          </w:p>
        </w:tc>
        <w:tc>
          <w:tcPr>
            <w:tcW w:w="1586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0.75%</w:t>
            </w:r>
          </w:p>
        </w:tc>
      </w:tr>
      <w:tr w:rsidR="00000000">
        <w:tc>
          <w:tcPr>
            <w:tcW w:w="1216" w:type="dxa"/>
            <w:vMerge/>
            <w:vAlign w:val="center"/>
          </w:tcPr>
          <w:p w:rsidR="00000000" w:rsidRDefault="005176C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日≤持有期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&lt;3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个月</w:t>
            </w:r>
          </w:p>
        </w:tc>
        <w:tc>
          <w:tcPr>
            <w:tcW w:w="105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0.50%</w:t>
            </w:r>
          </w:p>
        </w:tc>
        <w:tc>
          <w:tcPr>
            <w:tcW w:w="2000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75%</w:t>
            </w:r>
          </w:p>
        </w:tc>
        <w:tc>
          <w:tcPr>
            <w:tcW w:w="1586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0.3750%</w:t>
            </w:r>
          </w:p>
        </w:tc>
      </w:tr>
      <w:tr w:rsidR="00000000">
        <w:tc>
          <w:tcPr>
            <w:tcW w:w="1216" w:type="dxa"/>
            <w:vMerge/>
            <w:vAlign w:val="center"/>
          </w:tcPr>
          <w:p w:rsidR="00000000" w:rsidRDefault="005176C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个月≤持有期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&lt;6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个月</w:t>
            </w:r>
          </w:p>
        </w:tc>
        <w:tc>
          <w:tcPr>
            <w:tcW w:w="105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0.50%</w:t>
            </w:r>
          </w:p>
        </w:tc>
        <w:tc>
          <w:tcPr>
            <w:tcW w:w="2000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50%</w:t>
            </w:r>
          </w:p>
        </w:tc>
        <w:tc>
          <w:tcPr>
            <w:tcW w:w="1586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0.25%</w:t>
            </w:r>
          </w:p>
        </w:tc>
      </w:tr>
      <w:tr w:rsidR="00000000">
        <w:tc>
          <w:tcPr>
            <w:tcW w:w="1216" w:type="dxa"/>
            <w:vMerge/>
            <w:vAlign w:val="center"/>
          </w:tcPr>
          <w:p w:rsidR="00000000" w:rsidRDefault="005176C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个月≤持有期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&lt;1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</w:p>
        </w:tc>
        <w:tc>
          <w:tcPr>
            <w:tcW w:w="105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0.50%</w:t>
            </w:r>
          </w:p>
        </w:tc>
        <w:tc>
          <w:tcPr>
            <w:tcW w:w="2000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25%</w:t>
            </w:r>
          </w:p>
        </w:tc>
        <w:tc>
          <w:tcPr>
            <w:tcW w:w="1586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0.1250%</w:t>
            </w:r>
          </w:p>
        </w:tc>
      </w:tr>
      <w:tr w:rsidR="00000000">
        <w:tc>
          <w:tcPr>
            <w:tcW w:w="1216" w:type="dxa"/>
            <w:vMerge/>
            <w:vAlign w:val="center"/>
          </w:tcPr>
          <w:p w:rsidR="00000000" w:rsidRDefault="005176C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年≤持有期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&lt;2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</w:p>
        </w:tc>
        <w:tc>
          <w:tcPr>
            <w:tcW w:w="105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0.25%</w:t>
            </w:r>
          </w:p>
        </w:tc>
        <w:tc>
          <w:tcPr>
            <w:tcW w:w="2000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25%</w:t>
            </w:r>
          </w:p>
        </w:tc>
        <w:tc>
          <w:tcPr>
            <w:tcW w:w="1586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0.0625%</w:t>
            </w:r>
          </w:p>
        </w:tc>
      </w:tr>
      <w:tr w:rsidR="00000000">
        <w:tc>
          <w:tcPr>
            <w:tcW w:w="1216" w:type="dxa"/>
            <w:vMerge/>
            <w:vAlign w:val="center"/>
          </w:tcPr>
          <w:p w:rsidR="00000000" w:rsidRDefault="005176CD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66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持有期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</w:p>
        </w:tc>
        <w:tc>
          <w:tcPr>
            <w:tcW w:w="1055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2000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25%</w:t>
            </w:r>
          </w:p>
        </w:tc>
        <w:tc>
          <w:tcPr>
            <w:tcW w:w="1586" w:type="dxa"/>
            <w:vAlign w:val="center"/>
          </w:tcPr>
          <w:p w:rsidR="00000000" w:rsidRDefault="005176C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</w:tbl>
    <w:p w:rsidR="00000000" w:rsidRDefault="005176CD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基金的赎回费用由赎回基金的基金份额持有人承担，优惠后赎回费全额计入基金财产，不会对基金份额持有人利益造成实质性的不利</w:t>
      </w:r>
      <w:r>
        <w:rPr>
          <w:rFonts w:ascii="宋体" w:hAnsi="宋体" w:cs="宋体" w:hint="eastAsia"/>
          <w:sz w:val="28"/>
          <w:szCs w:val="28"/>
        </w:rPr>
        <w:lastRenderedPageBreak/>
        <w:t>影响。</w:t>
      </w:r>
    </w:p>
    <w:p w:rsidR="00000000" w:rsidRDefault="005176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本次活动仅适用于在规定期限内、通过本公司直销柜台渠道赎回的投资者。</w:t>
      </w:r>
    </w:p>
    <w:p w:rsidR="00000000" w:rsidRDefault="005176CD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重要提示</w:t>
      </w:r>
    </w:p>
    <w:p w:rsidR="00000000" w:rsidRDefault="005176CD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、本公告的解释权归浙江浙商证券资产管理有限公司所有。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000000" w:rsidRDefault="005176CD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、投资者可通过以下途径了解或咨询相关情况</w:t>
      </w:r>
    </w:p>
    <w:tbl>
      <w:tblPr>
        <w:tblW w:w="8295" w:type="dxa"/>
        <w:tblInd w:w="93" w:type="dxa"/>
        <w:tblLayout w:type="fixed"/>
        <w:tblLook w:val="0000"/>
      </w:tblPr>
      <w:tblGrid>
        <w:gridCol w:w="2681"/>
        <w:gridCol w:w="3339"/>
        <w:gridCol w:w="2275"/>
      </w:tblGrid>
      <w:tr w:rsidR="00000000">
        <w:trPr>
          <w:trHeight w:val="28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176CD">
            <w:pPr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176CD">
            <w:pPr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网址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000" w:rsidRDefault="005176CD">
            <w:pPr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客服热线</w:t>
            </w:r>
          </w:p>
        </w:tc>
      </w:tr>
      <w:tr w:rsidR="00000000">
        <w:trPr>
          <w:trHeight w:val="28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176C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浙江浙商证券资产管理有限公司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176C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www.stocke.com.cn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5176CD">
            <w:pPr>
              <w:ind w:firstLineChars="200" w:firstLine="56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95345</w:t>
            </w:r>
          </w:p>
        </w:tc>
      </w:tr>
    </w:tbl>
    <w:p w:rsidR="00000000" w:rsidRDefault="005176C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、风险提示：</w:t>
      </w:r>
    </w:p>
    <w:p w:rsidR="00000000" w:rsidRDefault="005176CD">
      <w:pPr>
        <w:ind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本公司承诺以诚实信用、勤勉尽责的原则管理和运用基金资产，但</w:t>
      </w:r>
      <w:r>
        <w:rPr>
          <w:rFonts w:ascii="宋体" w:hAnsi="宋体" w:cs="宋体" w:hint="eastAsia"/>
          <w:sz w:val="28"/>
          <w:szCs w:val="28"/>
        </w:rPr>
        <w:t>不保证基金一定盈利，也不保证最低收益。敬请投资人注意投资风险。投资者投资于上述基金前应认真阅读基金的基金合同、更新的招募说明书。</w:t>
      </w:r>
    </w:p>
    <w:p w:rsidR="00000000" w:rsidRDefault="005176CD">
      <w:pPr>
        <w:ind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特此公告。</w:t>
      </w:r>
    </w:p>
    <w:p w:rsidR="00000000" w:rsidRDefault="005176CD">
      <w:pPr>
        <w:ind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</w:t>
      </w:r>
      <w:r>
        <w:rPr>
          <w:rFonts w:ascii="宋体" w:hAnsi="宋体" w:cs="宋体" w:hint="eastAsia"/>
          <w:sz w:val="28"/>
          <w:szCs w:val="28"/>
        </w:rPr>
        <w:t>浙江浙商证券资产管理有限公司</w:t>
      </w:r>
    </w:p>
    <w:p w:rsidR="00000000" w:rsidRDefault="005176CD">
      <w:pPr>
        <w:ind w:firstLineChars="1400" w:firstLine="39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24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000000" w:rsidRDefault="005176CD">
      <w:pPr>
        <w:ind w:firstLine="560"/>
        <w:rPr>
          <w:rFonts w:ascii="宋体" w:hAnsi="宋体" w:cs="宋体"/>
          <w:sz w:val="28"/>
          <w:szCs w:val="28"/>
        </w:rPr>
      </w:pPr>
    </w:p>
    <w:p w:rsidR="00000000" w:rsidRDefault="005176CD">
      <w:pPr>
        <w:rPr>
          <w:rFonts w:ascii="宋体" w:hAnsi="宋体" w:cs="宋体"/>
          <w:sz w:val="28"/>
          <w:szCs w:val="28"/>
        </w:rPr>
      </w:pPr>
    </w:p>
    <w:p w:rsidR="00000000" w:rsidRDefault="005176CD">
      <w:pPr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000000" w:rsidRDefault="005176CD">
      <w:pPr>
        <w:rPr>
          <w:rFonts w:ascii="宋体" w:hAnsi="宋体" w:cs="宋体"/>
          <w:sz w:val="28"/>
          <w:szCs w:val="28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FontAwesome">
    <w:altName w:val="ksdb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31E07"/>
    <w:multiLevelType w:val="singleLevel"/>
    <w:tmpl w:val="5C431E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C4"/>
    <w:rsid w:val="000636E9"/>
    <w:rsid w:val="00134844"/>
    <w:rsid w:val="001412A1"/>
    <w:rsid w:val="002E073F"/>
    <w:rsid w:val="002F00AE"/>
    <w:rsid w:val="00345031"/>
    <w:rsid w:val="005176CD"/>
    <w:rsid w:val="00531147"/>
    <w:rsid w:val="0057765B"/>
    <w:rsid w:val="006C2CE0"/>
    <w:rsid w:val="006E6FB3"/>
    <w:rsid w:val="00752019"/>
    <w:rsid w:val="007F3C3F"/>
    <w:rsid w:val="0081428A"/>
    <w:rsid w:val="00AC20C5"/>
    <w:rsid w:val="00BE45DC"/>
    <w:rsid w:val="00DE107A"/>
    <w:rsid w:val="00E27182"/>
    <w:rsid w:val="00F06180"/>
    <w:rsid w:val="00F436C4"/>
    <w:rsid w:val="00FF2DE5"/>
    <w:rsid w:val="072A33C2"/>
    <w:rsid w:val="10945F2F"/>
    <w:rsid w:val="112A419C"/>
    <w:rsid w:val="12C22630"/>
    <w:rsid w:val="28EC31BE"/>
    <w:rsid w:val="2CAD4913"/>
    <w:rsid w:val="31702F41"/>
    <w:rsid w:val="37C72F7C"/>
    <w:rsid w:val="44A9783E"/>
    <w:rsid w:val="4A600209"/>
    <w:rsid w:val="50122123"/>
    <w:rsid w:val="555F658F"/>
    <w:rsid w:val="66C70514"/>
    <w:rsid w:val="7403675E"/>
    <w:rsid w:val="74BA41B5"/>
    <w:rsid w:val="79974060"/>
    <w:rsid w:val="7DB7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 w:val="0"/>
      <w:bCs w:val="0"/>
      <w:i w:val="0"/>
      <w:iCs w:val="0"/>
    </w:rPr>
  </w:style>
  <w:style w:type="character" w:styleId="a7">
    <w:name w:val="FollowedHyperlink"/>
    <w:basedOn w:val="a0"/>
    <w:rPr>
      <w:color w:val="800080"/>
      <w:u w:val="none"/>
    </w:rPr>
  </w:style>
  <w:style w:type="character" w:styleId="a8">
    <w:name w:val="Emphasis"/>
    <w:basedOn w:val="a0"/>
    <w:qFormat/>
    <w:rPr>
      <w:b w:val="0"/>
      <w:bCs w:val="0"/>
      <w:i w:val="0"/>
      <w:iCs w:val="0"/>
    </w:rPr>
  </w:style>
  <w:style w:type="character" w:styleId="HTML">
    <w:name w:val="HTML Definition"/>
    <w:basedOn w:val="a0"/>
    <w:rPr>
      <w:i/>
      <w:iCs/>
    </w:rPr>
  </w:style>
  <w:style w:type="character" w:styleId="a9">
    <w:name w:val="Hyperlink"/>
    <w:basedOn w:val="a0"/>
    <w:rPr>
      <w:color w:val="0000FF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first-child">
    <w:name w:val="first-child"/>
    <w:basedOn w:val="a0"/>
  </w:style>
  <w:style w:type="character" w:customStyle="1" w:styleId="top">
    <w:name w:val="top"/>
    <w:basedOn w:val="a0"/>
  </w:style>
  <w:style w:type="character" w:customStyle="1" w:styleId="long">
    <w:name w:val="long"/>
    <w:basedOn w:val="a0"/>
  </w:style>
  <w:style w:type="character" w:customStyle="1" w:styleId="on">
    <w:name w:val="on"/>
    <w:basedOn w:val="a0"/>
    <w:rPr>
      <w:color w:val="FFFFFF"/>
      <w:shd w:val="clear" w:color="auto" w:fill="D70E19"/>
    </w:rPr>
  </w:style>
  <w:style w:type="character" w:customStyle="1" w:styleId="on1">
    <w:name w:val="on1"/>
    <w:basedOn w:val="a0"/>
    <w:rPr>
      <w:color w:val="FFFFFF"/>
      <w:shd w:val="clear" w:color="auto" w:fill="D70E19"/>
    </w:rPr>
  </w:style>
  <w:style w:type="character" w:customStyle="1" w:styleId="on2">
    <w:name w:val="on2"/>
    <w:basedOn w:val="a0"/>
    <w:rPr>
      <w:color w:val="D70E19"/>
    </w:rPr>
  </w:style>
  <w:style w:type="character" w:customStyle="1" w:styleId="on3">
    <w:name w:val="on3"/>
    <w:basedOn w:val="a0"/>
    <w:rPr>
      <w:color w:val="FFFFFF"/>
      <w:shd w:val="clear" w:color="auto" w:fill="D70E19"/>
    </w:rPr>
  </w:style>
  <w:style w:type="character" w:customStyle="1" w:styleId="on4">
    <w:name w:val="on4"/>
    <w:basedOn w:val="a0"/>
    <w:rPr>
      <w:color w:val="D70E19"/>
      <w:shd w:val="clear" w:color="auto" w:fill="FFFFFF"/>
    </w:rPr>
  </w:style>
  <w:style w:type="character" w:customStyle="1" w:styleId="on5">
    <w:name w:val="on5"/>
    <w:basedOn w:val="a0"/>
    <w:rPr>
      <w:color w:val="FFFFFF"/>
      <w:shd w:val="clear" w:color="auto" w:fill="D70E19"/>
    </w:rPr>
  </w:style>
  <w:style w:type="character" w:customStyle="1" w:styleId="on6">
    <w:name w:val="on6"/>
    <w:basedOn w:val="a0"/>
    <w:rPr>
      <w:color w:val="D70E19"/>
      <w:shd w:val="clear" w:color="auto" w:fill="FFF6F6"/>
    </w:rPr>
  </w:style>
  <w:style w:type="character" w:customStyle="1" w:styleId="on7">
    <w:name w:val="on7"/>
    <w:basedOn w:val="a0"/>
    <w:rPr>
      <w:color w:val="FFFFFF"/>
      <w:shd w:val="clear" w:color="auto" w:fill="D70E19"/>
    </w:rPr>
  </w:style>
  <w:style w:type="character" w:customStyle="1" w:styleId="on8">
    <w:name w:val="on8"/>
    <w:basedOn w:val="a0"/>
    <w:rPr>
      <w:color w:val="D70E19"/>
    </w:rPr>
  </w:style>
  <w:style w:type="character" w:customStyle="1" w:styleId="on9">
    <w:name w:val="on9"/>
    <w:basedOn w:val="a0"/>
  </w:style>
  <w:style w:type="character" w:customStyle="1" w:styleId="on10">
    <w:name w:val="on10"/>
    <w:basedOn w:val="a0"/>
    <w:rPr>
      <w:b/>
      <w:bCs/>
      <w:color w:val="D70E19"/>
    </w:rPr>
  </w:style>
  <w:style w:type="character" w:customStyle="1" w:styleId="on11">
    <w:name w:val="on11"/>
    <w:basedOn w:val="a0"/>
    <w:rPr>
      <w:color w:val="D70E19"/>
      <w:shd w:val="clear" w:color="auto" w:fill="FFFFFF"/>
    </w:rPr>
  </w:style>
  <w:style w:type="character" w:customStyle="1" w:styleId="hover60">
    <w:name w:val="hover60"/>
    <w:basedOn w:val="a0"/>
    <w:rPr>
      <w:color w:val="D70E19"/>
    </w:rPr>
  </w:style>
  <w:style w:type="character" w:customStyle="1" w:styleId="dotshow">
    <w:name w:val="dot_show"/>
    <w:basedOn w:val="a0"/>
  </w:style>
  <w:style w:type="character" w:customStyle="1" w:styleId="dothide">
    <w:name w:val="dot_hide"/>
    <w:basedOn w:val="a0"/>
    <w:rPr>
      <w:vanish/>
    </w:rPr>
  </w:style>
  <w:style w:type="character" w:customStyle="1" w:styleId="act9">
    <w:name w:val="act9"/>
    <w:basedOn w:val="a0"/>
    <w:rPr>
      <w:color w:val="D70E19"/>
    </w:rPr>
  </w:style>
  <w:style w:type="character" w:customStyle="1" w:styleId="act10">
    <w:name w:val="act10"/>
    <w:basedOn w:val="a0"/>
    <w:rPr>
      <w:color w:val="FFFFFF"/>
      <w:shd w:val="clear" w:color="auto" w:fill="D70E19"/>
    </w:rPr>
  </w:style>
  <w:style w:type="character" w:customStyle="1" w:styleId="red2">
    <w:name w:val="red2"/>
    <w:basedOn w:val="a0"/>
  </w:style>
  <w:style w:type="character" w:customStyle="1" w:styleId="ui-jqgrid-resize">
    <w:name w:val="ui-jqgrid-resize"/>
    <w:basedOn w:val="a0"/>
  </w:style>
  <w:style w:type="character" w:customStyle="1" w:styleId="ui-jqgrid-resize1">
    <w:name w:val="ui-jqgrid-resize1"/>
    <w:basedOn w:val="a0"/>
  </w:style>
  <w:style w:type="character" w:customStyle="1" w:styleId="before2">
    <w:name w:val="before2"/>
    <w:basedOn w:val="a0"/>
    <w:rPr>
      <w:rFonts w:ascii="FontAwesome" w:eastAsia="FontAwesome" w:hAnsi="FontAwesome" w:cs="FontAwesome" w:hint="default"/>
      <w:color w:val="888888"/>
      <w:sz w:val="14"/>
      <w:szCs w:val="14"/>
    </w:rPr>
  </w:style>
  <w:style w:type="character" w:customStyle="1" w:styleId="before3">
    <w:name w:val="before3"/>
    <w:basedOn w:val="a0"/>
    <w:rPr>
      <w:rFonts w:ascii="FontAwesome" w:eastAsia="FontAwesome" w:hAnsi="FontAwesome" w:cs="FontAwesome" w:hint="default"/>
      <w:color w:val="888888"/>
      <w:sz w:val="14"/>
      <w:szCs w:val="14"/>
    </w:rPr>
  </w:style>
  <w:style w:type="character" w:customStyle="1" w:styleId="tmpztreemovearrow">
    <w:name w:val="tmpztreemove_arrow"/>
    <w:basedOn w:val="a0"/>
    <w:rPr>
      <w:bdr w:val="none" w:sz="0" w:space="0" w:color="auto"/>
    </w:rPr>
  </w:style>
  <w:style w:type="character" w:customStyle="1" w:styleId="ui-icon28">
    <w:name w:val="ui-icon28"/>
    <w:basedOn w:val="a0"/>
  </w:style>
  <w:style w:type="character" w:customStyle="1" w:styleId="ui-icon29">
    <w:name w:val="ui-icon29"/>
    <w:basedOn w:val="a0"/>
  </w:style>
  <w:style w:type="character" w:customStyle="1" w:styleId="ui-icon30">
    <w:name w:val="ui-icon30"/>
    <w:basedOn w:val="a0"/>
  </w:style>
  <w:style w:type="character" w:customStyle="1" w:styleId="button">
    <w:name w:val="button"/>
    <w:basedOn w:val="a0"/>
    <w:rPr>
      <w:bdr w:val="none" w:sz="0" w:space="0" w:color="auto"/>
    </w:rPr>
  </w:style>
  <w:style w:type="character" w:customStyle="1" w:styleId="input-icon2">
    <w:name w:val="input-icon2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cp:lastModifiedBy>ZHONGM</cp:lastModifiedBy>
  <cp:revision>2</cp:revision>
  <dcterms:created xsi:type="dcterms:W3CDTF">2022-11-23T16:01:00Z</dcterms:created>
  <dcterms:modified xsi:type="dcterms:W3CDTF">2022-11-23T16:01:00Z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