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6941">
      <w:pPr>
        <w:rPr>
          <w:rFonts w:hint="eastAsia"/>
          <w:sz w:val="24"/>
        </w:rPr>
      </w:pPr>
    </w:p>
    <w:p w:rsidR="00000000" w:rsidRDefault="004C6941">
      <w:pPr>
        <w:jc w:val="center"/>
        <w:rPr>
          <w:rFonts w:ascii="宋体" w:hAnsi="宋体" w:hint="eastAsia"/>
          <w:b/>
          <w:sz w:val="28"/>
          <w:szCs w:val="30"/>
        </w:rPr>
      </w:pPr>
      <w:bookmarkStart w:id="0" w:name="t_2_0_table"/>
      <w:bookmarkEnd w:id="0"/>
      <w:r>
        <w:rPr>
          <w:rFonts w:ascii="宋体" w:hAnsi="宋体" w:hint="eastAsia"/>
          <w:b/>
          <w:sz w:val="28"/>
          <w:szCs w:val="30"/>
        </w:rPr>
        <w:t>九泰锐富事件驱动混合型发起式证券投资基金（</w:t>
      </w:r>
      <w:r>
        <w:rPr>
          <w:rFonts w:ascii="宋体" w:hAnsi="宋体" w:hint="eastAsia"/>
          <w:b/>
          <w:sz w:val="28"/>
          <w:szCs w:val="30"/>
        </w:rPr>
        <w:t>L</w:t>
      </w:r>
      <w:r>
        <w:rPr>
          <w:rFonts w:ascii="宋体" w:hAnsi="宋体"/>
          <w:b/>
          <w:sz w:val="28"/>
          <w:szCs w:val="30"/>
        </w:rPr>
        <w:t>OF</w:t>
      </w:r>
      <w:r>
        <w:rPr>
          <w:rFonts w:ascii="宋体" w:hAnsi="宋体" w:hint="eastAsia"/>
          <w:b/>
          <w:sz w:val="28"/>
          <w:szCs w:val="30"/>
        </w:rPr>
        <w:t>）暂停大额</w:t>
      </w:r>
      <w:r>
        <w:rPr>
          <w:rFonts w:ascii="宋体" w:hAnsi="宋体"/>
          <w:b/>
          <w:sz w:val="28"/>
          <w:szCs w:val="30"/>
        </w:rPr>
        <w:t>申购</w:t>
      </w:r>
      <w:r>
        <w:rPr>
          <w:rFonts w:ascii="宋体" w:hAnsi="宋体" w:hint="eastAsia"/>
          <w:b/>
          <w:sz w:val="28"/>
          <w:szCs w:val="30"/>
        </w:rPr>
        <w:t>（</w:t>
      </w:r>
      <w:r>
        <w:rPr>
          <w:rFonts w:ascii="宋体" w:hAnsi="宋体"/>
          <w:b/>
          <w:sz w:val="28"/>
          <w:szCs w:val="30"/>
        </w:rPr>
        <w:t>含定期定额投资</w:t>
      </w:r>
      <w:r>
        <w:rPr>
          <w:rFonts w:ascii="宋体" w:hAnsi="宋体" w:hint="eastAsia"/>
          <w:b/>
          <w:sz w:val="28"/>
          <w:szCs w:val="30"/>
        </w:rPr>
        <w:t>）业务的公告</w:t>
      </w:r>
      <w:bookmarkStart w:id="1" w:name="t_2_0_0002_a2_fm1"/>
      <w:bookmarkEnd w:id="1"/>
    </w:p>
    <w:p w:rsidR="00000000" w:rsidRDefault="004C6941">
      <w:pPr>
        <w:ind w:left="210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公告</w:t>
      </w:r>
      <w:r>
        <w:rPr>
          <w:rFonts w:ascii="宋体" w:hAnsi="宋体"/>
          <w:sz w:val="24"/>
          <w:szCs w:val="28"/>
        </w:rPr>
        <w:t>送出日期：</w:t>
      </w:r>
      <w:bookmarkStart w:id="2" w:name="t_2_0_0003_a1_fm1"/>
      <w:bookmarkEnd w:id="2"/>
      <w:r>
        <w:rPr>
          <w:rFonts w:ascii="宋体" w:hAnsi="宋体"/>
          <w:sz w:val="24"/>
          <w:szCs w:val="28"/>
        </w:rPr>
        <w:t>20</w:t>
      </w:r>
      <w:r>
        <w:rPr>
          <w:rFonts w:ascii="宋体" w:hAnsi="宋体" w:hint="eastAsia"/>
          <w:sz w:val="24"/>
          <w:szCs w:val="28"/>
        </w:rPr>
        <w:t>22</w:t>
      </w:r>
      <w:r>
        <w:rPr>
          <w:rFonts w:ascii="宋体" w:hAnsi="宋体"/>
          <w:sz w:val="24"/>
          <w:szCs w:val="28"/>
        </w:rPr>
        <w:t>年</w:t>
      </w:r>
      <w:r>
        <w:rPr>
          <w:rFonts w:ascii="宋体" w:hAnsi="宋体"/>
          <w:sz w:val="24"/>
          <w:szCs w:val="28"/>
        </w:rPr>
        <w:t>11</w:t>
      </w:r>
      <w:r>
        <w:rPr>
          <w:rFonts w:ascii="宋体" w:hAnsi="宋体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</w:rPr>
        <w:t>24</w:t>
      </w:r>
      <w:r>
        <w:rPr>
          <w:rFonts w:ascii="宋体" w:hAnsi="宋体"/>
          <w:sz w:val="24"/>
          <w:szCs w:val="28"/>
        </w:rPr>
        <w:t>日</w:t>
      </w:r>
    </w:p>
    <w:p w:rsidR="00000000" w:rsidRDefault="004C6941">
      <w:pPr>
        <w:rPr>
          <w:rFonts w:hint="eastAsia"/>
        </w:rPr>
      </w:pPr>
    </w:p>
    <w:p w:rsidR="00000000" w:rsidRDefault="004C6941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2_1_table"/>
      <w:bookmarkEnd w:id="3"/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84"/>
        <w:gridCol w:w="2410"/>
        <w:gridCol w:w="2410"/>
      </w:tblGrid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九泰锐富事件驱动混合型发起式证券投资基金（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LOF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九泰锐富事件驱动混合（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OF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场内简称：九泰锐富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OF)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16810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基金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管理人名称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九泰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基金管理有限公司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公告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法律法规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《九泰锐富事件驱动混合型发起式证券投资基金（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LOF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）基金合同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》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九泰锐富事件驱动混合型发起式证券投资基金（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LOF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）招募说明书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》</w:t>
            </w:r>
          </w:p>
        </w:tc>
      </w:tr>
      <w:tr w:rsidR="00000000">
        <w:tc>
          <w:tcPr>
            <w:tcW w:w="1548" w:type="dxa"/>
            <w:vMerge w:val="restart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暂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停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相关业务的起始日、金额及原因说明</w:t>
            </w:r>
          </w:p>
        </w:tc>
        <w:tc>
          <w:tcPr>
            <w:tcW w:w="1984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起始日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8"/>
              </w:rPr>
              <w:t>202</w:t>
            </w: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>11</w:t>
            </w:r>
            <w:r>
              <w:rPr>
                <w:rFonts w:ascii="宋体" w:hAnsi="宋体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25</w:t>
            </w:r>
            <w:r>
              <w:rPr>
                <w:rFonts w:ascii="宋体" w:hAnsi="宋体"/>
                <w:sz w:val="24"/>
                <w:szCs w:val="28"/>
              </w:rPr>
              <w:t>日</w:t>
            </w:r>
          </w:p>
        </w:tc>
      </w:tr>
      <w:tr w:rsidR="00000000">
        <w:tc>
          <w:tcPr>
            <w:tcW w:w="1548" w:type="dxa"/>
            <w:vMerge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暂停定期定额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投资起始日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8"/>
              </w:rPr>
              <w:t>202</w:t>
            </w: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>11</w:t>
            </w:r>
            <w:r>
              <w:rPr>
                <w:rFonts w:ascii="宋体" w:hAnsi="宋体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25</w:t>
            </w:r>
            <w:r>
              <w:rPr>
                <w:rFonts w:ascii="宋体" w:hAnsi="宋体"/>
                <w:sz w:val="24"/>
                <w:szCs w:val="28"/>
              </w:rPr>
              <w:t>日</w:t>
            </w:r>
          </w:p>
        </w:tc>
      </w:tr>
      <w:tr w:rsidR="00000000">
        <w:tc>
          <w:tcPr>
            <w:tcW w:w="1548" w:type="dxa"/>
            <w:vMerge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限制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申购金额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单位：人民币元）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100,000</w:t>
            </w:r>
          </w:p>
        </w:tc>
      </w:tr>
      <w:tr w:rsidR="00000000">
        <w:tc>
          <w:tcPr>
            <w:tcW w:w="1548" w:type="dxa"/>
            <w:vMerge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暂停大额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申购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定期定额投资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4820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为保护基金份额持有人利益，保障基金平稳运作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下属基金份额类别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的基金简称</w:t>
            </w:r>
          </w:p>
        </w:tc>
        <w:tc>
          <w:tcPr>
            <w:tcW w:w="2410" w:type="dxa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九泰锐富事件驱动混合（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LOF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九泰锐富事件驱动混合（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LOF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下属基金份额类别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的交易代码</w:t>
            </w:r>
          </w:p>
        </w:tc>
        <w:tc>
          <w:tcPr>
            <w:tcW w:w="2410" w:type="dxa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16810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013600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该基金份额类别是否暂停（大额）申购（定期定额投资）</w:t>
            </w:r>
          </w:p>
        </w:tc>
        <w:tc>
          <w:tcPr>
            <w:tcW w:w="2410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410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00000">
        <w:tc>
          <w:tcPr>
            <w:tcW w:w="3532" w:type="dxa"/>
            <w:gridSpan w:val="2"/>
          </w:tcPr>
          <w:p w:rsidR="00000000" w:rsidRDefault="004C6941">
            <w:pPr>
              <w:pStyle w:val="ae"/>
              <w:spacing w:line="360" w:lineRule="auto"/>
              <w:ind w:firstLineChars="0" w:firstLine="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下属基金份额类别的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限制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申购金额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单位：人民币元）</w:t>
            </w:r>
          </w:p>
        </w:tc>
        <w:tc>
          <w:tcPr>
            <w:tcW w:w="2410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  <w:tc>
          <w:tcPr>
            <w:tcW w:w="2410" w:type="dxa"/>
            <w:vAlign w:val="center"/>
          </w:tcPr>
          <w:p w:rsidR="00000000" w:rsidRDefault="004C6941">
            <w:pPr>
              <w:pStyle w:val="ae"/>
              <w:spacing w:line="360" w:lineRule="auto"/>
              <w:ind w:firstLineChars="0" w:firstLine="0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</w:tbl>
    <w:p w:rsidR="00000000" w:rsidRDefault="004C6941"/>
    <w:p w:rsidR="00000000" w:rsidRDefault="004C6941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4" w:name="t_2_2_table"/>
      <w:bookmarkEnd w:id="4"/>
      <w:r>
        <w:rPr>
          <w:rFonts w:ascii="宋体" w:eastAsia="宋体" w:hAnsi="宋体" w:hint="eastAsia"/>
          <w:bCs/>
          <w:sz w:val="24"/>
          <w:szCs w:val="24"/>
        </w:rPr>
        <w:t>其他需要</w:t>
      </w:r>
      <w:r>
        <w:rPr>
          <w:rFonts w:ascii="宋体" w:eastAsia="宋体" w:hAnsi="宋体"/>
          <w:bCs/>
          <w:sz w:val="24"/>
          <w:szCs w:val="24"/>
        </w:rPr>
        <w:t>提示的事项</w:t>
      </w:r>
    </w:p>
    <w:p w:rsidR="00000000" w:rsidRDefault="004C6941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）自</w:t>
      </w:r>
      <w:r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日起，暂停九泰锐富事件驱动混合型发起式证券投资基金（</w:t>
      </w:r>
      <w:r>
        <w:rPr>
          <w:rFonts w:ascii="宋体" w:hAnsi="宋体" w:hint="eastAsia"/>
          <w:sz w:val="24"/>
          <w:szCs w:val="24"/>
        </w:rPr>
        <w:t>LOF</w:t>
      </w:r>
      <w:r>
        <w:rPr>
          <w:rFonts w:ascii="宋体" w:hAnsi="宋体" w:hint="eastAsia"/>
          <w:sz w:val="24"/>
          <w:szCs w:val="24"/>
        </w:rPr>
        <w:t>）（以下简称“本基金”）的大额申购（含定期定额投资，下同）业务，即暂停单笔金额在人民币</w:t>
      </w:r>
      <w:r>
        <w:rPr>
          <w:rFonts w:ascii="宋体" w:hAnsi="宋体" w:hint="eastAsia"/>
          <w:sz w:val="24"/>
          <w:szCs w:val="24"/>
        </w:rPr>
        <w:t>100,000</w:t>
      </w:r>
      <w:r>
        <w:rPr>
          <w:rFonts w:ascii="宋体" w:hAnsi="宋体" w:hint="eastAsia"/>
          <w:sz w:val="24"/>
          <w:szCs w:val="24"/>
        </w:rPr>
        <w:t>元以上（不含</w:t>
      </w:r>
      <w:r>
        <w:rPr>
          <w:rFonts w:ascii="宋体" w:hAnsi="宋体" w:hint="eastAsia"/>
          <w:sz w:val="24"/>
          <w:szCs w:val="24"/>
        </w:rPr>
        <w:t>100,000</w:t>
      </w:r>
      <w:r>
        <w:rPr>
          <w:rFonts w:ascii="宋体" w:hAnsi="宋体" w:hint="eastAsia"/>
          <w:sz w:val="24"/>
          <w:szCs w:val="24"/>
        </w:rPr>
        <w:t>元）的大额申购业务。若单日单个基金账户单笔申购超过</w:t>
      </w:r>
      <w:r>
        <w:rPr>
          <w:rFonts w:ascii="宋体" w:hAnsi="宋体" w:hint="eastAsia"/>
          <w:sz w:val="24"/>
          <w:szCs w:val="24"/>
        </w:rPr>
        <w:t>100,000</w:t>
      </w:r>
      <w:r>
        <w:rPr>
          <w:rFonts w:ascii="宋体" w:hAnsi="宋体" w:hint="eastAsia"/>
          <w:sz w:val="24"/>
          <w:szCs w:val="24"/>
        </w:rPr>
        <w:t>元（不含</w:t>
      </w:r>
      <w:r>
        <w:rPr>
          <w:rFonts w:ascii="宋体" w:hAnsi="宋体" w:hint="eastAsia"/>
          <w:sz w:val="24"/>
          <w:szCs w:val="24"/>
        </w:rPr>
        <w:t>100,000</w:t>
      </w:r>
      <w:r>
        <w:rPr>
          <w:rFonts w:ascii="宋体" w:hAnsi="宋体" w:hint="eastAsia"/>
          <w:sz w:val="24"/>
          <w:szCs w:val="24"/>
        </w:rPr>
        <w:t>元），本基金管理人有权拒绝，敬请投资者留意。</w:t>
      </w:r>
    </w:p>
    <w:p w:rsidR="00000000" w:rsidRDefault="004C6941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）本基金在暂停大额申购业务期间，除大额申购外的其他业务仍照常办理。本基金恢复</w:t>
      </w:r>
      <w:r>
        <w:rPr>
          <w:rFonts w:ascii="宋体" w:hAnsi="宋体" w:hint="eastAsia"/>
          <w:sz w:val="24"/>
          <w:szCs w:val="24"/>
        </w:rPr>
        <w:t>大额申购的具体时间将另行公告。</w:t>
      </w:r>
    </w:p>
    <w:p w:rsidR="00000000" w:rsidRDefault="004C6941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）本公告仅对本基金暂停大额申购业务的有关事项予以说明。投资者欲了解本基金的详细情况，请登录本基金管理人网站（</w:t>
      </w:r>
      <w:r>
        <w:rPr>
          <w:rFonts w:ascii="宋体" w:hAnsi="宋体" w:hint="eastAsia"/>
          <w:sz w:val="24"/>
          <w:szCs w:val="24"/>
        </w:rPr>
        <w:t>http://www.jtamc.com</w:t>
      </w:r>
      <w:r>
        <w:rPr>
          <w:rFonts w:ascii="宋体" w:hAnsi="宋体" w:hint="eastAsia"/>
          <w:sz w:val="24"/>
          <w:szCs w:val="24"/>
        </w:rPr>
        <w:t>）查阅基金合同、招募说明书等文件，以及相关业务公告。投资者还可拨打本公司客服电话（</w:t>
      </w:r>
      <w:r>
        <w:rPr>
          <w:rFonts w:ascii="宋体" w:hAnsi="宋体" w:hint="eastAsia"/>
          <w:sz w:val="24"/>
          <w:szCs w:val="24"/>
        </w:rPr>
        <w:t>400-628-0606</w:t>
      </w:r>
      <w:r>
        <w:rPr>
          <w:rFonts w:ascii="宋体" w:hAnsi="宋体" w:hint="eastAsia"/>
          <w:sz w:val="24"/>
          <w:szCs w:val="24"/>
        </w:rPr>
        <w:t>）咨询基金的相关事宜。</w:t>
      </w:r>
    </w:p>
    <w:p w:rsidR="00000000" w:rsidRDefault="004C6941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，基金管理人管理的其他基金的业绩并不构成</w:t>
      </w:r>
      <w:r>
        <w:rPr>
          <w:rFonts w:ascii="宋体" w:hAnsi="宋体" w:hint="eastAsia"/>
          <w:sz w:val="24"/>
          <w:szCs w:val="24"/>
        </w:rPr>
        <w:t>对基金业绩表现的保证。本基金管理人提醒投资者基金投资的“买者自负”原则，在做出投资决策后，基金运营状况与基金净值变化引致的投资风险，由投资者自行负担。投资者投资于本基金时应认真阅读本基金的基金合同、招募说明书、基金产品资料概要、临时公告等资料，全面认识本基金的风险收益特征和产品特性，并充分考虑自身的风险承受能力，理性判断市场，谨慎做出投资决策。</w:t>
      </w:r>
    </w:p>
    <w:p w:rsidR="00000000" w:rsidRDefault="004C694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  <w:bookmarkStart w:id="5" w:name="t_2_3_1_2820_a1_fm1"/>
      <w:bookmarkStart w:id="6" w:name="t_2_2_2819_a1_fm1"/>
      <w:bookmarkStart w:id="7" w:name="t_2_3_3_2821_a1_fm1"/>
      <w:bookmarkStart w:id="8" w:name="t_2_4_2_table"/>
      <w:bookmarkStart w:id="9" w:name="t_2_3_2_table"/>
      <w:bookmarkStart w:id="10" w:name="t_2_4_1_2822_a1_fm1"/>
      <w:bookmarkStart w:id="11" w:name="t_2_4_3_2823_a1_fm1"/>
      <w:bookmarkStart w:id="12" w:name="t_2_3_1_table"/>
      <w:bookmarkStart w:id="13" w:name="t_2_4_2_2843_a1_fm1"/>
      <w:bookmarkStart w:id="14" w:name="t_2_5_table"/>
      <w:bookmarkStart w:id="15" w:name="t_2_4_3_table"/>
      <w:bookmarkStart w:id="16" w:name="t_2_6_2825_a1_fm1"/>
      <w:bookmarkStart w:id="17" w:name="t_2_6_table"/>
      <w:bookmarkStart w:id="18" w:name="t_2_3_2_2842_a1_fm1"/>
      <w:bookmarkStart w:id="19" w:name="t_2_7_2835_a1_fm1"/>
      <w:bookmarkStart w:id="20" w:name="t_2_7_2834_a1_fm1"/>
      <w:bookmarkStart w:id="21" w:name="t_2_3_3_table"/>
      <w:bookmarkStart w:id="22" w:name="t_2_7_2833_a1_fm1"/>
      <w:bookmarkStart w:id="23" w:name="t_2_8_2756_a1_fm1"/>
      <w:bookmarkStart w:id="24" w:name="t_2_8_table"/>
      <w:bookmarkStart w:id="25" w:name="t_2_9_table"/>
      <w:bookmarkStart w:id="26" w:name="t_2_9_2646_a1_fm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00000" w:rsidRDefault="004C6941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九泰基金管理有限公司</w:t>
      </w:r>
    </w:p>
    <w:p w:rsidR="00000000" w:rsidRDefault="004C6941">
      <w:pPr>
        <w:spacing w:line="360" w:lineRule="auto"/>
        <w:jc w:val="right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>日</w:t>
      </w:r>
    </w:p>
    <w:sectPr w:rsidR="00000000">
      <w:headerReference w:type="default" r:id="rId6"/>
      <w:footerReference w:type="default" r:id="rId7"/>
      <w:type w:val="continuous"/>
      <w:pgSz w:w="11907" w:h="16839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C6941">
      <w:r>
        <w:separator/>
      </w:r>
    </w:p>
  </w:endnote>
  <w:endnote w:type="continuationSeparator" w:id="0">
    <w:p w:rsidR="00000000" w:rsidRDefault="004C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YaHei UI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94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PA</w:instrText>
    </w:r>
    <w:r>
      <w:rPr>
        <w:rFonts w:hint="eastAsia"/>
      </w:rPr>
      <w:instrText>GE   \* MERGEFORMAT</w:instrText>
    </w:r>
    <w:r>
      <w:instrText xml:space="preserve"> </w:instrText>
    </w:r>
    <w:r>
      <w:fldChar w:fldCharType="separate"/>
    </w:r>
    <w:r w:rsidRPr="004C6941">
      <w:rPr>
        <w:noProof/>
        <w:lang w:val="en-US" w:eastAsia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Pr="004C6941">
        <w:rPr>
          <w:noProof/>
          <w:lang w:val="en-US" w:eastAsia="zh-CN"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C6941">
      <w:r>
        <w:separator/>
      </w:r>
    </w:p>
  </w:footnote>
  <w:footnote w:type="continuationSeparator" w:id="0">
    <w:p w:rsidR="00000000" w:rsidRDefault="004C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941">
    <w:pPr>
      <w:pStyle w:val="a7"/>
      <w:jc w:val="right"/>
      <w:rPr>
        <w:rFonts w:hint="eastAsia"/>
      </w:rPr>
    </w:pPr>
    <w:r>
      <w:rPr>
        <w:rFonts w:hint="eastAsia"/>
      </w:rPr>
      <w:t>九泰锐富事件驱动混合型发起式</w:t>
    </w:r>
    <w:r>
      <w:t>证券投资基金</w:t>
    </w:r>
    <w:r>
      <w:rPr>
        <w:rFonts w:hint="eastAsia"/>
      </w:rPr>
      <w:t>（</w:t>
    </w:r>
    <w:r>
      <w:rPr>
        <w:rFonts w:hint="eastAsia"/>
      </w:rPr>
      <w:t>L</w:t>
    </w:r>
    <w:r>
      <w:t>OF</w:t>
    </w:r>
    <w:r>
      <w:rPr>
        <w:rFonts w:hint="eastAsia"/>
      </w:rPr>
      <w:t>）</w:t>
    </w:r>
    <w:r>
      <w:t>暂停大额申购（</w:t>
    </w:r>
    <w:r>
      <w:rPr>
        <w:rFonts w:hint="eastAsia"/>
      </w:rPr>
      <w:t>含</w:t>
    </w:r>
    <w:r>
      <w:t>定期定额投资）</w:t>
    </w:r>
    <w:r>
      <w:rPr>
        <w:rFonts w:hint="eastAsia"/>
      </w:rPr>
      <w:t>业务</w:t>
    </w:r>
    <w:r>
      <w:t>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MyZGIwNTAzMDAyYzZhZWNkOTZiNTA3ZTk2YmFmYzcifQ=="/>
  </w:docVars>
  <w:rsids>
    <w:rsidRoot w:val="00172A27"/>
    <w:rsid w:val="00000D69"/>
    <w:rsid w:val="000049CC"/>
    <w:rsid w:val="000059D1"/>
    <w:rsid w:val="00006ACD"/>
    <w:rsid w:val="0001203A"/>
    <w:rsid w:val="00012B55"/>
    <w:rsid w:val="00042FF2"/>
    <w:rsid w:val="00053657"/>
    <w:rsid w:val="00066DAC"/>
    <w:rsid w:val="0008279C"/>
    <w:rsid w:val="0009090B"/>
    <w:rsid w:val="00092524"/>
    <w:rsid w:val="00092732"/>
    <w:rsid w:val="000A4C25"/>
    <w:rsid w:val="000B12A1"/>
    <w:rsid w:val="000B76E0"/>
    <w:rsid w:val="000C773C"/>
    <w:rsid w:val="000D1B43"/>
    <w:rsid w:val="000F60A3"/>
    <w:rsid w:val="00101590"/>
    <w:rsid w:val="00103D49"/>
    <w:rsid w:val="00103DF7"/>
    <w:rsid w:val="001059B8"/>
    <w:rsid w:val="001179A1"/>
    <w:rsid w:val="00117C89"/>
    <w:rsid w:val="0014087D"/>
    <w:rsid w:val="001427AB"/>
    <w:rsid w:val="001458F3"/>
    <w:rsid w:val="001542D1"/>
    <w:rsid w:val="00166C9C"/>
    <w:rsid w:val="00182ECA"/>
    <w:rsid w:val="001A1319"/>
    <w:rsid w:val="001C5938"/>
    <w:rsid w:val="001D1053"/>
    <w:rsid w:val="001D631E"/>
    <w:rsid w:val="001E0C0E"/>
    <w:rsid w:val="001F075D"/>
    <w:rsid w:val="001F212B"/>
    <w:rsid w:val="001F2B01"/>
    <w:rsid w:val="001F3CE9"/>
    <w:rsid w:val="001F5658"/>
    <w:rsid w:val="001F642A"/>
    <w:rsid w:val="00203779"/>
    <w:rsid w:val="00215902"/>
    <w:rsid w:val="00217993"/>
    <w:rsid w:val="00222932"/>
    <w:rsid w:val="0022782E"/>
    <w:rsid w:val="00231CC6"/>
    <w:rsid w:val="002417B1"/>
    <w:rsid w:val="00241B43"/>
    <w:rsid w:val="002421C4"/>
    <w:rsid w:val="00264EC5"/>
    <w:rsid w:val="002677DE"/>
    <w:rsid w:val="00272CC2"/>
    <w:rsid w:val="002809FF"/>
    <w:rsid w:val="0029751B"/>
    <w:rsid w:val="002A2331"/>
    <w:rsid w:val="002B381D"/>
    <w:rsid w:val="002B44FB"/>
    <w:rsid w:val="002B6FA4"/>
    <w:rsid w:val="002D04A1"/>
    <w:rsid w:val="002D1115"/>
    <w:rsid w:val="002E5993"/>
    <w:rsid w:val="002E65A9"/>
    <w:rsid w:val="00321A39"/>
    <w:rsid w:val="00327CA9"/>
    <w:rsid w:val="00333BF7"/>
    <w:rsid w:val="0034641A"/>
    <w:rsid w:val="00363E8B"/>
    <w:rsid w:val="003875BB"/>
    <w:rsid w:val="0039510B"/>
    <w:rsid w:val="00395C95"/>
    <w:rsid w:val="003A5698"/>
    <w:rsid w:val="003A6C3C"/>
    <w:rsid w:val="003E3B8E"/>
    <w:rsid w:val="003E3F0D"/>
    <w:rsid w:val="003E46FC"/>
    <w:rsid w:val="003E6DA4"/>
    <w:rsid w:val="003F2B07"/>
    <w:rsid w:val="00403F1C"/>
    <w:rsid w:val="00420920"/>
    <w:rsid w:val="00422330"/>
    <w:rsid w:val="004424F9"/>
    <w:rsid w:val="004462BF"/>
    <w:rsid w:val="00454C6E"/>
    <w:rsid w:val="00470860"/>
    <w:rsid w:val="00474F46"/>
    <w:rsid w:val="004827A3"/>
    <w:rsid w:val="00490C2B"/>
    <w:rsid w:val="004B0F3C"/>
    <w:rsid w:val="004C52DE"/>
    <w:rsid w:val="004C6941"/>
    <w:rsid w:val="004D24DF"/>
    <w:rsid w:val="004D6BF2"/>
    <w:rsid w:val="004F035B"/>
    <w:rsid w:val="004F7039"/>
    <w:rsid w:val="0050218F"/>
    <w:rsid w:val="00515489"/>
    <w:rsid w:val="00521D4E"/>
    <w:rsid w:val="00521E5F"/>
    <w:rsid w:val="00524320"/>
    <w:rsid w:val="0052438A"/>
    <w:rsid w:val="00525A18"/>
    <w:rsid w:val="00530262"/>
    <w:rsid w:val="00531F44"/>
    <w:rsid w:val="0053665D"/>
    <w:rsid w:val="00542736"/>
    <w:rsid w:val="00542F0A"/>
    <w:rsid w:val="00543051"/>
    <w:rsid w:val="005463BA"/>
    <w:rsid w:val="00550612"/>
    <w:rsid w:val="00561304"/>
    <w:rsid w:val="00562DA2"/>
    <w:rsid w:val="00567D38"/>
    <w:rsid w:val="00571BCF"/>
    <w:rsid w:val="00580C16"/>
    <w:rsid w:val="005908DF"/>
    <w:rsid w:val="00590930"/>
    <w:rsid w:val="005A52E5"/>
    <w:rsid w:val="005B0529"/>
    <w:rsid w:val="005C16F1"/>
    <w:rsid w:val="005C750C"/>
    <w:rsid w:val="005D3C5D"/>
    <w:rsid w:val="005D5DC0"/>
    <w:rsid w:val="005F17FB"/>
    <w:rsid w:val="005F2EF6"/>
    <w:rsid w:val="005F51A8"/>
    <w:rsid w:val="00600F6A"/>
    <w:rsid w:val="006059F5"/>
    <w:rsid w:val="00613D66"/>
    <w:rsid w:val="00617520"/>
    <w:rsid w:val="00620430"/>
    <w:rsid w:val="00623B12"/>
    <w:rsid w:val="0063004B"/>
    <w:rsid w:val="006736F4"/>
    <w:rsid w:val="00681FD9"/>
    <w:rsid w:val="00683289"/>
    <w:rsid w:val="00684FC1"/>
    <w:rsid w:val="0068500D"/>
    <w:rsid w:val="00693BB7"/>
    <w:rsid w:val="00696700"/>
    <w:rsid w:val="006A0E8E"/>
    <w:rsid w:val="006A2C9E"/>
    <w:rsid w:val="006A7774"/>
    <w:rsid w:val="006B4B59"/>
    <w:rsid w:val="006F7617"/>
    <w:rsid w:val="00706C11"/>
    <w:rsid w:val="00707736"/>
    <w:rsid w:val="00716ED0"/>
    <w:rsid w:val="00723532"/>
    <w:rsid w:val="00737404"/>
    <w:rsid w:val="00742D91"/>
    <w:rsid w:val="00744D77"/>
    <w:rsid w:val="00750086"/>
    <w:rsid w:val="00756F93"/>
    <w:rsid w:val="00757A34"/>
    <w:rsid w:val="00761BEA"/>
    <w:rsid w:val="00764D68"/>
    <w:rsid w:val="00764E5F"/>
    <w:rsid w:val="0076635F"/>
    <w:rsid w:val="0076720C"/>
    <w:rsid w:val="0076756B"/>
    <w:rsid w:val="00777F2B"/>
    <w:rsid w:val="0078201D"/>
    <w:rsid w:val="00785878"/>
    <w:rsid w:val="007933D1"/>
    <w:rsid w:val="00796FF6"/>
    <w:rsid w:val="007A49FC"/>
    <w:rsid w:val="007C18ED"/>
    <w:rsid w:val="007C2426"/>
    <w:rsid w:val="007D3FC9"/>
    <w:rsid w:val="007F078D"/>
    <w:rsid w:val="00804E75"/>
    <w:rsid w:val="00807317"/>
    <w:rsid w:val="00807CF7"/>
    <w:rsid w:val="00815015"/>
    <w:rsid w:val="0082117F"/>
    <w:rsid w:val="00823226"/>
    <w:rsid w:val="00826095"/>
    <w:rsid w:val="0083033B"/>
    <w:rsid w:val="0083296F"/>
    <w:rsid w:val="00840559"/>
    <w:rsid w:val="00844AC0"/>
    <w:rsid w:val="00852F87"/>
    <w:rsid w:val="00862B52"/>
    <w:rsid w:val="0086347B"/>
    <w:rsid w:val="00864851"/>
    <w:rsid w:val="00875612"/>
    <w:rsid w:val="008830D4"/>
    <w:rsid w:val="00890EE5"/>
    <w:rsid w:val="008B0380"/>
    <w:rsid w:val="008B7593"/>
    <w:rsid w:val="008C0D26"/>
    <w:rsid w:val="008C1386"/>
    <w:rsid w:val="008C14E3"/>
    <w:rsid w:val="008C4C79"/>
    <w:rsid w:val="008C5E77"/>
    <w:rsid w:val="008D214F"/>
    <w:rsid w:val="008E65FE"/>
    <w:rsid w:val="008F18A0"/>
    <w:rsid w:val="008F2298"/>
    <w:rsid w:val="008F72C2"/>
    <w:rsid w:val="009000AE"/>
    <w:rsid w:val="00913565"/>
    <w:rsid w:val="0093691B"/>
    <w:rsid w:val="009451CD"/>
    <w:rsid w:val="00971032"/>
    <w:rsid w:val="0097637D"/>
    <w:rsid w:val="00991175"/>
    <w:rsid w:val="009A4C73"/>
    <w:rsid w:val="009A58D5"/>
    <w:rsid w:val="009B7A72"/>
    <w:rsid w:val="009C52A1"/>
    <w:rsid w:val="009C613C"/>
    <w:rsid w:val="009C69F0"/>
    <w:rsid w:val="009C6AF5"/>
    <w:rsid w:val="009E28FC"/>
    <w:rsid w:val="009F382A"/>
    <w:rsid w:val="00A00DF4"/>
    <w:rsid w:val="00A0201A"/>
    <w:rsid w:val="00A3100C"/>
    <w:rsid w:val="00A3107E"/>
    <w:rsid w:val="00A356EC"/>
    <w:rsid w:val="00A3670B"/>
    <w:rsid w:val="00A40B2D"/>
    <w:rsid w:val="00A44150"/>
    <w:rsid w:val="00A57FFC"/>
    <w:rsid w:val="00A7172A"/>
    <w:rsid w:val="00A72C14"/>
    <w:rsid w:val="00A763C9"/>
    <w:rsid w:val="00A83041"/>
    <w:rsid w:val="00A94E56"/>
    <w:rsid w:val="00AB205F"/>
    <w:rsid w:val="00AF2CB5"/>
    <w:rsid w:val="00AF5D00"/>
    <w:rsid w:val="00AF62AD"/>
    <w:rsid w:val="00B04601"/>
    <w:rsid w:val="00B15137"/>
    <w:rsid w:val="00B21B21"/>
    <w:rsid w:val="00B33953"/>
    <w:rsid w:val="00B4410A"/>
    <w:rsid w:val="00B6596C"/>
    <w:rsid w:val="00B678A1"/>
    <w:rsid w:val="00B704C7"/>
    <w:rsid w:val="00B70E32"/>
    <w:rsid w:val="00B7626F"/>
    <w:rsid w:val="00B76529"/>
    <w:rsid w:val="00B8058E"/>
    <w:rsid w:val="00B8061D"/>
    <w:rsid w:val="00BA523C"/>
    <w:rsid w:val="00BC5CC8"/>
    <w:rsid w:val="00BC61D1"/>
    <w:rsid w:val="00BD1521"/>
    <w:rsid w:val="00BF6B4C"/>
    <w:rsid w:val="00BF7BDF"/>
    <w:rsid w:val="00C00EF7"/>
    <w:rsid w:val="00C07D60"/>
    <w:rsid w:val="00C136FC"/>
    <w:rsid w:val="00C30CDE"/>
    <w:rsid w:val="00C4466E"/>
    <w:rsid w:val="00C44E75"/>
    <w:rsid w:val="00C46A0C"/>
    <w:rsid w:val="00C56224"/>
    <w:rsid w:val="00C73775"/>
    <w:rsid w:val="00C74E76"/>
    <w:rsid w:val="00C84DC2"/>
    <w:rsid w:val="00C92093"/>
    <w:rsid w:val="00CA357C"/>
    <w:rsid w:val="00CA5C34"/>
    <w:rsid w:val="00CB4347"/>
    <w:rsid w:val="00CB59D4"/>
    <w:rsid w:val="00CC27D9"/>
    <w:rsid w:val="00CD290D"/>
    <w:rsid w:val="00CE114F"/>
    <w:rsid w:val="00CE24F9"/>
    <w:rsid w:val="00CE392F"/>
    <w:rsid w:val="00CE470A"/>
    <w:rsid w:val="00CF3F34"/>
    <w:rsid w:val="00CF4BF2"/>
    <w:rsid w:val="00D20DC6"/>
    <w:rsid w:val="00D24452"/>
    <w:rsid w:val="00D312B1"/>
    <w:rsid w:val="00D31CD8"/>
    <w:rsid w:val="00D335A2"/>
    <w:rsid w:val="00D47415"/>
    <w:rsid w:val="00D73A13"/>
    <w:rsid w:val="00D81BF6"/>
    <w:rsid w:val="00D9449D"/>
    <w:rsid w:val="00DA287A"/>
    <w:rsid w:val="00DA7D3E"/>
    <w:rsid w:val="00DB1B31"/>
    <w:rsid w:val="00DB5E45"/>
    <w:rsid w:val="00DD2480"/>
    <w:rsid w:val="00DD6A45"/>
    <w:rsid w:val="00DE7B59"/>
    <w:rsid w:val="00DF59F3"/>
    <w:rsid w:val="00E04C32"/>
    <w:rsid w:val="00E1282C"/>
    <w:rsid w:val="00E15D5C"/>
    <w:rsid w:val="00E34370"/>
    <w:rsid w:val="00E516A7"/>
    <w:rsid w:val="00E524EA"/>
    <w:rsid w:val="00E547F1"/>
    <w:rsid w:val="00E807C4"/>
    <w:rsid w:val="00E93EAE"/>
    <w:rsid w:val="00E94309"/>
    <w:rsid w:val="00EA121A"/>
    <w:rsid w:val="00EB72FD"/>
    <w:rsid w:val="00EC3D81"/>
    <w:rsid w:val="00ED0EFA"/>
    <w:rsid w:val="00EE51B5"/>
    <w:rsid w:val="00EE52C8"/>
    <w:rsid w:val="00EE6E91"/>
    <w:rsid w:val="00EE77FB"/>
    <w:rsid w:val="00EF565C"/>
    <w:rsid w:val="00F00596"/>
    <w:rsid w:val="00F06439"/>
    <w:rsid w:val="00F16345"/>
    <w:rsid w:val="00F214CE"/>
    <w:rsid w:val="00F236F8"/>
    <w:rsid w:val="00F2502D"/>
    <w:rsid w:val="00F2719C"/>
    <w:rsid w:val="00F34E60"/>
    <w:rsid w:val="00F37C92"/>
    <w:rsid w:val="00F465B9"/>
    <w:rsid w:val="00F5362D"/>
    <w:rsid w:val="00F7228E"/>
    <w:rsid w:val="00F8707E"/>
    <w:rsid w:val="00F907BF"/>
    <w:rsid w:val="00F9597A"/>
    <w:rsid w:val="00FA6792"/>
    <w:rsid w:val="00FB12BD"/>
    <w:rsid w:val="00FB1BEF"/>
    <w:rsid w:val="00FB6829"/>
    <w:rsid w:val="00FC51B5"/>
    <w:rsid w:val="00FD206E"/>
    <w:rsid w:val="00FE224E"/>
    <w:rsid w:val="00FE2B8D"/>
    <w:rsid w:val="00FE3FE7"/>
    <w:rsid w:val="00FF631F"/>
    <w:rsid w:val="22B83D3A"/>
    <w:rsid w:val="52D648CB"/>
    <w:rsid w:val="6CB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4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Pr>
      <w:kern w:val="2"/>
      <w:sz w:val="18"/>
      <w:szCs w:val="18"/>
    </w:rPr>
  </w:style>
  <w:style w:type="paragraph" w:styleId="a8">
    <w:name w:val="footnote text"/>
    <w:basedOn w:val="a"/>
    <w:link w:val="Char3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3">
    <w:name w:val="脚注文本 Char"/>
    <w:link w:val="a8"/>
    <w:rPr>
      <w:rFonts w:ascii="Times New Roman" w:hAnsi="Times New Roman"/>
      <w:kern w:val="2"/>
      <w:sz w:val="18"/>
    </w:rPr>
  </w:style>
  <w:style w:type="paragraph" w:styleId="a9">
    <w:name w:val="annotation subject"/>
    <w:basedOn w:val="a4"/>
    <w:next w:val="a4"/>
    <w:link w:val="Char4"/>
    <w:uiPriority w:val="99"/>
    <w:unhideWhenUsed/>
    <w:rPr>
      <w:b/>
      <w:bCs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  <w:szCs w:val="22"/>
    </w:rPr>
  </w:style>
  <w:style w:type="table" w:styleId="aa">
    <w:name w:val="Table Grid"/>
    <w:basedOn w:val="a1"/>
    <w:uiPriority w:val="3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character" w:styleId="ad">
    <w:name w:val="footnote reference"/>
    <w:rPr>
      <w:vertAlign w:val="superscript"/>
    </w:rPr>
  </w:style>
  <w:style w:type="paragraph" w:customStyle="1" w:styleId="Char5">
    <w:name w:val=" Char"/>
    <w:basedOn w:val="a"/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0">
    <w:name w:val="无格式表格 1"/>
    <w:basedOn w:val="a1"/>
    <w:uiPriority w:val="41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Revision"/>
    <w:uiPriority w:val="99"/>
    <w:semiHidden/>
    <w:rPr>
      <w:kern w:val="2"/>
      <w:sz w:val="21"/>
      <w:szCs w:val="22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dcterms:created xsi:type="dcterms:W3CDTF">2022-11-23T16:00:00Z</dcterms:created>
  <dcterms:modified xsi:type="dcterms:W3CDTF">2022-11-23T16:00:00Z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CCB1E7CE01F047BFAE7BDEAADFD432AB</vt:lpwstr>
  </property>
</Properties>
</file>