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7F" w:rsidRDefault="003E7D6A">
      <w:pPr>
        <w:jc w:val="center"/>
        <w:rPr>
          <w:rFonts w:ascii="微软雅黑" w:eastAsia="宋体" w:hAnsi="微软雅黑" w:cs="宋体"/>
          <w:b/>
          <w:bCs/>
          <w:color w:val="1E5E91"/>
          <w:kern w:val="0"/>
          <w:sz w:val="28"/>
          <w:szCs w:val="28"/>
        </w:rPr>
      </w:pPr>
      <w:r>
        <w:rPr>
          <w:rFonts w:ascii="微软雅黑" w:eastAsia="宋体" w:hAnsi="微软雅黑" w:cs="宋体" w:hint="eastAsia"/>
          <w:b/>
          <w:bCs/>
          <w:color w:val="1E5E91"/>
          <w:kern w:val="0"/>
          <w:sz w:val="28"/>
          <w:szCs w:val="28"/>
        </w:rPr>
        <w:t>海富通基金管理有限公司关于旗下部分基金新增杭州银行股份有限公司为销售机构的公告</w:t>
      </w:r>
    </w:p>
    <w:p w:rsidR="007B397F" w:rsidRDefault="007B397F">
      <w:pPr>
        <w:jc w:val="center"/>
      </w:pP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杭州银行股份有限公司（以下简称“杭州银行”）的开放式基金销售资格已获中国证券监督管理委员会批准。根据海富通基金管理有限公司（以下简称"本公司"）与杭州银行签订的开放式证券投资基金销售协议，现增加杭州银行为本公司旗下部分基金的销售机构。现将有关事项公告如下：</w:t>
      </w:r>
    </w:p>
    <w:p w:rsidR="007B397F" w:rsidRDefault="007B397F">
      <w:pPr>
        <w:ind w:firstLineChars="200" w:firstLine="460"/>
        <w:rPr>
          <w:rFonts w:ascii="宋体" w:eastAsia="宋体" w:hAnsi="宋体" w:cs="宋体"/>
          <w:color w:val="000000"/>
          <w:kern w:val="0"/>
          <w:sz w:val="23"/>
          <w:szCs w:val="23"/>
        </w:rPr>
      </w:pPr>
    </w:p>
    <w:p w:rsidR="007B397F" w:rsidRPr="00921CA2" w:rsidRDefault="003E7D6A">
      <w:pPr>
        <w:pStyle w:val="a8"/>
        <w:numPr>
          <w:ilvl w:val="0"/>
          <w:numId w:val="1"/>
        </w:numPr>
        <w:tabs>
          <w:tab w:val="left" w:pos="567"/>
        </w:tabs>
        <w:ind w:left="567" w:firstLineChars="0" w:hanging="244"/>
        <w:rPr>
          <w:rFonts w:ascii="宋体" w:eastAsia="宋体" w:hAnsi="宋体" w:cs="宋体"/>
          <w:b/>
          <w:color w:val="000000"/>
          <w:kern w:val="0"/>
          <w:sz w:val="23"/>
          <w:szCs w:val="23"/>
        </w:rPr>
      </w:pPr>
      <w:r w:rsidRPr="00921CA2">
        <w:rPr>
          <w:rFonts w:ascii="宋体" w:eastAsia="宋体" w:hAnsi="宋体" w:cs="宋体" w:hint="eastAsia"/>
          <w:b/>
          <w:color w:val="000000"/>
          <w:kern w:val="0"/>
          <w:sz w:val="23"/>
          <w:szCs w:val="23"/>
        </w:rPr>
        <w:t>适用基金</w:t>
      </w:r>
    </w:p>
    <w:tbl>
      <w:tblPr>
        <w:tblW w:w="8377" w:type="dxa"/>
        <w:tblInd w:w="113" w:type="dxa"/>
        <w:tblLayout w:type="fixed"/>
        <w:tblLook w:val="04A0"/>
      </w:tblPr>
      <w:tblGrid>
        <w:gridCol w:w="1144"/>
        <w:gridCol w:w="1579"/>
        <w:gridCol w:w="5654"/>
      </w:tblGrid>
      <w:tr w:rsidR="007B397F">
        <w:trPr>
          <w:trHeight w:val="282"/>
        </w:trPr>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序号</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基金代码</w:t>
            </w:r>
          </w:p>
        </w:tc>
        <w:tc>
          <w:tcPr>
            <w:tcW w:w="5654" w:type="dxa"/>
            <w:tcBorders>
              <w:top w:val="single" w:sz="4" w:space="0" w:color="auto"/>
              <w:left w:val="nil"/>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基金名称</w:t>
            </w: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A类：010657</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海富通欣睿混合型证券投资基金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C类：010658</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A类：011115</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海富通利率债债券型证券投资基金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C类：011116</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A类：011554</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海富通欣利混合型证券投资基金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C类：011555</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A类：010260</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海富通策略收益债券型证券投资基金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C类：010261</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A类：012012</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w:t>
            </w:r>
            <w:bookmarkStart w:id="0" w:name="_GoBack"/>
            <w:bookmarkEnd w:id="0"/>
            <w:r>
              <w:rPr>
                <w:rFonts w:ascii="宋体" w:eastAsia="宋体" w:hAnsi="宋体" w:cs="宋体" w:hint="eastAsia"/>
                <w:color w:val="000000"/>
                <w:kern w:val="0"/>
                <w:sz w:val="22"/>
              </w:rPr>
              <w:t>通瑞兴3个月定期开放债券型证券投资基金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C类：012013</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A类：013015</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海富通惠鑫混合型证券投资基金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C类：013016</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A类：010262</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海富通中债1-3年农发行债券指数证券投资基金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C类：010263</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A类：012410</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海富通成长领航混合型证券投资基金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C类：012411</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A类：013039</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海富通欣润混合型证券投资基金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C类：013040</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r w:rsidR="007B397F">
        <w:trPr>
          <w:trHeight w:val="282"/>
        </w:trPr>
        <w:tc>
          <w:tcPr>
            <w:tcW w:w="114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A类：010568</w:t>
            </w:r>
          </w:p>
        </w:tc>
        <w:tc>
          <w:tcPr>
            <w:tcW w:w="5654" w:type="dxa"/>
            <w:vMerge w:val="restart"/>
            <w:tcBorders>
              <w:top w:val="nil"/>
              <w:left w:val="single" w:sz="4" w:space="0" w:color="auto"/>
              <w:bottom w:val="single" w:sz="4" w:space="0" w:color="auto"/>
              <w:right w:val="single" w:sz="4" w:space="0" w:color="auto"/>
            </w:tcBorders>
            <w:shd w:val="clear" w:color="auto" w:fill="auto"/>
            <w:noWrap/>
            <w:vAlign w:val="center"/>
          </w:tcPr>
          <w:p w:rsidR="007B397F" w:rsidRDefault="003E7D6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海富通惠睿精选混合型证券投资基金</w:t>
            </w:r>
          </w:p>
        </w:tc>
      </w:tr>
      <w:tr w:rsidR="007B397F">
        <w:trPr>
          <w:trHeight w:val="282"/>
        </w:trPr>
        <w:tc>
          <w:tcPr>
            <w:tcW w:w="114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c>
          <w:tcPr>
            <w:tcW w:w="1579" w:type="dxa"/>
            <w:tcBorders>
              <w:top w:val="nil"/>
              <w:left w:val="nil"/>
              <w:bottom w:val="single" w:sz="4" w:space="0" w:color="auto"/>
              <w:right w:val="single" w:sz="4" w:space="0" w:color="auto"/>
            </w:tcBorders>
            <w:shd w:val="clear" w:color="auto" w:fill="auto"/>
            <w:noWrap/>
            <w:vAlign w:val="center"/>
          </w:tcPr>
          <w:p w:rsidR="007B397F" w:rsidRDefault="003E7D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C类：010569</w:t>
            </w:r>
          </w:p>
        </w:tc>
        <w:tc>
          <w:tcPr>
            <w:tcW w:w="5654" w:type="dxa"/>
            <w:vMerge/>
            <w:tcBorders>
              <w:top w:val="nil"/>
              <w:left w:val="single" w:sz="4" w:space="0" w:color="auto"/>
              <w:bottom w:val="single" w:sz="4" w:space="0" w:color="auto"/>
              <w:right w:val="single" w:sz="4" w:space="0" w:color="auto"/>
            </w:tcBorders>
            <w:vAlign w:val="center"/>
          </w:tcPr>
          <w:p w:rsidR="007B397F" w:rsidRDefault="007B397F">
            <w:pPr>
              <w:widowControl/>
              <w:jc w:val="left"/>
              <w:rPr>
                <w:rFonts w:ascii="宋体" w:eastAsia="宋体" w:hAnsi="宋体" w:cs="宋体"/>
                <w:color w:val="000000"/>
                <w:kern w:val="0"/>
                <w:sz w:val="22"/>
              </w:rPr>
            </w:pPr>
          </w:p>
        </w:tc>
      </w:tr>
    </w:tbl>
    <w:p w:rsidR="007B397F" w:rsidRDefault="007B397F">
      <w:pPr>
        <w:rPr>
          <w:rFonts w:ascii="宋体" w:eastAsia="宋体" w:hAnsi="宋体" w:cs="宋体"/>
          <w:color w:val="000000"/>
          <w:kern w:val="0"/>
          <w:sz w:val="23"/>
          <w:szCs w:val="23"/>
        </w:rPr>
      </w:pPr>
    </w:p>
    <w:p w:rsidR="007B397F" w:rsidRPr="00921CA2" w:rsidRDefault="003E7D6A">
      <w:pPr>
        <w:pStyle w:val="a8"/>
        <w:numPr>
          <w:ilvl w:val="0"/>
          <w:numId w:val="1"/>
        </w:numPr>
        <w:tabs>
          <w:tab w:val="left" w:pos="567"/>
        </w:tabs>
        <w:ind w:left="567" w:firstLineChars="0" w:hanging="244"/>
        <w:rPr>
          <w:rFonts w:ascii="宋体" w:eastAsia="宋体" w:hAnsi="宋体" w:cs="宋体"/>
          <w:b/>
          <w:color w:val="000000"/>
          <w:kern w:val="0"/>
          <w:sz w:val="23"/>
          <w:szCs w:val="23"/>
        </w:rPr>
      </w:pPr>
      <w:r w:rsidRPr="00921CA2">
        <w:rPr>
          <w:rFonts w:ascii="宋体" w:eastAsia="宋体" w:hAnsi="宋体" w:cs="宋体" w:hint="eastAsia"/>
          <w:b/>
          <w:color w:val="000000"/>
          <w:kern w:val="0"/>
          <w:sz w:val="23"/>
          <w:szCs w:val="23"/>
        </w:rPr>
        <w:t>业务开通时间</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自202</w:t>
      </w:r>
      <w:r>
        <w:rPr>
          <w:rFonts w:ascii="宋体" w:eastAsia="宋体" w:hAnsi="宋体" w:cs="宋体"/>
          <w:color w:val="000000"/>
          <w:kern w:val="0"/>
          <w:sz w:val="23"/>
          <w:szCs w:val="23"/>
        </w:rPr>
        <w:t>2</w:t>
      </w:r>
      <w:r>
        <w:rPr>
          <w:rFonts w:ascii="宋体" w:eastAsia="宋体" w:hAnsi="宋体" w:cs="宋体" w:hint="eastAsia"/>
          <w:color w:val="000000"/>
          <w:kern w:val="0"/>
          <w:sz w:val="23"/>
          <w:szCs w:val="23"/>
        </w:rPr>
        <w:t>年</w:t>
      </w:r>
      <w:r>
        <w:rPr>
          <w:rFonts w:ascii="宋体" w:eastAsia="宋体" w:hAnsi="宋体" w:cs="宋体"/>
          <w:color w:val="000000"/>
          <w:kern w:val="0"/>
          <w:sz w:val="23"/>
          <w:szCs w:val="23"/>
        </w:rPr>
        <w:t>11</w:t>
      </w:r>
      <w:r>
        <w:rPr>
          <w:rFonts w:ascii="宋体" w:eastAsia="宋体" w:hAnsi="宋体" w:cs="宋体" w:hint="eastAsia"/>
          <w:color w:val="000000"/>
          <w:kern w:val="0"/>
          <w:sz w:val="23"/>
          <w:szCs w:val="23"/>
        </w:rPr>
        <w:t>月</w:t>
      </w:r>
      <w:r>
        <w:rPr>
          <w:rFonts w:ascii="宋体" w:eastAsia="宋体" w:hAnsi="宋体" w:cs="宋体"/>
          <w:color w:val="000000"/>
          <w:kern w:val="0"/>
          <w:sz w:val="23"/>
          <w:szCs w:val="23"/>
        </w:rPr>
        <w:t>24</w:t>
      </w:r>
      <w:r>
        <w:rPr>
          <w:rFonts w:ascii="宋体" w:eastAsia="宋体" w:hAnsi="宋体" w:cs="宋体" w:hint="eastAsia"/>
          <w:color w:val="000000"/>
          <w:kern w:val="0"/>
          <w:sz w:val="23"/>
          <w:szCs w:val="23"/>
        </w:rPr>
        <w:t>日起，投资者可在杭州银行办理上述开放式基金的开户、申购、赎回等业务。具体的业务流程、办理方式和办理时间等以杭州银行的规定为准。</w:t>
      </w:r>
    </w:p>
    <w:p w:rsidR="007B397F" w:rsidRDefault="007B397F">
      <w:pPr>
        <w:ind w:firstLineChars="200" w:firstLine="460"/>
        <w:rPr>
          <w:rFonts w:ascii="宋体" w:eastAsia="宋体" w:hAnsi="宋体" w:cs="宋体"/>
          <w:color w:val="000000"/>
          <w:kern w:val="0"/>
          <w:sz w:val="23"/>
          <w:szCs w:val="23"/>
        </w:rPr>
      </w:pPr>
    </w:p>
    <w:p w:rsidR="007B397F" w:rsidRPr="00921CA2" w:rsidRDefault="003E7D6A">
      <w:pPr>
        <w:pStyle w:val="a8"/>
        <w:numPr>
          <w:ilvl w:val="0"/>
          <w:numId w:val="1"/>
        </w:numPr>
        <w:tabs>
          <w:tab w:val="left" w:pos="567"/>
        </w:tabs>
        <w:ind w:left="567" w:firstLineChars="0" w:hanging="244"/>
        <w:rPr>
          <w:rFonts w:ascii="宋体" w:eastAsia="宋体" w:hAnsi="宋体" w:cs="宋体"/>
          <w:b/>
          <w:color w:val="000000"/>
          <w:kern w:val="0"/>
          <w:sz w:val="23"/>
          <w:szCs w:val="23"/>
        </w:rPr>
      </w:pPr>
      <w:r w:rsidRPr="00921CA2">
        <w:rPr>
          <w:rFonts w:ascii="宋体" w:eastAsia="宋体" w:hAnsi="宋体" w:cs="宋体" w:hint="eastAsia"/>
          <w:b/>
          <w:color w:val="000000"/>
          <w:kern w:val="0"/>
          <w:sz w:val="23"/>
          <w:szCs w:val="23"/>
        </w:rPr>
        <w:t>适用投资者范围</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符合法律法规及基金合同规定的投资者。</w:t>
      </w:r>
    </w:p>
    <w:p w:rsidR="007B397F" w:rsidRDefault="007B397F">
      <w:pPr>
        <w:pStyle w:val="a8"/>
        <w:ind w:left="915" w:firstLine="460"/>
        <w:rPr>
          <w:rFonts w:ascii="宋体" w:eastAsia="宋体" w:hAnsi="宋体" w:cs="宋体"/>
          <w:color w:val="000000"/>
          <w:kern w:val="0"/>
          <w:sz w:val="23"/>
          <w:szCs w:val="23"/>
        </w:rPr>
      </w:pPr>
    </w:p>
    <w:p w:rsidR="007B397F" w:rsidRPr="00921CA2" w:rsidRDefault="003E7D6A">
      <w:pPr>
        <w:pStyle w:val="a8"/>
        <w:numPr>
          <w:ilvl w:val="0"/>
          <w:numId w:val="1"/>
        </w:numPr>
        <w:tabs>
          <w:tab w:val="left" w:pos="567"/>
        </w:tabs>
        <w:ind w:left="567" w:firstLineChars="0" w:hanging="244"/>
        <w:rPr>
          <w:rFonts w:ascii="宋体" w:eastAsia="宋体" w:hAnsi="宋体" w:cs="宋体"/>
          <w:b/>
          <w:color w:val="000000"/>
          <w:kern w:val="0"/>
          <w:sz w:val="23"/>
          <w:szCs w:val="23"/>
        </w:rPr>
      </w:pPr>
      <w:r w:rsidRPr="00921CA2">
        <w:rPr>
          <w:rFonts w:ascii="宋体" w:eastAsia="宋体" w:hAnsi="宋体" w:cs="宋体" w:hint="eastAsia"/>
          <w:b/>
          <w:color w:val="000000"/>
          <w:kern w:val="0"/>
          <w:sz w:val="23"/>
          <w:szCs w:val="23"/>
        </w:rPr>
        <w:lastRenderedPageBreak/>
        <w:t>重要提示</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1、海富通瑞兴3个月定期开放债券型证券投资基金的开放申购赎回安排请见本公司最新业务公告。</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2、投资者欲了解基金的详细信息，请仔细阅读上述开放式基金的基金合同、招募说明书及相关法律文件。</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3、特别提示投资人关注上述基金产品的基金合同、招募说明书等法律文件及基金管理人的风险提示。</w:t>
      </w:r>
    </w:p>
    <w:p w:rsidR="007B397F" w:rsidRDefault="007B397F">
      <w:pPr>
        <w:pStyle w:val="a8"/>
        <w:ind w:left="915" w:firstLine="460"/>
        <w:rPr>
          <w:rFonts w:ascii="宋体" w:eastAsia="宋体" w:hAnsi="宋体" w:cs="宋体"/>
          <w:color w:val="000000"/>
          <w:kern w:val="0"/>
          <w:sz w:val="23"/>
          <w:szCs w:val="23"/>
        </w:rPr>
      </w:pPr>
    </w:p>
    <w:p w:rsidR="007B397F" w:rsidRPr="00921CA2" w:rsidRDefault="003E7D6A">
      <w:pPr>
        <w:pStyle w:val="a8"/>
        <w:numPr>
          <w:ilvl w:val="0"/>
          <w:numId w:val="1"/>
        </w:numPr>
        <w:tabs>
          <w:tab w:val="left" w:pos="567"/>
        </w:tabs>
        <w:ind w:left="567" w:firstLineChars="0" w:hanging="244"/>
        <w:rPr>
          <w:rFonts w:ascii="宋体" w:eastAsia="宋体" w:hAnsi="宋体" w:cs="宋体"/>
          <w:b/>
          <w:color w:val="000000"/>
          <w:kern w:val="0"/>
          <w:sz w:val="23"/>
          <w:szCs w:val="23"/>
        </w:rPr>
      </w:pPr>
      <w:r w:rsidRPr="00921CA2">
        <w:rPr>
          <w:rFonts w:ascii="宋体" w:eastAsia="宋体" w:hAnsi="宋体" w:cs="宋体" w:hint="eastAsia"/>
          <w:b/>
          <w:color w:val="000000"/>
          <w:kern w:val="0"/>
          <w:sz w:val="23"/>
          <w:szCs w:val="23"/>
        </w:rPr>
        <w:t>投资者可通过以下途径咨询有关详情：</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1、杭州银行股份有限公司</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客户服务电话：</w:t>
      </w:r>
      <w:r>
        <w:rPr>
          <w:rFonts w:ascii="宋体" w:eastAsia="宋体" w:hAnsi="宋体" w:cs="宋体"/>
          <w:color w:val="000000"/>
          <w:kern w:val="0"/>
          <w:sz w:val="23"/>
          <w:szCs w:val="23"/>
        </w:rPr>
        <w:t>95398</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网站：</w:t>
      </w:r>
      <w:r>
        <w:rPr>
          <w:rFonts w:ascii="宋体" w:eastAsia="宋体" w:hAnsi="宋体" w:cs="宋体"/>
          <w:color w:val="000000"/>
          <w:kern w:val="0"/>
          <w:sz w:val="23"/>
          <w:szCs w:val="23"/>
        </w:rPr>
        <w:t>www.hzbank.com.cn</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2、海富通基金管理有限公司</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客户服务电话：40088-40099（免长途话费）</w:t>
      </w: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网站：</w:t>
      </w:r>
      <w:r>
        <w:rPr>
          <w:rFonts w:ascii="宋体" w:eastAsia="宋体" w:hAnsi="宋体" w:cs="宋体"/>
          <w:color w:val="000000"/>
          <w:kern w:val="0"/>
          <w:sz w:val="23"/>
          <w:szCs w:val="23"/>
        </w:rPr>
        <w:t>www.h</w:t>
      </w:r>
      <w:r>
        <w:rPr>
          <w:rFonts w:ascii="宋体" w:eastAsia="宋体" w:hAnsi="宋体" w:cs="宋体" w:hint="eastAsia"/>
          <w:color w:val="000000"/>
          <w:kern w:val="0"/>
          <w:sz w:val="23"/>
          <w:szCs w:val="23"/>
        </w:rPr>
        <w:t>ftfund</w:t>
      </w:r>
      <w:r>
        <w:rPr>
          <w:rFonts w:ascii="宋体" w:eastAsia="宋体" w:hAnsi="宋体" w:cs="宋体"/>
          <w:color w:val="000000"/>
          <w:kern w:val="0"/>
          <w:sz w:val="23"/>
          <w:szCs w:val="23"/>
        </w:rPr>
        <w:t>.com</w:t>
      </w:r>
    </w:p>
    <w:p w:rsidR="007B397F" w:rsidRDefault="007B397F" w:rsidP="00921CA2">
      <w:pPr>
        <w:spacing w:line="360" w:lineRule="auto"/>
        <w:ind w:firstLineChars="200" w:firstLine="460"/>
        <w:rPr>
          <w:rFonts w:ascii="宋体" w:eastAsia="宋体" w:hAnsi="宋体" w:cs="宋体"/>
          <w:color w:val="000000"/>
          <w:kern w:val="0"/>
          <w:sz w:val="23"/>
          <w:szCs w:val="23"/>
        </w:rPr>
      </w:pP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本公告的解释权归海富通基金管理有限公司。</w:t>
      </w:r>
    </w:p>
    <w:p w:rsidR="007B397F" w:rsidRDefault="007B397F" w:rsidP="00921CA2">
      <w:pPr>
        <w:spacing w:line="360" w:lineRule="auto"/>
        <w:ind w:firstLineChars="200" w:firstLine="460"/>
        <w:rPr>
          <w:rFonts w:ascii="宋体" w:eastAsia="宋体" w:hAnsi="宋体" w:cs="宋体"/>
          <w:color w:val="000000"/>
          <w:kern w:val="0"/>
          <w:sz w:val="23"/>
          <w:szCs w:val="23"/>
        </w:rPr>
      </w:pPr>
    </w:p>
    <w:p w:rsidR="007B397F" w:rsidRDefault="003E7D6A" w:rsidP="00921CA2">
      <w:pPr>
        <w:spacing w:line="360" w:lineRule="auto"/>
        <w:ind w:firstLineChars="200" w:firstLine="460"/>
        <w:rPr>
          <w:rFonts w:ascii="宋体" w:eastAsia="宋体" w:hAnsi="宋体" w:cs="宋体"/>
          <w:color w:val="000000"/>
          <w:kern w:val="0"/>
          <w:sz w:val="23"/>
          <w:szCs w:val="23"/>
        </w:rPr>
      </w:pPr>
      <w:r>
        <w:rPr>
          <w:rFonts w:ascii="宋体" w:eastAsia="宋体" w:hAnsi="宋体" w:cs="宋体" w:hint="eastAsia"/>
          <w:color w:val="000000"/>
          <w:kern w:val="0"/>
          <w:sz w:val="23"/>
          <w:szCs w:val="23"/>
        </w:rPr>
        <w:t>特此公告。</w:t>
      </w:r>
    </w:p>
    <w:p w:rsidR="007B397F" w:rsidRDefault="007B397F" w:rsidP="00921CA2">
      <w:pPr>
        <w:spacing w:line="360" w:lineRule="auto"/>
        <w:ind w:firstLineChars="200" w:firstLine="460"/>
        <w:rPr>
          <w:rFonts w:ascii="宋体" w:eastAsia="宋体" w:hAnsi="宋体" w:cs="宋体"/>
          <w:color w:val="000000"/>
          <w:kern w:val="0"/>
          <w:sz w:val="23"/>
          <w:szCs w:val="23"/>
        </w:rPr>
      </w:pPr>
    </w:p>
    <w:p w:rsidR="007B397F" w:rsidRDefault="007B397F" w:rsidP="00921CA2">
      <w:pPr>
        <w:spacing w:line="360" w:lineRule="auto"/>
        <w:ind w:firstLineChars="200" w:firstLine="460"/>
        <w:rPr>
          <w:rFonts w:ascii="宋体" w:eastAsia="宋体" w:hAnsi="宋体" w:cs="宋体"/>
          <w:color w:val="000000"/>
          <w:kern w:val="0"/>
          <w:sz w:val="23"/>
          <w:szCs w:val="23"/>
        </w:rPr>
      </w:pPr>
    </w:p>
    <w:p w:rsidR="007B397F" w:rsidRDefault="007B397F" w:rsidP="00921CA2">
      <w:pPr>
        <w:spacing w:line="360" w:lineRule="auto"/>
        <w:ind w:firstLineChars="200" w:firstLine="460"/>
        <w:rPr>
          <w:rFonts w:ascii="宋体" w:eastAsia="宋体" w:hAnsi="宋体" w:cs="宋体"/>
          <w:color w:val="000000"/>
          <w:kern w:val="0"/>
          <w:sz w:val="23"/>
          <w:szCs w:val="23"/>
        </w:rPr>
      </w:pPr>
    </w:p>
    <w:p w:rsidR="007B397F" w:rsidRDefault="003E7D6A" w:rsidP="00921CA2">
      <w:pPr>
        <w:spacing w:line="360" w:lineRule="auto"/>
        <w:ind w:firstLineChars="200" w:firstLine="460"/>
        <w:jc w:val="right"/>
        <w:rPr>
          <w:rFonts w:ascii="宋体" w:eastAsia="宋体" w:hAnsi="宋体" w:cs="宋体"/>
          <w:color w:val="000000"/>
          <w:kern w:val="0"/>
          <w:sz w:val="23"/>
          <w:szCs w:val="23"/>
        </w:rPr>
      </w:pPr>
      <w:r>
        <w:rPr>
          <w:rFonts w:ascii="宋体" w:eastAsia="宋体" w:hAnsi="宋体" w:cs="宋体" w:hint="eastAsia"/>
          <w:color w:val="000000"/>
          <w:kern w:val="0"/>
          <w:sz w:val="23"/>
          <w:szCs w:val="23"/>
        </w:rPr>
        <w:t>海富通基金管理有限公司</w:t>
      </w:r>
    </w:p>
    <w:p w:rsidR="007B397F" w:rsidRPr="00921CA2" w:rsidRDefault="003E7D6A" w:rsidP="00921CA2">
      <w:pPr>
        <w:spacing w:line="360" w:lineRule="auto"/>
        <w:ind w:firstLineChars="200" w:firstLine="460"/>
        <w:jc w:val="right"/>
        <w:rPr>
          <w:rFonts w:ascii="宋体" w:eastAsia="宋体" w:hAnsi="宋体" w:cs="宋体"/>
          <w:color w:val="000000"/>
          <w:kern w:val="0"/>
          <w:sz w:val="23"/>
          <w:szCs w:val="23"/>
        </w:rPr>
      </w:pPr>
      <w:r>
        <w:rPr>
          <w:rFonts w:ascii="宋体" w:eastAsia="宋体" w:hAnsi="宋体" w:cs="宋体" w:hint="eastAsia"/>
          <w:color w:val="000000"/>
          <w:kern w:val="0"/>
          <w:sz w:val="23"/>
          <w:szCs w:val="23"/>
        </w:rPr>
        <w:t>202</w:t>
      </w:r>
      <w:r>
        <w:rPr>
          <w:rFonts w:ascii="宋体" w:eastAsia="宋体" w:hAnsi="宋体" w:cs="宋体"/>
          <w:color w:val="000000"/>
          <w:kern w:val="0"/>
          <w:sz w:val="23"/>
          <w:szCs w:val="23"/>
        </w:rPr>
        <w:t>2</w:t>
      </w:r>
      <w:r>
        <w:rPr>
          <w:rFonts w:ascii="宋体" w:eastAsia="宋体" w:hAnsi="宋体" w:cs="宋体" w:hint="eastAsia"/>
          <w:color w:val="000000"/>
          <w:kern w:val="0"/>
          <w:sz w:val="23"/>
          <w:szCs w:val="23"/>
        </w:rPr>
        <w:t>年</w:t>
      </w:r>
      <w:r>
        <w:rPr>
          <w:rFonts w:ascii="宋体" w:eastAsia="宋体" w:hAnsi="宋体" w:cs="宋体"/>
          <w:color w:val="000000"/>
          <w:kern w:val="0"/>
          <w:sz w:val="23"/>
          <w:szCs w:val="23"/>
        </w:rPr>
        <w:t>11</w:t>
      </w:r>
      <w:r>
        <w:rPr>
          <w:rFonts w:ascii="宋体" w:eastAsia="宋体" w:hAnsi="宋体" w:cs="宋体" w:hint="eastAsia"/>
          <w:color w:val="000000"/>
          <w:kern w:val="0"/>
          <w:sz w:val="23"/>
          <w:szCs w:val="23"/>
        </w:rPr>
        <w:t>月</w:t>
      </w:r>
      <w:r>
        <w:rPr>
          <w:rFonts w:ascii="宋体" w:eastAsia="宋体" w:hAnsi="宋体" w:cs="宋体"/>
          <w:color w:val="000000"/>
          <w:kern w:val="0"/>
          <w:sz w:val="23"/>
          <w:szCs w:val="23"/>
        </w:rPr>
        <w:t>23</w:t>
      </w:r>
      <w:r>
        <w:rPr>
          <w:rFonts w:ascii="宋体" w:eastAsia="宋体" w:hAnsi="宋体" w:cs="宋体" w:hint="eastAsia"/>
          <w:color w:val="000000"/>
          <w:kern w:val="0"/>
          <w:sz w:val="23"/>
          <w:szCs w:val="23"/>
        </w:rPr>
        <w:t>日</w:t>
      </w:r>
    </w:p>
    <w:sectPr w:rsidR="007B397F" w:rsidRPr="00921CA2" w:rsidSect="009726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E577A"/>
    <w:multiLevelType w:val="multilevel"/>
    <w:tmpl w:val="59DE577A"/>
    <w:lvl w:ilvl="0">
      <w:start w:val="1"/>
      <w:numFmt w:val="japaneseCounting"/>
      <w:lvlText w:val="%1、"/>
      <w:lvlJc w:val="left"/>
      <w:pPr>
        <w:ind w:left="915" w:hanging="45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li">
    <w15:presenceInfo w15:providerId="None" w15:userId="shan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37F37"/>
    <w:rsid w:val="00004A55"/>
    <w:rsid w:val="00005469"/>
    <w:rsid w:val="000158AE"/>
    <w:rsid w:val="00017FF2"/>
    <w:rsid w:val="00032C5D"/>
    <w:rsid w:val="000357F3"/>
    <w:rsid w:val="0006358E"/>
    <w:rsid w:val="00083B73"/>
    <w:rsid w:val="0008502C"/>
    <w:rsid w:val="00096298"/>
    <w:rsid w:val="000B2573"/>
    <w:rsid w:val="000B6F9C"/>
    <w:rsid w:val="000D5889"/>
    <w:rsid w:val="000E0C84"/>
    <w:rsid w:val="000E514C"/>
    <w:rsid w:val="000F516E"/>
    <w:rsid w:val="00147B04"/>
    <w:rsid w:val="001C5C00"/>
    <w:rsid w:val="001C5ECD"/>
    <w:rsid w:val="001D0C26"/>
    <w:rsid w:val="001E4EF6"/>
    <w:rsid w:val="00222456"/>
    <w:rsid w:val="00246F55"/>
    <w:rsid w:val="00261808"/>
    <w:rsid w:val="00265556"/>
    <w:rsid w:val="00266096"/>
    <w:rsid w:val="002A0546"/>
    <w:rsid w:val="002C7225"/>
    <w:rsid w:val="00313FB2"/>
    <w:rsid w:val="00340105"/>
    <w:rsid w:val="00341DE2"/>
    <w:rsid w:val="0034274C"/>
    <w:rsid w:val="00355390"/>
    <w:rsid w:val="003873E5"/>
    <w:rsid w:val="003A00B9"/>
    <w:rsid w:val="003C3309"/>
    <w:rsid w:val="003C6746"/>
    <w:rsid w:val="003D2B15"/>
    <w:rsid w:val="003E2B87"/>
    <w:rsid w:val="003E7D6A"/>
    <w:rsid w:val="00401238"/>
    <w:rsid w:val="00404593"/>
    <w:rsid w:val="00413728"/>
    <w:rsid w:val="0041697B"/>
    <w:rsid w:val="00416E88"/>
    <w:rsid w:val="004304E3"/>
    <w:rsid w:val="00462564"/>
    <w:rsid w:val="004756F3"/>
    <w:rsid w:val="004D5917"/>
    <w:rsid w:val="004E79F4"/>
    <w:rsid w:val="00514067"/>
    <w:rsid w:val="0054092F"/>
    <w:rsid w:val="00543656"/>
    <w:rsid w:val="00547042"/>
    <w:rsid w:val="00555514"/>
    <w:rsid w:val="00573B45"/>
    <w:rsid w:val="00576A7E"/>
    <w:rsid w:val="00593E41"/>
    <w:rsid w:val="00606630"/>
    <w:rsid w:val="00620A26"/>
    <w:rsid w:val="00646A91"/>
    <w:rsid w:val="00653CC5"/>
    <w:rsid w:val="0068338E"/>
    <w:rsid w:val="006923C0"/>
    <w:rsid w:val="006C43D7"/>
    <w:rsid w:val="006C7BFD"/>
    <w:rsid w:val="007030C6"/>
    <w:rsid w:val="007450F9"/>
    <w:rsid w:val="007474D4"/>
    <w:rsid w:val="00780F65"/>
    <w:rsid w:val="007A58C1"/>
    <w:rsid w:val="007B397F"/>
    <w:rsid w:val="00803137"/>
    <w:rsid w:val="00813210"/>
    <w:rsid w:val="008337A4"/>
    <w:rsid w:val="00834AD7"/>
    <w:rsid w:val="00841E96"/>
    <w:rsid w:val="00890A40"/>
    <w:rsid w:val="008C1285"/>
    <w:rsid w:val="00910BAA"/>
    <w:rsid w:val="00921CA2"/>
    <w:rsid w:val="00962966"/>
    <w:rsid w:val="009726B5"/>
    <w:rsid w:val="00984BA1"/>
    <w:rsid w:val="009D67A7"/>
    <w:rsid w:val="00A2590C"/>
    <w:rsid w:val="00A305DB"/>
    <w:rsid w:val="00A50246"/>
    <w:rsid w:val="00A62F61"/>
    <w:rsid w:val="00AA2004"/>
    <w:rsid w:val="00AA2324"/>
    <w:rsid w:val="00AB0B89"/>
    <w:rsid w:val="00AC191D"/>
    <w:rsid w:val="00AD69DB"/>
    <w:rsid w:val="00B01D22"/>
    <w:rsid w:val="00B073C9"/>
    <w:rsid w:val="00C26CDD"/>
    <w:rsid w:val="00C42286"/>
    <w:rsid w:val="00C44FED"/>
    <w:rsid w:val="00C9004C"/>
    <w:rsid w:val="00C91B82"/>
    <w:rsid w:val="00C9395C"/>
    <w:rsid w:val="00CA58A3"/>
    <w:rsid w:val="00CB762E"/>
    <w:rsid w:val="00CC3BC7"/>
    <w:rsid w:val="00CE7F61"/>
    <w:rsid w:val="00D33A9B"/>
    <w:rsid w:val="00D37F37"/>
    <w:rsid w:val="00D46619"/>
    <w:rsid w:val="00DA413A"/>
    <w:rsid w:val="00DB19AD"/>
    <w:rsid w:val="00E305DD"/>
    <w:rsid w:val="00E467D8"/>
    <w:rsid w:val="00E667EB"/>
    <w:rsid w:val="00ED6DEC"/>
    <w:rsid w:val="00EF1004"/>
    <w:rsid w:val="00EF4D5E"/>
    <w:rsid w:val="00F11396"/>
    <w:rsid w:val="00F156F9"/>
    <w:rsid w:val="00F2470B"/>
    <w:rsid w:val="00F828AA"/>
    <w:rsid w:val="00F8796B"/>
    <w:rsid w:val="00F9076F"/>
    <w:rsid w:val="00FD1C3B"/>
    <w:rsid w:val="2F305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6B5"/>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9726B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726B5"/>
    <w:rPr>
      <w:sz w:val="18"/>
      <w:szCs w:val="18"/>
    </w:rPr>
  </w:style>
  <w:style w:type="paragraph" w:styleId="a4">
    <w:name w:val="footer"/>
    <w:basedOn w:val="a"/>
    <w:link w:val="Char0"/>
    <w:uiPriority w:val="99"/>
    <w:unhideWhenUsed/>
    <w:rsid w:val="009726B5"/>
    <w:pPr>
      <w:tabs>
        <w:tab w:val="center" w:pos="4153"/>
        <w:tab w:val="right" w:pos="8306"/>
      </w:tabs>
      <w:snapToGrid w:val="0"/>
      <w:jc w:val="left"/>
    </w:pPr>
    <w:rPr>
      <w:sz w:val="18"/>
      <w:szCs w:val="18"/>
    </w:rPr>
  </w:style>
  <w:style w:type="paragraph" w:styleId="a5">
    <w:name w:val="header"/>
    <w:basedOn w:val="a"/>
    <w:link w:val="Char1"/>
    <w:uiPriority w:val="99"/>
    <w:unhideWhenUsed/>
    <w:rsid w:val="009726B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9726B5"/>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9726B5"/>
    <w:rPr>
      <w:color w:val="0000FF"/>
      <w:u w:val="single"/>
    </w:rPr>
  </w:style>
  <w:style w:type="character" w:customStyle="1" w:styleId="Char1">
    <w:name w:val="页眉 Char"/>
    <w:basedOn w:val="a0"/>
    <w:link w:val="a5"/>
    <w:uiPriority w:val="99"/>
    <w:qFormat/>
    <w:rsid w:val="009726B5"/>
    <w:rPr>
      <w:sz w:val="18"/>
      <w:szCs w:val="18"/>
    </w:rPr>
  </w:style>
  <w:style w:type="character" w:customStyle="1" w:styleId="Char0">
    <w:name w:val="页脚 Char"/>
    <w:basedOn w:val="a0"/>
    <w:link w:val="a4"/>
    <w:uiPriority w:val="99"/>
    <w:qFormat/>
    <w:rsid w:val="009726B5"/>
    <w:rPr>
      <w:sz w:val="18"/>
      <w:szCs w:val="18"/>
    </w:rPr>
  </w:style>
  <w:style w:type="character" w:customStyle="1" w:styleId="2Char">
    <w:name w:val="标题 2 Char"/>
    <w:basedOn w:val="a0"/>
    <w:link w:val="2"/>
    <w:uiPriority w:val="9"/>
    <w:rsid w:val="009726B5"/>
    <w:rPr>
      <w:rFonts w:ascii="宋体" w:eastAsia="宋体" w:hAnsi="宋体" w:cs="宋体"/>
      <w:b/>
      <w:bCs/>
      <w:kern w:val="0"/>
      <w:sz w:val="36"/>
      <w:szCs w:val="36"/>
    </w:rPr>
  </w:style>
  <w:style w:type="paragraph" w:styleId="a8">
    <w:name w:val="List Paragraph"/>
    <w:basedOn w:val="a"/>
    <w:uiPriority w:val="34"/>
    <w:qFormat/>
    <w:rsid w:val="009726B5"/>
    <w:pPr>
      <w:ind w:firstLineChars="200" w:firstLine="420"/>
    </w:pPr>
  </w:style>
  <w:style w:type="character" w:customStyle="1" w:styleId="Char">
    <w:name w:val="批注框文本 Char"/>
    <w:basedOn w:val="a0"/>
    <w:link w:val="a3"/>
    <w:uiPriority w:val="99"/>
    <w:semiHidden/>
    <w:qFormat/>
    <w:rsid w:val="009726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B103C-C5E1-4FCC-83E4-8F17B67D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4</DocSecurity>
  <Lines>7</Lines>
  <Paragraphs>2</Paragraphs>
  <ScaleCrop>false</ScaleCrop>
  <Company>Microsoft</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卢韵竹</dc:creator>
  <cp:lastModifiedBy>ZHONGM</cp:lastModifiedBy>
  <cp:revision>2</cp:revision>
  <dcterms:created xsi:type="dcterms:W3CDTF">2022-11-22T16:02:00Z</dcterms:created>
  <dcterms:modified xsi:type="dcterms:W3CDTF">2022-11-22T16:02:00Z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