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信澳鑫享债券型证券投资基金基金经理变更公告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2022年11月23日</w:t>
      </w:r>
    </w:p>
    <w:p w:rsidR="00070317" w:rsidRPr="008A0723" w:rsidRDefault="00070317" w:rsidP="00070317">
      <w:pPr>
        <w:spacing w:line="560" w:lineRule="exact"/>
        <w:jc w:val="center"/>
        <w:rPr>
          <w:rFonts w:asciiTheme="minorEastAsia" w:eastAsiaTheme="minorEastAsia" w:hAnsiTheme="minorEastAsia"/>
          <w:color w:val="000000"/>
          <w:sz w:val="24"/>
          <w:szCs w:val="24"/>
        </w:rPr>
      </w:pPr>
    </w:p>
    <w:p w:rsidR="0093397C" w:rsidRPr="0000418A" w:rsidRDefault="00FC6964" w:rsidP="00FC6964">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                                   </w:t>
      </w: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信澳鑫享债券型证券投资基金</w:t>
            </w:r>
          </w:p>
        </w:tc>
      </w:tr>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信澳鑫享债券</w:t>
            </w:r>
          </w:p>
        </w:tc>
      </w:tr>
      <w:tr w:rsidR="00A63D9B" w:rsidRPr="0000418A" w:rsidTr="000071CE">
        <w:trPr>
          <w:jc w:val="center"/>
        </w:trPr>
        <w:tc>
          <w:tcPr>
            <w:tcW w:w="4353" w:type="dxa"/>
            <w:vAlign w:val="center"/>
          </w:tcPr>
          <w:p w:rsidR="00A63D9B" w:rsidRPr="0000418A" w:rsidRDefault="00A63D9B" w:rsidP="00FB02B7">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015953</w:t>
            </w:r>
          </w:p>
        </w:tc>
      </w:tr>
      <w:tr w:rsidR="00A63D9B" w:rsidRPr="0000418A" w:rsidTr="000071CE">
        <w:trPr>
          <w:jc w:val="center"/>
        </w:trPr>
        <w:tc>
          <w:tcPr>
            <w:tcW w:w="4353" w:type="dxa"/>
          </w:tcPr>
          <w:p w:rsidR="00A63D9B" w:rsidRPr="0000418A" w:rsidRDefault="00A63D9B"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信达澳亚基金管理有限公司</w:t>
            </w:r>
          </w:p>
        </w:tc>
      </w:tr>
      <w:tr w:rsidR="00A63D9B" w:rsidRPr="0000418A" w:rsidTr="000071CE">
        <w:trPr>
          <w:jc w:val="center"/>
        </w:trPr>
        <w:tc>
          <w:tcPr>
            <w:tcW w:w="4353" w:type="dxa"/>
          </w:tcPr>
          <w:p w:rsidR="00A63D9B" w:rsidRPr="0000418A" w:rsidRDefault="00A63D9B" w:rsidP="00070317">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《公开募集证券投资基金信息披露管理办法》、《基金管理公司投资管理人员管理指导意见》</w:t>
            </w:r>
          </w:p>
        </w:tc>
      </w:tr>
      <w:tr w:rsidR="00A63D9B" w:rsidRPr="0000418A" w:rsidTr="000071CE">
        <w:trPr>
          <w:jc w:val="center"/>
        </w:trPr>
        <w:tc>
          <w:tcPr>
            <w:tcW w:w="4353" w:type="dxa"/>
          </w:tcPr>
          <w:p w:rsidR="00A63D9B" w:rsidRPr="0000418A" w:rsidRDefault="00A63D9B" w:rsidP="0087717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增聘基金经理</w:t>
            </w:r>
          </w:p>
        </w:tc>
      </w:tr>
      <w:tr w:rsidR="00E712B7">
        <w:trPr>
          <w:jc w:val="center"/>
        </w:trPr>
        <w:tc>
          <w:tcPr>
            <w:tcW w:w="4353" w:type="dxa"/>
            <w:vAlign w:val="center"/>
          </w:tcPr>
          <w:p w:rsidR="00E712B7" w:rsidRDefault="00A83EEE">
            <w:pPr>
              <w:jc w:val="left"/>
            </w:pPr>
            <w:r>
              <w:rPr>
                <w:rFonts w:asciiTheme="minorEastAsia" w:eastAsiaTheme="minorEastAsia" w:hAnsiTheme="minorEastAsia"/>
                <w:sz w:val="24"/>
                <w:szCs w:val="24"/>
              </w:rPr>
              <w:t>新任基金经理姓名</w:t>
            </w:r>
          </w:p>
        </w:tc>
        <w:tc>
          <w:tcPr>
            <w:tcW w:w="5286" w:type="dxa"/>
            <w:vAlign w:val="center"/>
          </w:tcPr>
          <w:p w:rsidR="00E712B7" w:rsidRDefault="00A83EEE">
            <w:pPr>
              <w:jc w:val="left"/>
            </w:pPr>
            <w:r>
              <w:rPr>
                <w:rFonts w:asciiTheme="minorEastAsia" w:eastAsiaTheme="minorEastAsia" w:hAnsiTheme="minorEastAsia"/>
                <w:sz w:val="24"/>
                <w:szCs w:val="24"/>
              </w:rPr>
              <w:t>宋东旭</w:t>
            </w:r>
          </w:p>
        </w:tc>
      </w:tr>
      <w:tr w:rsidR="00E712B7">
        <w:trPr>
          <w:jc w:val="center"/>
        </w:trPr>
        <w:tc>
          <w:tcPr>
            <w:tcW w:w="4353" w:type="dxa"/>
            <w:vMerge w:val="restart"/>
            <w:vAlign w:val="center"/>
          </w:tcPr>
          <w:p w:rsidR="00E712B7" w:rsidRDefault="00A83EEE">
            <w:pPr>
              <w:jc w:val="left"/>
            </w:pPr>
            <w:r>
              <w:rPr>
                <w:rFonts w:asciiTheme="minorEastAsia" w:eastAsiaTheme="minorEastAsia" w:hAnsiTheme="minorEastAsia"/>
                <w:sz w:val="24"/>
                <w:szCs w:val="24"/>
              </w:rPr>
              <w:t>共同管理本基金的其他基金经理姓名</w:t>
            </w:r>
          </w:p>
        </w:tc>
        <w:tc>
          <w:tcPr>
            <w:tcW w:w="5286" w:type="dxa"/>
            <w:vAlign w:val="center"/>
          </w:tcPr>
          <w:p w:rsidR="00E712B7" w:rsidRDefault="00A83EEE">
            <w:pPr>
              <w:jc w:val="left"/>
            </w:pPr>
            <w:r>
              <w:rPr>
                <w:rFonts w:asciiTheme="minorEastAsia" w:eastAsiaTheme="minorEastAsia" w:hAnsiTheme="minorEastAsia"/>
                <w:sz w:val="24"/>
                <w:szCs w:val="24"/>
              </w:rPr>
              <w:t>张旻</w:t>
            </w:r>
          </w:p>
        </w:tc>
      </w:tr>
      <w:tr w:rsidR="00E712B7">
        <w:trPr>
          <w:jc w:val="center"/>
        </w:trPr>
        <w:tc>
          <w:tcPr>
            <w:tcW w:w="4353" w:type="dxa"/>
            <w:vMerge/>
          </w:tcPr>
          <w:p w:rsidR="00E712B7" w:rsidRDefault="00E712B7"/>
        </w:tc>
        <w:tc>
          <w:tcPr>
            <w:tcW w:w="5286" w:type="dxa"/>
            <w:vAlign w:val="center"/>
          </w:tcPr>
          <w:p w:rsidR="00E712B7" w:rsidRDefault="00A83EEE">
            <w:pPr>
              <w:jc w:val="left"/>
            </w:pPr>
            <w:r>
              <w:rPr>
                <w:rFonts w:asciiTheme="minorEastAsia" w:eastAsiaTheme="minorEastAsia" w:hAnsiTheme="minorEastAsia"/>
                <w:sz w:val="24"/>
                <w:szCs w:val="24"/>
              </w:rPr>
              <w:t>是星涛</w:t>
            </w:r>
          </w:p>
        </w:tc>
      </w:tr>
    </w:tbl>
    <w:p w:rsidR="00070317" w:rsidRPr="0000418A" w:rsidRDefault="00070317" w:rsidP="00070317">
      <w:pPr>
        <w:spacing w:line="560" w:lineRule="exact"/>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1" w:name="_Toc275961409"/>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1"/>
    </w:p>
    <w:tbl>
      <w:tblPr>
        <w:tblW w:w="9648"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867"/>
        <w:gridCol w:w="1110"/>
        <w:gridCol w:w="2648"/>
        <w:gridCol w:w="1559"/>
        <w:gridCol w:w="1464"/>
      </w:tblGrid>
      <w:tr w:rsidR="00042A21" w:rsidRPr="0000418A" w:rsidTr="00E30F43">
        <w:trPr>
          <w:jc w:val="center"/>
        </w:trPr>
        <w:tc>
          <w:tcPr>
            <w:tcW w:w="286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p>
        </w:tc>
        <w:tc>
          <w:tcPr>
            <w:tcW w:w="6781" w:type="dxa"/>
            <w:gridSpan w:val="4"/>
          </w:tcPr>
          <w:p w:rsidR="00042A21" w:rsidRPr="0000418A" w:rsidRDefault="00042A21" w:rsidP="00EB10D5">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宋东旭</w:t>
            </w:r>
          </w:p>
        </w:tc>
      </w:tr>
      <w:tr w:rsidR="00070317" w:rsidRPr="0000418A" w:rsidTr="00E30F43">
        <w:trPr>
          <w:jc w:val="center"/>
        </w:trPr>
        <w:tc>
          <w:tcPr>
            <w:tcW w:w="286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w="678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2022年11月22日</w:t>
            </w:r>
          </w:p>
        </w:tc>
      </w:tr>
      <w:tr w:rsidR="00070317" w:rsidRPr="0000418A" w:rsidTr="00E30F43">
        <w:trPr>
          <w:jc w:val="center"/>
        </w:trPr>
        <w:tc>
          <w:tcPr>
            <w:tcW w:w="2867"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w="6781" w:type="dxa"/>
            <w:gridSpan w:val="4"/>
          </w:tcPr>
          <w:p w:rsidR="00070317" w:rsidRPr="0000418A" w:rsidRDefault="00C443C8" w:rsidP="007239D8">
            <w:pPr>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9</w:t>
            </w:r>
            <w:r>
              <w:rPr>
                <w:rFonts w:asciiTheme="minorEastAsia" w:eastAsiaTheme="minorEastAsia" w:hAnsiTheme="minorEastAsia"/>
                <w:sz w:val="24"/>
                <w:szCs w:val="24"/>
              </w:rPr>
              <w:t>.5</w:t>
            </w:r>
          </w:p>
        </w:tc>
      </w:tr>
      <w:tr w:rsidR="00070317" w:rsidRPr="0000418A" w:rsidTr="00E30F43">
        <w:trPr>
          <w:jc w:val="center"/>
        </w:trPr>
        <w:tc>
          <w:tcPr>
            <w:tcW w:w="286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w="6781" w:type="dxa"/>
            <w:gridSpan w:val="4"/>
          </w:tcPr>
          <w:p w:rsidR="00070317" w:rsidRPr="0000418A" w:rsidRDefault="00C443C8" w:rsidP="007239D8">
            <w:pPr>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r>
      <w:tr w:rsidR="00070317" w:rsidRPr="0000418A" w:rsidTr="00E30F43">
        <w:trPr>
          <w:jc w:val="center"/>
        </w:trPr>
        <w:tc>
          <w:tcPr>
            <w:tcW w:w="286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w="678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中央财经大学数理金融学士,Rutgers金融数学硕士。曾供职于摩根大通首席投资办公室，负责固定收益类资产的投资，于格林基金任基金经理。于2020年6月加入信达澳亚基金管理有限</w:t>
            </w:r>
            <w:r w:rsidRPr="0000418A">
              <w:rPr>
                <w:rFonts w:asciiTheme="minorEastAsia" w:eastAsiaTheme="minorEastAsia" w:hAnsiTheme="minorEastAsia"/>
                <w:sz w:val="24"/>
                <w:szCs w:val="24"/>
              </w:rPr>
              <w:lastRenderedPageBreak/>
              <w:t>公司。</w:t>
            </w:r>
          </w:p>
        </w:tc>
      </w:tr>
      <w:tr w:rsidR="00042A21" w:rsidRPr="0000418A" w:rsidTr="00E30F43">
        <w:trPr>
          <w:jc w:val="center"/>
        </w:trPr>
        <w:tc>
          <w:tcPr>
            <w:tcW w:w="2867" w:type="dxa"/>
            <w:vMerge w:val="restart"/>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其中：管理过公募基金的名称及期间</w:t>
            </w:r>
          </w:p>
        </w:tc>
        <w:tc>
          <w:tcPr>
            <w:tcW w:w="111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w="2648"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w="1559"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w="1464"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rsidR="00BC51C7" w:rsidRPr="0000418A" w:rsidTr="00E30F43">
        <w:trPr>
          <w:jc w:val="center"/>
        </w:trPr>
        <w:tc>
          <w:tcPr>
            <w:tcW w:w="2867" w:type="dxa"/>
            <w:vMerge/>
          </w:tcPr>
          <w:p w:rsidR="00BC51C7" w:rsidRPr="0000418A" w:rsidRDefault="00BC51C7" w:rsidP="00BC51C7">
            <w:pPr>
              <w:spacing w:line="560" w:lineRule="exact"/>
              <w:rPr>
                <w:rFonts w:asciiTheme="minorEastAsia" w:eastAsiaTheme="minorEastAsia" w:hAnsiTheme="minorEastAsia"/>
                <w:color w:val="000000"/>
                <w:sz w:val="24"/>
                <w:szCs w:val="24"/>
              </w:rPr>
            </w:pPr>
          </w:p>
        </w:tc>
        <w:tc>
          <w:tcPr>
            <w:tcW w:w="1110" w:type="dxa"/>
            <w:vAlign w:val="center"/>
          </w:tcPr>
          <w:p w:rsidR="00BC51C7" w:rsidRDefault="00BC51C7" w:rsidP="00BC51C7">
            <w:pPr>
              <w:pStyle w:val="biaogecenter"/>
              <w:wordWrap w:val="0"/>
            </w:pPr>
            <w:r w:rsidRPr="00C76768">
              <w:rPr>
                <w:rFonts w:hAnsi="Calibri" w:hint="eastAsia"/>
                <w:color w:val="000000"/>
              </w:rPr>
              <w:t>004865</w:t>
            </w:r>
          </w:p>
        </w:tc>
        <w:tc>
          <w:tcPr>
            <w:tcW w:w="2648" w:type="dxa"/>
            <w:vAlign w:val="center"/>
          </w:tcPr>
          <w:p w:rsidR="00BC51C7" w:rsidRDefault="00BC51C7" w:rsidP="00BC51C7">
            <w:pPr>
              <w:pStyle w:val="biaogecenter"/>
              <w:wordWrap w:val="0"/>
            </w:pPr>
            <w:r w:rsidRPr="00C76768">
              <w:rPr>
                <w:rFonts w:hAnsi="Calibri" w:hint="eastAsia"/>
                <w:color w:val="000000"/>
              </w:rPr>
              <w:t>格林日鑫月熠货币市场基金</w:t>
            </w:r>
          </w:p>
        </w:tc>
        <w:tc>
          <w:tcPr>
            <w:tcW w:w="1559" w:type="dxa"/>
            <w:vAlign w:val="center"/>
          </w:tcPr>
          <w:p w:rsidR="00BC51C7" w:rsidRDefault="00BC51C7" w:rsidP="00BC51C7">
            <w:pPr>
              <w:pStyle w:val="biaogecenter"/>
              <w:wordWrap w:val="0"/>
            </w:pPr>
            <w:r w:rsidRPr="00C76768">
              <w:rPr>
                <w:rFonts w:hAnsi="Calibri" w:hint="eastAsia"/>
                <w:color w:val="000000"/>
              </w:rPr>
              <w:t>2017-07-20</w:t>
            </w:r>
          </w:p>
        </w:tc>
        <w:tc>
          <w:tcPr>
            <w:tcW w:w="1464" w:type="dxa"/>
            <w:vAlign w:val="center"/>
          </w:tcPr>
          <w:p w:rsidR="00BC51C7" w:rsidRDefault="00BC51C7" w:rsidP="00BC51C7">
            <w:pPr>
              <w:pStyle w:val="biaogecenter"/>
              <w:wordWrap w:val="0"/>
            </w:pPr>
            <w:r w:rsidRPr="00C76768">
              <w:rPr>
                <w:rFonts w:hAnsi="Calibri" w:hint="eastAsia"/>
                <w:color w:val="000000"/>
              </w:rPr>
              <w:t>2020-06-12</w:t>
            </w:r>
          </w:p>
        </w:tc>
      </w:tr>
      <w:tr w:rsidR="00BC51C7" w:rsidRPr="0000418A" w:rsidTr="00E30F43">
        <w:trPr>
          <w:jc w:val="center"/>
        </w:trPr>
        <w:tc>
          <w:tcPr>
            <w:tcW w:w="2867" w:type="dxa"/>
            <w:vMerge/>
          </w:tcPr>
          <w:p w:rsidR="00BC51C7" w:rsidRPr="0000418A" w:rsidRDefault="00BC51C7" w:rsidP="00BC51C7">
            <w:pPr>
              <w:spacing w:line="560" w:lineRule="exact"/>
              <w:rPr>
                <w:rFonts w:asciiTheme="minorEastAsia" w:eastAsiaTheme="minorEastAsia" w:hAnsiTheme="minorEastAsia"/>
                <w:color w:val="000000"/>
                <w:sz w:val="24"/>
                <w:szCs w:val="24"/>
              </w:rPr>
            </w:pPr>
          </w:p>
        </w:tc>
        <w:tc>
          <w:tcPr>
            <w:tcW w:w="1110" w:type="dxa"/>
            <w:vAlign w:val="center"/>
          </w:tcPr>
          <w:p w:rsidR="00BC51C7" w:rsidRDefault="00BC51C7" w:rsidP="00BC51C7">
            <w:pPr>
              <w:pStyle w:val="biaogecenter"/>
              <w:wordWrap w:val="0"/>
            </w:pPr>
            <w:r w:rsidRPr="00C76768">
              <w:rPr>
                <w:rFonts w:hAnsi="Calibri" w:hint="eastAsia"/>
                <w:color w:val="000000"/>
              </w:rPr>
              <w:t>004942</w:t>
            </w:r>
          </w:p>
        </w:tc>
        <w:tc>
          <w:tcPr>
            <w:tcW w:w="2648" w:type="dxa"/>
            <w:vAlign w:val="center"/>
          </w:tcPr>
          <w:p w:rsidR="00BC51C7" w:rsidRDefault="00BC51C7" w:rsidP="00BC51C7">
            <w:pPr>
              <w:pStyle w:val="biaogecenter"/>
              <w:wordWrap w:val="0"/>
            </w:pPr>
            <w:r w:rsidRPr="00C76768">
              <w:rPr>
                <w:rFonts w:hAnsi="Calibri" w:hint="eastAsia"/>
                <w:color w:val="000000"/>
              </w:rPr>
              <w:t>格林伯元灵活配置混合型证券投资基金</w:t>
            </w:r>
          </w:p>
        </w:tc>
        <w:tc>
          <w:tcPr>
            <w:tcW w:w="1559" w:type="dxa"/>
            <w:vAlign w:val="center"/>
          </w:tcPr>
          <w:p w:rsidR="00BC51C7" w:rsidRDefault="00BC51C7" w:rsidP="00BC51C7">
            <w:pPr>
              <w:pStyle w:val="biaogecenter"/>
              <w:wordWrap w:val="0"/>
            </w:pPr>
            <w:r w:rsidRPr="00C76768">
              <w:rPr>
                <w:rFonts w:hAnsi="Calibri" w:hint="eastAsia"/>
                <w:color w:val="000000"/>
              </w:rPr>
              <w:t>2018-08-15</w:t>
            </w:r>
          </w:p>
        </w:tc>
        <w:tc>
          <w:tcPr>
            <w:tcW w:w="1464" w:type="dxa"/>
            <w:vAlign w:val="center"/>
          </w:tcPr>
          <w:p w:rsidR="00BC51C7" w:rsidRDefault="00BC51C7" w:rsidP="00BC51C7">
            <w:pPr>
              <w:pStyle w:val="biaogecenter"/>
              <w:wordWrap w:val="0"/>
            </w:pPr>
            <w:r w:rsidRPr="00C76768">
              <w:rPr>
                <w:rFonts w:hAnsi="Calibri" w:hint="eastAsia"/>
                <w:color w:val="000000"/>
              </w:rPr>
              <w:t>2020-06-12</w:t>
            </w:r>
          </w:p>
        </w:tc>
      </w:tr>
      <w:tr w:rsidR="00BC51C7" w:rsidRPr="0000418A" w:rsidTr="00E30F43">
        <w:trPr>
          <w:jc w:val="center"/>
        </w:trPr>
        <w:tc>
          <w:tcPr>
            <w:tcW w:w="2867" w:type="dxa"/>
            <w:vMerge/>
          </w:tcPr>
          <w:p w:rsidR="00BC51C7" w:rsidRPr="0000418A" w:rsidRDefault="00BC51C7" w:rsidP="00BC51C7">
            <w:pPr>
              <w:spacing w:line="560" w:lineRule="exact"/>
              <w:rPr>
                <w:rFonts w:asciiTheme="minorEastAsia" w:eastAsiaTheme="minorEastAsia" w:hAnsiTheme="minorEastAsia"/>
                <w:color w:val="000000"/>
                <w:sz w:val="24"/>
                <w:szCs w:val="24"/>
              </w:rPr>
            </w:pPr>
          </w:p>
        </w:tc>
        <w:tc>
          <w:tcPr>
            <w:tcW w:w="1110" w:type="dxa"/>
            <w:vAlign w:val="center"/>
          </w:tcPr>
          <w:p w:rsidR="00BC51C7" w:rsidRDefault="00BC51C7" w:rsidP="00BC51C7">
            <w:pPr>
              <w:pStyle w:val="biaogecenter"/>
              <w:wordWrap w:val="0"/>
            </w:pPr>
            <w:r w:rsidRPr="00C76768">
              <w:rPr>
                <w:rFonts w:hAnsi="Calibri" w:hint="eastAsia"/>
                <w:color w:val="000000"/>
              </w:rPr>
              <w:t>006184</w:t>
            </w:r>
          </w:p>
        </w:tc>
        <w:tc>
          <w:tcPr>
            <w:tcW w:w="2648" w:type="dxa"/>
            <w:vAlign w:val="center"/>
          </w:tcPr>
          <w:p w:rsidR="00BC51C7" w:rsidRDefault="00BC51C7" w:rsidP="00BC51C7">
            <w:pPr>
              <w:pStyle w:val="biaogecenter"/>
              <w:wordWrap w:val="0"/>
            </w:pPr>
            <w:r w:rsidRPr="00C76768">
              <w:rPr>
                <w:rFonts w:hAnsi="Calibri" w:hint="eastAsia"/>
                <w:color w:val="000000"/>
              </w:rPr>
              <w:t>格林泓鑫纯债债券型证券投资基金</w:t>
            </w:r>
          </w:p>
        </w:tc>
        <w:tc>
          <w:tcPr>
            <w:tcW w:w="1559" w:type="dxa"/>
            <w:vAlign w:val="center"/>
          </w:tcPr>
          <w:p w:rsidR="00BC51C7" w:rsidRDefault="00BC51C7" w:rsidP="00BC51C7">
            <w:pPr>
              <w:pStyle w:val="biaogecenter"/>
              <w:wordWrap w:val="0"/>
            </w:pPr>
            <w:r w:rsidRPr="00C76768">
              <w:rPr>
                <w:rFonts w:hAnsi="Calibri" w:hint="eastAsia"/>
                <w:color w:val="000000"/>
              </w:rPr>
              <w:t>2018-10-29</w:t>
            </w:r>
          </w:p>
        </w:tc>
        <w:tc>
          <w:tcPr>
            <w:tcW w:w="1464" w:type="dxa"/>
            <w:vAlign w:val="center"/>
          </w:tcPr>
          <w:p w:rsidR="00BC51C7" w:rsidRDefault="00BC51C7" w:rsidP="00BC51C7">
            <w:pPr>
              <w:pStyle w:val="biaogecenter"/>
              <w:wordWrap w:val="0"/>
            </w:pPr>
            <w:r w:rsidRPr="00C76768">
              <w:rPr>
                <w:rFonts w:hAnsi="Calibri" w:hint="eastAsia"/>
                <w:color w:val="000000"/>
              </w:rPr>
              <w:t>2020-06-12</w:t>
            </w:r>
          </w:p>
        </w:tc>
      </w:tr>
      <w:tr w:rsidR="00BC51C7" w:rsidRPr="0000418A" w:rsidTr="00E30F43">
        <w:trPr>
          <w:jc w:val="center"/>
        </w:trPr>
        <w:tc>
          <w:tcPr>
            <w:tcW w:w="2867" w:type="dxa"/>
            <w:vMerge/>
          </w:tcPr>
          <w:p w:rsidR="00BC51C7" w:rsidRPr="0000418A" w:rsidRDefault="00BC51C7" w:rsidP="00BC51C7">
            <w:pPr>
              <w:spacing w:line="560" w:lineRule="exact"/>
              <w:rPr>
                <w:rFonts w:asciiTheme="minorEastAsia" w:eastAsiaTheme="minorEastAsia" w:hAnsiTheme="minorEastAsia"/>
                <w:color w:val="000000"/>
                <w:sz w:val="24"/>
                <w:szCs w:val="24"/>
              </w:rPr>
            </w:pPr>
          </w:p>
        </w:tc>
        <w:tc>
          <w:tcPr>
            <w:tcW w:w="1110" w:type="dxa"/>
            <w:vAlign w:val="center"/>
          </w:tcPr>
          <w:p w:rsidR="00BC51C7" w:rsidRDefault="00BC51C7" w:rsidP="00BC51C7">
            <w:pPr>
              <w:pStyle w:val="biaogecenter"/>
              <w:wordWrap w:val="0"/>
            </w:pPr>
            <w:r w:rsidRPr="00C76768">
              <w:rPr>
                <w:rFonts w:hAnsi="Calibri" w:hint="eastAsia"/>
                <w:color w:val="000000"/>
              </w:rPr>
              <w:t>007710</w:t>
            </w:r>
          </w:p>
        </w:tc>
        <w:tc>
          <w:tcPr>
            <w:tcW w:w="2648" w:type="dxa"/>
            <w:vAlign w:val="center"/>
          </w:tcPr>
          <w:p w:rsidR="00BC51C7" w:rsidRDefault="00BC51C7" w:rsidP="00BC51C7">
            <w:pPr>
              <w:pStyle w:val="biaogecenter"/>
              <w:wordWrap w:val="0"/>
            </w:pPr>
            <w:r w:rsidRPr="00C76768">
              <w:rPr>
                <w:rFonts w:hAnsi="Calibri" w:hint="eastAsia"/>
                <w:color w:val="000000"/>
              </w:rPr>
              <w:t>格林泓泰三个月定期开放债券型证券投资基金</w:t>
            </w:r>
          </w:p>
        </w:tc>
        <w:tc>
          <w:tcPr>
            <w:tcW w:w="1559" w:type="dxa"/>
            <w:vAlign w:val="center"/>
          </w:tcPr>
          <w:p w:rsidR="00BC51C7" w:rsidRDefault="00BC51C7" w:rsidP="00BC51C7">
            <w:pPr>
              <w:pStyle w:val="biaogecenter"/>
              <w:wordWrap w:val="0"/>
            </w:pPr>
            <w:r w:rsidRPr="00C76768">
              <w:rPr>
                <w:rFonts w:hAnsi="Calibri" w:hint="eastAsia"/>
                <w:color w:val="000000"/>
              </w:rPr>
              <w:t>2019-09-26</w:t>
            </w:r>
          </w:p>
        </w:tc>
        <w:tc>
          <w:tcPr>
            <w:tcW w:w="1464" w:type="dxa"/>
            <w:vAlign w:val="center"/>
          </w:tcPr>
          <w:p w:rsidR="00BC51C7" w:rsidRDefault="00BC51C7" w:rsidP="00BC51C7">
            <w:pPr>
              <w:pStyle w:val="biaogecenter"/>
              <w:wordWrap w:val="0"/>
            </w:pPr>
            <w:r w:rsidRPr="00C76768">
              <w:rPr>
                <w:rFonts w:hAnsi="Calibri" w:hint="eastAsia"/>
                <w:color w:val="000000"/>
              </w:rPr>
              <w:t>2020-06-12</w:t>
            </w:r>
          </w:p>
        </w:tc>
      </w:tr>
      <w:tr w:rsidR="00BC51C7" w:rsidRPr="0000418A" w:rsidTr="00E30F43">
        <w:trPr>
          <w:jc w:val="center"/>
        </w:trPr>
        <w:tc>
          <w:tcPr>
            <w:tcW w:w="2867" w:type="dxa"/>
            <w:vMerge/>
          </w:tcPr>
          <w:p w:rsidR="00BC51C7" w:rsidRPr="0000418A" w:rsidRDefault="00BC51C7" w:rsidP="00BC51C7">
            <w:pPr>
              <w:spacing w:line="560" w:lineRule="exact"/>
              <w:rPr>
                <w:rFonts w:asciiTheme="minorEastAsia" w:eastAsiaTheme="minorEastAsia" w:hAnsiTheme="minorEastAsia"/>
                <w:color w:val="000000"/>
                <w:sz w:val="24"/>
                <w:szCs w:val="24"/>
              </w:rPr>
            </w:pPr>
          </w:p>
        </w:tc>
        <w:tc>
          <w:tcPr>
            <w:tcW w:w="1110" w:type="dxa"/>
            <w:vAlign w:val="center"/>
          </w:tcPr>
          <w:p w:rsidR="00BC51C7" w:rsidRDefault="00BC51C7" w:rsidP="00BC51C7">
            <w:pPr>
              <w:pStyle w:val="biaogecenter"/>
              <w:wordWrap w:val="0"/>
            </w:pPr>
            <w:r w:rsidRPr="00C76768">
              <w:rPr>
                <w:rFonts w:hAnsi="Calibri" w:hint="eastAsia"/>
                <w:color w:val="000000"/>
              </w:rPr>
              <w:t>008484</w:t>
            </w:r>
          </w:p>
        </w:tc>
        <w:tc>
          <w:tcPr>
            <w:tcW w:w="2648" w:type="dxa"/>
            <w:vAlign w:val="center"/>
          </w:tcPr>
          <w:p w:rsidR="00BC51C7" w:rsidRDefault="00BC51C7" w:rsidP="00BC51C7">
            <w:pPr>
              <w:pStyle w:val="biaogecenter"/>
              <w:wordWrap w:val="0"/>
            </w:pPr>
            <w:r w:rsidRPr="00C76768">
              <w:rPr>
                <w:rFonts w:hAnsi="Calibri" w:hint="eastAsia"/>
                <w:color w:val="000000"/>
              </w:rPr>
              <w:t>格林泓裕一年定期开放债券型证券投资基金</w:t>
            </w:r>
          </w:p>
        </w:tc>
        <w:tc>
          <w:tcPr>
            <w:tcW w:w="1559" w:type="dxa"/>
            <w:vAlign w:val="center"/>
          </w:tcPr>
          <w:p w:rsidR="00BC51C7" w:rsidRDefault="00BC51C7" w:rsidP="00BC51C7">
            <w:pPr>
              <w:pStyle w:val="biaogecenter"/>
              <w:wordWrap w:val="0"/>
            </w:pPr>
            <w:r w:rsidRPr="00C76768">
              <w:rPr>
                <w:rFonts w:hAnsi="Calibri" w:hint="eastAsia"/>
                <w:color w:val="000000"/>
              </w:rPr>
              <w:t>2020-03-26</w:t>
            </w:r>
          </w:p>
        </w:tc>
        <w:tc>
          <w:tcPr>
            <w:tcW w:w="1464" w:type="dxa"/>
            <w:vAlign w:val="center"/>
          </w:tcPr>
          <w:p w:rsidR="00BC51C7" w:rsidRDefault="00BC51C7" w:rsidP="00BC51C7">
            <w:pPr>
              <w:pStyle w:val="biaogecenter"/>
              <w:wordWrap w:val="0"/>
            </w:pPr>
            <w:r w:rsidRPr="00C76768">
              <w:rPr>
                <w:rFonts w:hAnsi="Calibri" w:hint="eastAsia"/>
                <w:color w:val="000000"/>
              </w:rPr>
              <w:t>2020-06-12</w:t>
            </w:r>
          </w:p>
        </w:tc>
      </w:tr>
      <w:tr w:rsidR="00BC51C7" w:rsidRPr="0000418A" w:rsidTr="00E30F43">
        <w:trPr>
          <w:jc w:val="center"/>
        </w:trPr>
        <w:tc>
          <w:tcPr>
            <w:tcW w:w="2867" w:type="dxa"/>
            <w:vMerge/>
          </w:tcPr>
          <w:p w:rsidR="00BC51C7" w:rsidRPr="0000418A" w:rsidRDefault="00BC51C7" w:rsidP="00BC51C7">
            <w:pPr>
              <w:spacing w:line="560" w:lineRule="exact"/>
              <w:rPr>
                <w:rFonts w:asciiTheme="minorEastAsia" w:eastAsiaTheme="minorEastAsia" w:hAnsiTheme="minorEastAsia"/>
                <w:color w:val="000000"/>
                <w:sz w:val="24"/>
                <w:szCs w:val="24"/>
              </w:rPr>
            </w:pPr>
          </w:p>
        </w:tc>
        <w:tc>
          <w:tcPr>
            <w:tcW w:w="1110" w:type="dxa"/>
            <w:vAlign w:val="center"/>
          </w:tcPr>
          <w:p w:rsidR="00BC51C7" w:rsidRDefault="00BC51C7" w:rsidP="00BC51C7">
            <w:pPr>
              <w:pStyle w:val="biaogecenter"/>
              <w:wordWrap w:val="0"/>
            </w:pPr>
            <w:r w:rsidRPr="00C76768">
              <w:rPr>
                <w:rFonts w:hAnsi="Calibri" w:hint="eastAsia"/>
                <w:color w:val="000000"/>
              </w:rPr>
              <w:t>009407</w:t>
            </w:r>
          </w:p>
        </w:tc>
        <w:tc>
          <w:tcPr>
            <w:tcW w:w="2648" w:type="dxa"/>
            <w:vAlign w:val="center"/>
          </w:tcPr>
          <w:p w:rsidR="00BC51C7" w:rsidRDefault="00BC51C7" w:rsidP="00BC51C7">
            <w:pPr>
              <w:pStyle w:val="biaogecenter"/>
              <w:wordWrap w:val="0"/>
            </w:pPr>
            <w:r w:rsidRPr="00C76768">
              <w:rPr>
                <w:rFonts w:hAnsi="Calibri" w:hint="eastAsia"/>
                <w:color w:val="000000"/>
              </w:rPr>
              <w:t>格林泓远纯债债券型证券投资基金</w:t>
            </w:r>
          </w:p>
        </w:tc>
        <w:tc>
          <w:tcPr>
            <w:tcW w:w="1559" w:type="dxa"/>
            <w:vAlign w:val="center"/>
          </w:tcPr>
          <w:p w:rsidR="00BC51C7" w:rsidRDefault="00BC51C7" w:rsidP="00BC51C7">
            <w:pPr>
              <w:pStyle w:val="biaogecenter"/>
              <w:wordWrap w:val="0"/>
            </w:pPr>
            <w:r w:rsidRPr="00C76768">
              <w:rPr>
                <w:rFonts w:hAnsi="Calibri" w:hint="eastAsia"/>
                <w:color w:val="000000"/>
              </w:rPr>
              <w:t>2020-06-11</w:t>
            </w:r>
          </w:p>
        </w:tc>
        <w:tc>
          <w:tcPr>
            <w:tcW w:w="1464" w:type="dxa"/>
            <w:vAlign w:val="center"/>
          </w:tcPr>
          <w:p w:rsidR="00BC51C7" w:rsidRDefault="00BC51C7" w:rsidP="00BC51C7">
            <w:pPr>
              <w:pStyle w:val="biaogecenter"/>
              <w:wordWrap w:val="0"/>
            </w:pPr>
            <w:r w:rsidRPr="00C76768">
              <w:rPr>
                <w:rFonts w:hAnsi="Calibri" w:hint="eastAsia"/>
                <w:color w:val="000000"/>
              </w:rPr>
              <w:t>2020-06-12</w:t>
            </w:r>
          </w:p>
        </w:tc>
      </w:tr>
      <w:tr w:rsidR="00BC51C7" w:rsidRPr="0000418A" w:rsidTr="00E30F43">
        <w:trPr>
          <w:jc w:val="center"/>
        </w:trPr>
        <w:tc>
          <w:tcPr>
            <w:tcW w:w="2867" w:type="dxa"/>
            <w:vMerge/>
          </w:tcPr>
          <w:p w:rsidR="00BC51C7" w:rsidRPr="0000418A" w:rsidRDefault="00BC51C7" w:rsidP="00BC51C7">
            <w:pPr>
              <w:spacing w:line="560" w:lineRule="exact"/>
              <w:rPr>
                <w:rFonts w:asciiTheme="minorEastAsia" w:eastAsiaTheme="minorEastAsia" w:hAnsiTheme="minorEastAsia"/>
                <w:color w:val="000000"/>
                <w:sz w:val="24"/>
                <w:szCs w:val="24"/>
              </w:rPr>
            </w:pPr>
          </w:p>
        </w:tc>
        <w:tc>
          <w:tcPr>
            <w:tcW w:w="1110" w:type="dxa"/>
            <w:vAlign w:val="center"/>
          </w:tcPr>
          <w:p w:rsidR="00BC51C7" w:rsidRDefault="00BC51C7" w:rsidP="00BC51C7">
            <w:pPr>
              <w:pStyle w:val="biaogecenter"/>
              <w:wordWrap w:val="0"/>
            </w:pPr>
            <w:r w:rsidRPr="00C76768">
              <w:rPr>
                <w:rFonts w:hAnsi="Calibri" w:hint="eastAsia"/>
                <w:color w:val="000000"/>
              </w:rPr>
              <w:t>000681</w:t>
            </w:r>
          </w:p>
        </w:tc>
        <w:tc>
          <w:tcPr>
            <w:tcW w:w="2648" w:type="dxa"/>
            <w:vAlign w:val="center"/>
          </w:tcPr>
          <w:p w:rsidR="00BC51C7" w:rsidRDefault="00BC51C7" w:rsidP="00BC51C7">
            <w:pPr>
              <w:pStyle w:val="biaogecenter"/>
              <w:wordWrap w:val="0"/>
            </w:pPr>
            <w:r>
              <w:rPr>
                <w:rFonts w:hAnsi="Calibri" w:hint="eastAsia"/>
                <w:color w:val="000000"/>
              </w:rPr>
              <w:t>信澳</w:t>
            </w:r>
            <w:r w:rsidRPr="00C76768">
              <w:rPr>
                <w:rFonts w:hAnsi="Calibri" w:hint="eastAsia"/>
                <w:color w:val="000000"/>
              </w:rPr>
              <w:t>慧管家货币市场基金</w:t>
            </w:r>
          </w:p>
        </w:tc>
        <w:tc>
          <w:tcPr>
            <w:tcW w:w="1559" w:type="dxa"/>
            <w:vAlign w:val="center"/>
          </w:tcPr>
          <w:p w:rsidR="00BC51C7" w:rsidRDefault="00BC51C7" w:rsidP="00BC51C7">
            <w:pPr>
              <w:pStyle w:val="biaogecenter"/>
              <w:wordWrap w:val="0"/>
            </w:pPr>
            <w:r w:rsidRPr="00C76768">
              <w:rPr>
                <w:rFonts w:hAnsi="Calibri" w:hint="eastAsia"/>
                <w:color w:val="000000"/>
              </w:rPr>
              <w:t>2021-12-20</w:t>
            </w:r>
          </w:p>
        </w:tc>
        <w:tc>
          <w:tcPr>
            <w:tcW w:w="1464" w:type="dxa"/>
            <w:vAlign w:val="center"/>
          </w:tcPr>
          <w:p w:rsidR="00BC51C7" w:rsidRDefault="00BC51C7" w:rsidP="00BC51C7">
            <w:pPr>
              <w:pStyle w:val="biaogecenter"/>
              <w:wordWrap w:val="0"/>
            </w:pPr>
            <w:r w:rsidRPr="00C76768">
              <w:rPr>
                <w:rFonts w:hAnsi="Calibri" w:hint="eastAsia"/>
                <w:color w:val="000000"/>
              </w:rPr>
              <w:t>-</w:t>
            </w:r>
          </w:p>
        </w:tc>
      </w:tr>
      <w:tr w:rsidR="00BC51C7" w:rsidRPr="0000418A" w:rsidTr="00E30F43">
        <w:trPr>
          <w:jc w:val="center"/>
        </w:trPr>
        <w:tc>
          <w:tcPr>
            <w:tcW w:w="2867" w:type="dxa"/>
            <w:vMerge/>
          </w:tcPr>
          <w:p w:rsidR="00BC51C7" w:rsidRPr="0000418A" w:rsidRDefault="00BC51C7" w:rsidP="00BC51C7">
            <w:pPr>
              <w:spacing w:line="560" w:lineRule="exact"/>
              <w:rPr>
                <w:rFonts w:asciiTheme="minorEastAsia" w:eastAsiaTheme="minorEastAsia" w:hAnsiTheme="minorEastAsia"/>
                <w:color w:val="000000"/>
                <w:sz w:val="24"/>
                <w:szCs w:val="24"/>
              </w:rPr>
            </w:pPr>
          </w:p>
        </w:tc>
        <w:tc>
          <w:tcPr>
            <w:tcW w:w="1110" w:type="dxa"/>
            <w:vAlign w:val="center"/>
          </w:tcPr>
          <w:p w:rsidR="00BC51C7" w:rsidRDefault="00BC51C7" w:rsidP="00BC51C7">
            <w:pPr>
              <w:pStyle w:val="biaogecenter"/>
              <w:wordWrap w:val="0"/>
            </w:pPr>
            <w:r w:rsidRPr="00C76768">
              <w:rPr>
                <w:rFonts w:hAnsi="Calibri" w:hint="eastAsia"/>
                <w:color w:val="000000"/>
              </w:rPr>
              <w:t>003171</w:t>
            </w:r>
          </w:p>
        </w:tc>
        <w:tc>
          <w:tcPr>
            <w:tcW w:w="2648" w:type="dxa"/>
            <w:vAlign w:val="center"/>
          </w:tcPr>
          <w:p w:rsidR="00BC51C7" w:rsidRDefault="00BC51C7" w:rsidP="00BC51C7">
            <w:pPr>
              <w:pStyle w:val="biaogecenter"/>
              <w:wordWrap w:val="0"/>
            </w:pPr>
            <w:r>
              <w:rPr>
                <w:rFonts w:hAnsi="Calibri" w:hint="eastAsia"/>
                <w:color w:val="000000"/>
              </w:rPr>
              <w:t>信澳</w:t>
            </w:r>
            <w:r w:rsidRPr="00C76768">
              <w:rPr>
                <w:rFonts w:hAnsi="Calibri" w:hint="eastAsia"/>
                <w:color w:val="000000"/>
              </w:rPr>
              <w:t>慧理财货币市场基金</w:t>
            </w:r>
          </w:p>
        </w:tc>
        <w:tc>
          <w:tcPr>
            <w:tcW w:w="1559" w:type="dxa"/>
            <w:vAlign w:val="center"/>
          </w:tcPr>
          <w:p w:rsidR="00BC51C7" w:rsidRDefault="00BC51C7" w:rsidP="00BC51C7">
            <w:pPr>
              <w:pStyle w:val="biaogecenter"/>
              <w:wordWrap w:val="0"/>
            </w:pPr>
            <w:r w:rsidRPr="00C76768">
              <w:rPr>
                <w:rFonts w:hAnsi="Calibri" w:hint="eastAsia"/>
                <w:color w:val="000000"/>
              </w:rPr>
              <w:t>2021-12-20</w:t>
            </w:r>
          </w:p>
        </w:tc>
        <w:tc>
          <w:tcPr>
            <w:tcW w:w="1464" w:type="dxa"/>
            <w:vAlign w:val="center"/>
          </w:tcPr>
          <w:p w:rsidR="00BC51C7" w:rsidRDefault="00BC51C7" w:rsidP="00BC51C7">
            <w:pPr>
              <w:pStyle w:val="biaogecenter"/>
              <w:wordWrap w:val="0"/>
            </w:pPr>
            <w:r w:rsidRPr="00C76768">
              <w:rPr>
                <w:rFonts w:hAnsi="Calibri" w:hint="eastAsia"/>
                <w:color w:val="000000"/>
              </w:rPr>
              <w:t>-</w:t>
            </w:r>
          </w:p>
        </w:tc>
      </w:tr>
      <w:tr w:rsidR="00BC51C7" w:rsidTr="00E30F43">
        <w:trPr>
          <w:jc w:val="center"/>
        </w:trPr>
        <w:tc>
          <w:tcPr>
            <w:tcW w:w="0" w:type="auto"/>
            <w:vMerge/>
          </w:tcPr>
          <w:p w:rsidR="00BC51C7" w:rsidRDefault="00BC51C7" w:rsidP="00BC51C7"/>
        </w:tc>
        <w:tc>
          <w:tcPr>
            <w:tcW w:w="0" w:type="auto"/>
            <w:vAlign w:val="center"/>
          </w:tcPr>
          <w:p w:rsidR="00BC51C7" w:rsidRDefault="00BC51C7" w:rsidP="00BC51C7">
            <w:pPr>
              <w:pStyle w:val="biaogecenter"/>
              <w:wordWrap w:val="0"/>
            </w:pPr>
            <w:r w:rsidRPr="00BC51C7">
              <w:t>004838</w:t>
            </w:r>
          </w:p>
        </w:tc>
        <w:tc>
          <w:tcPr>
            <w:tcW w:w="2648" w:type="dxa"/>
            <w:vAlign w:val="center"/>
          </w:tcPr>
          <w:p w:rsidR="00BC51C7" w:rsidRDefault="00BC51C7" w:rsidP="00BC51C7">
            <w:pPr>
              <w:pStyle w:val="biaogecenter"/>
              <w:wordWrap w:val="0"/>
            </w:pPr>
            <w:r>
              <w:rPr>
                <w:rFonts w:hint="eastAsia"/>
              </w:rPr>
              <w:t>信澳</w:t>
            </w:r>
            <w:r w:rsidRPr="00BC51C7">
              <w:rPr>
                <w:rFonts w:hint="eastAsia"/>
              </w:rPr>
              <w:t>安益纯债债券型证券投资基金</w:t>
            </w:r>
          </w:p>
        </w:tc>
        <w:tc>
          <w:tcPr>
            <w:tcW w:w="1559" w:type="dxa"/>
            <w:vAlign w:val="center"/>
          </w:tcPr>
          <w:p w:rsidR="00BC51C7" w:rsidRDefault="00BC51C7" w:rsidP="00BC51C7">
            <w:pPr>
              <w:pStyle w:val="biaogecenter"/>
              <w:wordWrap w:val="0"/>
            </w:pPr>
            <w:r>
              <w:rPr>
                <w:rFonts w:hAnsi="Calibri" w:hint="eastAsia"/>
                <w:color w:val="000000"/>
              </w:rPr>
              <w:t>2021-12-2</w:t>
            </w:r>
            <w:r>
              <w:rPr>
                <w:rFonts w:hAnsi="Calibri"/>
                <w:color w:val="000000"/>
              </w:rPr>
              <w:t>9</w:t>
            </w:r>
          </w:p>
        </w:tc>
        <w:tc>
          <w:tcPr>
            <w:tcW w:w="1464" w:type="dxa"/>
            <w:vAlign w:val="center"/>
          </w:tcPr>
          <w:p w:rsidR="00BC51C7" w:rsidRDefault="00BC51C7" w:rsidP="00BC51C7">
            <w:pPr>
              <w:pStyle w:val="biaogecenter"/>
              <w:wordWrap w:val="0"/>
            </w:pPr>
            <w:r w:rsidRPr="00C76768">
              <w:rPr>
                <w:rFonts w:hAnsi="Calibri" w:hint="eastAsia"/>
                <w:color w:val="000000"/>
              </w:rPr>
              <w:t>-</w:t>
            </w:r>
          </w:p>
        </w:tc>
      </w:tr>
      <w:tr w:rsidR="00BC51C7" w:rsidRPr="0000418A" w:rsidTr="00E30F43">
        <w:trPr>
          <w:jc w:val="center"/>
        </w:trPr>
        <w:tc>
          <w:tcPr>
            <w:tcW w:w="2867" w:type="dxa"/>
          </w:tcPr>
          <w:p w:rsidR="00BC51C7" w:rsidRPr="0000418A" w:rsidRDefault="00BC51C7" w:rsidP="00BC51C7">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p>
        </w:tc>
        <w:tc>
          <w:tcPr>
            <w:tcW w:w="6781" w:type="dxa"/>
            <w:gridSpan w:val="4"/>
          </w:tcPr>
          <w:p w:rsidR="00BC51C7" w:rsidRPr="0000418A" w:rsidRDefault="00BC51C7" w:rsidP="00BC51C7">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否</w:t>
            </w:r>
          </w:p>
        </w:tc>
      </w:tr>
      <w:tr w:rsidR="00BC51C7" w:rsidRPr="0000418A" w:rsidTr="00E30F43">
        <w:trPr>
          <w:jc w:val="center"/>
        </w:trPr>
        <w:tc>
          <w:tcPr>
            <w:tcW w:w="2867" w:type="dxa"/>
          </w:tcPr>
          <w:p w:rsidR="00BC51C7" w:rsidRPr="0000418A" w:rsidRDefault="00BC51C7" w:rsidP="00BC51C7">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w="6781" w:type="dxa"/>
            <w:gridSpan w:val="4"/>
          </w:tcPr>
          <w:p w:rsidR="00BC51C7" w:rsidRPr="0000418A" w:rsidRDefault="00BC51C7" w:rsidP="00BC51C7">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r w:rsidR="00BC51C7" w:rsidRPr="0000418A" w:rsidTr="00E30F43">
        <w:trPr>
          <w:jc w:val="center"/>
        </w:trPr>
        <w:tc>
          <w:tcPr>
            <w:tcW w:w="2867" w:type="dxa"/>
          </w:tcPr>
          <w:p w:rsidR="00BC51C7" w:rsidRPr="0000418A" w:rsidRDefault="00BC51C7" w:rsidP="00BC51C7">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w="6781" w:type="dxa"/>
            <w:gridSpan w:val="4"/>
          </w:tcPr>
          <w:p w:rsidR="00BC51C7" w:rsidRPr="0000418A" w:rsidRDefault="00F606FA" w:rsidP="00BC51C7">
            <w:pPr>
              <w:spacing w:line="560" w:lineRule="exac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w:t>
            </w:r>
            <w:bookmarkStart w:id="2" w:name="_GoBack"/>
            <w:bookmarkEnd w:id="2"/>
          </w:p>
        </w:tc>
      </w:tr>
      <w:tr w:rsidR="00BC51C7" w:rsidRPr="0000418A" w:rsidTr="00E30F43">
        <w:trPr>
          <w:jc w:val="center"/>
        </w:trPr>
        <w:tc>
          <w:tcPr>
            <w:tcW w:w="2867" w:type="dxa"/>
          </w:tcPr>
          <w:p w:rsidR="00BC51C7" w:rsidRPr="0000418A" w:rsidRDefault="00BC51C7" w:rsidP="00BC51C7">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w="6781" w:type="dxa"/>
            <w:gridSpan w:val="4"/>
          </w:tcPr>
          <w:p w:rsidR="00BC51C7" w:rsidRPr="0000418A" w:rsidRDefault="00BC51C7" w:rsidP="00BC51C7">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中国</w:t>
            </w:r>
          </w:p>
        </w:tc>
      </w:tr>
      <w:tr w:rsidR="00BC51C7" w:rsidRPr="0000418A" w:rsidTr="00E30F43">
        <w:trPr>
          <w:jc w:val="center"/>
        </w:trPr>
        <w:tc>
          <w:tcPr>
            <w:tcW w:w="2867" w:type="dxa"/>
          </w:tcPr>
          <w:p w:rsidR="00BC51C7" w:rsidRPr="0000418A" w:rsidRDefault="00BC51C7" w:rsidP="00BC51C7">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w="6781" w:type="dxa"/>
            <w:gridSpan w:val="4"/>
          </w:tcPr>
          <w:p w:rsidR="00BC51C7" w:rsidRPr="0000418A" w:rsidRDefault="00BC51C7" w:rsidP="00BC51C7">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硕士</w:t>
            </w:r>
          </w:p>
        </w:tc>
      </w:tr>
      <w:tr w:rsidR="00BC51C7" w:rsidRPr="0000418A" w:rsidTr="00E30F43">
        <w:trPr>
          <w:jc w:val="center"/>
        </w:trPr>
        <w:tc>
          <w:tcPr>
            <w:tcW w:w="2867" w:type="dxa"/>
          </w:tcPr>
          <w:p w:rsidR="00BC51C7" w:rsidRPr="0000418A" w:rsidRDefault="00BC51C7" w:rsidP="00BC51C7">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w="6781" w:type="dxa"/>
            <w:gridSpan w:val="4"/>
          </w:tcPr>
          <w:p w:rsidR="00BC51C7" w:rsidRPr="0000418A" w:rsidRDefault="00BC51C7" w:rsidP="00BC51C7">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bl>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3" w:name="_Toc275961411"/>
      <w:r w:rsidRPr="0000418A">
        <w:rPr>
          <w:rFonts w:asciiTheme="minorEastAsia" w:eastAsiaTheme="minorEastAsia" w:hAnsiTheme="minorEastAsia" w:hint="eastAsia"/>
          <w:bCs w:val="0"/>
          <w:color w:val="000000"/>
          <w:sz w:val="24"/>
          <w:szCs w:val="24"/>
        </w:rPr>
        <w:lastRenderedPageBreak/>
        <w:t>3</w:t>
      </w:r>
      <w:r w:rsidR="00070317" w:rsidRPr="0000418A">
        <w:rPr>
          <w:rFonts w:asciiTheme="minorEastAsia" w:eastAsiaTheme="minorEastAsia" w:hAnsiTheme="minorEastAsia"/>
          <w:bCs w:val="0"/>
          <w:color w:val="000000"/>
          <w:sz w:val="24"/>
          <w:szCs w:val="24"/>
        </w:rPr>
        <w:t>其他需要说明的事项</w:t>
      </w:r>
      <w:bookmarkEnd w:id="3"/>
    </w:p>
    <w:p w:rsidR="00070317"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本次基金经理调整事宜已按规定向中国证券投资基金业协会办理相关手续，并报中国证券监督管理委员会深圳监管局备案。</w:t>
      </w:r>
    </w:p>
    <w:p w:rsidR="00153728" w:rsidRDefault="00153728" w:rsidP="00207AA8">
      <w:pPr>
        <w:spacing w:line="360" w:lineRule="auto"/>
        <w:ind w:firstLineChars="200" w:firstLine="480"/>
        <w:rPr>
          <w:rFonts w:asciiTheme="minorEastAsia" w:eastAsiaTheme="minorEastAsia" w:hAnsiTheme="minorEastAsia"/>
          <w:color w:val="000000"/>
          <w:sz w:val="24"/>
          <w:szCs w:val="24"/>
        </w:rPr>
      </w:pPr>
    </w:p>
    <w:p w:rsidR="00153728" w:rsidRPr="00153728" w:rsidRDefault="00206011" w:rsidP="00153728">
      <w:pPr>
        <w:spacing w:line="360" w:lineRule="auto"/>
        <w:ind w:firstLineChars="1600" w:firstLine="3840"/>
        <w:jc w:val="right"/>
        <w:rPr>
          <w:rFonts w:asciiTheme="minorEastAsia" w:eastAsiaTheme="minorEastAsia" w:hAnsiTheme="minorEastAsia" w:cs="宋体"/>
          <w:bCs/>
          <w:sz w:val="24"/>
          <w:szCs w:val="24"/>
        </w:rPr>
      </w:pPr>
      <w:r w:rsidRPr="0000418A">
        <w:rPr>
          <w:rFonts w:asciiTheme="minorEastAsia" w:eastAsiaTheme="minorEastAsia" w:hAnsiTheme="minorEastAsia"/>
          <w:sz w:val="24"/>
          <w:szCs w:val="24"/>
        </w:rPr>
        <w:t>信达澳亚基金管理有限公司</w:t>
      </w:r>
      <w:r>
        <w:rPr>
          <w:rFonts w:asciiTheme="minorEastAsia" w:eastAsiaTheme="minorEastAsia" w:hAnsiTheme="minorEastAsia"/>
          <w:color w:val="000000"/>
          <w:sz w:val="24"/>
          <w:szCs w:val="24"/>
        </w:rPr>
        <w:t xml:space="preserve">                    </w:t>
      </w:r>
      <w:r w:rsidR="0004319A">
        <w:rPr>
          <w:rFonts w:asciiTheme="minorEastAsia" w:eastAsiaTheme="minorEastAsia" w:hAnsiTheme="minorEastAsia"/>
          <w:color w:val="000000"/>
          <w:sz w:val="24"/>
          <w:szCs w:val="24"/>
        </w:rPr>
        <w:t xml:space="preserve">                               </w:t>
      </w:r>
      <w:r w:rsidRPr="0000418A">
        <w:rPr>
          <w:rFonts w:asciiTheme="minorEastAsia" w:eastAsiaTheme="minorEastAsia" w:hAnsiTheme="minorEastAsia" w:cs="宋体"/>
          <w:bCs/>
          <w:sz w:val="24"/>
          <w:szCs w:val="24"/>
        </w:rPr>
        <w:t>2022年11月23日</w:t>
      </w:r>
    </w:p>
    <w:sectPr w:rsidR="00153728" w:rsidRPr="00153728"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CE0" w:rsidRDefault="00137CE0" w:rsidP="00070317">
      <w:r>
        <w:separator/>
      </w:r>
    </w:p>
  </w:endnote>
  <w:endnote w:type="continuationSeparator" w:id="0">
    <w:p w:rsidR="00137CE0" w:rsidRDefault="00137CE0"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CE0" w:rsidRDefault="00137CE0" w:rsidP="00070317">
      <w:r>
        <w:separator/>
      </w:r>
    </w:p>
  </w:footnote>
  <w:footnote w:type="continuationSeparator" w:id="0">
    <w:p w:rsidR="00137CE0" w:rsidRDefault="00137CE0" w:rsidP="000703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317"/>
    <w:rsid w:val="0000418A"/>
    <w:rsid w:val="000071CE"/>
    <w:rsid w:val="00041353"/>
    <w:rsid w:val="00042A21"/>
    <w:rsid w:val="0004319A"/>
    <w:rsid w:val="00070317"/>
    <w:rsid w:val="00111BD0"/>
    <w:rsid w:val="00137CE0"/>
    <w:rsid w:val="00153728"/>
    <w:rsid w:val="00191AD9"/>
    <w:rsid w:val="001F622D"/>
    <w:rsid w:val="00206011"/>
    <w:rsid w:val="00207AA8"/>
    <w:rsid w:val="002A51E8"/>
    <w:rsid w:val="002B2CD7"/>
    <w:rsid w:val="00306525"/>
    <w:rsid w:val="00412A37"/>
    <w:rsid w:val="00473FEC"/>
    <w:rsid w:val="004966BA"/>
    <w:rsid w:val="004B3F81"/>
    <w:rsid w:val="004D01DF"/>
    <w:rsid w:val="004E5694"/>
    <w:rsid w:val="0052318A"/>
    <w:rsid w:val="0053712A"/>
    <w:rsid w:val="0054301C"/>
    <w:rsid w:val="00547962"/>
    <w:rsid w:val="00566533"/>
    <w:rsid w:val="00566B55"/>
    <w:rsid w:val="00596F7A"/>
    <w:rsid w:val="005A247A"/>
    <w:rsid w:val="005B28C6"/>
    <w:rsid w:val="005B39B4"/>
    <w:rsid w:val="005C1B03"/>
    <w:rsid w:val="005F3560"/>
    <w:rsid w:val="006113F1"/>
    <w:rsid w:val="006152A9"/>
    <w:rsid w:val="006163B1"/>
    <w:rsid w:val="006340ED"/>
    <w:rsid w:val="0066275C"/>
    <w:rsid w:val="00672C20"/>
    <w:rsid w:val="006F3880"/>
    <w:rsid w:val="0070712F"/>
    <w:rsid w:val="007179FB"/>
    <w:rsid w:val="007A6211"/>
    <w:rsid w:val="007F6D1D"/>
    <w:rsid w:val="00803A3A"/>
    <w:rsid w:val="00807FC2"/>
    <w:rsid w:val="00872E95"/>
    <w:rsid w:val="0087717F"/>
    <w:rsid w:val="008A0723"/>
    <w:rsid w:val="008F0ACC"/>
    <w:rsid w:val="0093397C"/>
    <w:rsid w:val="00943056"/>
    <w:rsid w:val="009D65C6"/>
    <w:rsid w:val="009E3ABA"/>
    <w:rsid w:val="00A522D0"/>
    <w:rsid w:val="00A61621"/>
    <w:rsid w:val="00A63D9B"/>
    <w:rsid w:val="00A66507"/>
    <w:rsid w:val="00A80B8C"/>
    <w:rsid w:val="00A83EEE"/>
    <w:rsid w:val="00B03319"/>
    <w:rsid w:val="00B27750"/>
    <w:rsid w:val="00BC51C7"/>
    <w:rsid w:val="00BE716F"/>
    <w:rsid w:val="00BE7AA2"/>
    <w:rsid w:val="00C443C8"/>
    <w:rsid w:val="00C72B4E"/>
    <w:rsid w:val="00C72E4C"/>
    <w:rsid w:val="00C87324"/>
    <w:rsid w:val="00CF44A7"/>
    <w:rsid w:val="00D0210E"/>
    <w:rsid w:val="00D047E3"/>
    <w:rsid w:val="00D15E03"/>
    <w:rsid w:val="00D21C32"/>
    <w:rsid w:val="00D64B1C"/>
    <w:rsid w:val="00DB21B3"/>
    <w:rsid w:val="00DD29EF"/>
    <w:rsid w:val="00DD624E"/>
    <w:rsid w:val="00DE5519"/>
    <w:rsid w:val="00E30F43"/>
    <w:rsid w:val="00E435FE"/>
    <w:rsid w:val="00E712B7"/>
    <w:rsid w:val="00E857A8"/>
    <w:rsid w:val="00EC7F0B"/>
    <w:rsid w:val="00ED112A"/>
    <w:rsid w:val="00F606FA"/>
    <w:rsid w:val="00F70EFB"/>
    <w:rsid w:val="00F762FD"/>
    <w:rsid w:val="00FC353A"/>
    <w:rsid w:val="00FC69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 w:type="character" w:styleId="a9">
    <w:name w:val="annotation reference"/>
    <w:basedOn w:val="a0"/>
    <w:uiPriority w:val="99"/>
    <w:semiHidden/>
    <w:unhideWhenUsed/>
    <w:rsid w:val="008A0723"/>
    <w:rPr>
      <w:sz w:val="21"/>
      <w:szCs w:val="21"/>
    </w:rPr>
  </w:style>
  <w:style w:type="paragraph" w:styleId="aa">
    <w:name w:val="annotation text"/>
    <w:basedOn w:val="a"/>
    <w:link w:val="Char4"/>
    <w:uiPriority w:val="99"/>
    <w:semiHidden/>
    <w:unhideWhenUsed/>
    <w:rsid w:val="008A0723"/>
    <w:pPr>
      <w:jc w:val="left"/>
    </w:pPr>
  </w:style>
  <w:style w:type="character" w:customStyle="1" w:styleId="Char4">
    <w:name w:val="批注文字 Char"/>
    <w:basedOn w:val="a0"/>
    <w:link w:val="aa"/>
    <w:uiPriority w:val="99"/>
    <w:semiHidden/>
    <w:rsid w:val="008A0723"/>
    <w:rPr>
      <w:rFonts w:ascii="Times New Roman" w:eastAsia="方正仿宋简体" w:hAnsi="Times New Roman" w:cs="Times New Roman"/>
      <w:sz w:val="32"/>
      <w:szCs w:val="20"/>
    </w:rPr>
  </w:style>
  <w:style w:type="paragraph" w:styleId="ab">
    <w:name w:val="annotation subject"/>
    <w:basedOn w:val="aa"/>
    <w:next w:val="aa"/>
    <w:link w:val="Char5"/>
    <w:uiPriority w:val="99"/>
    <w:semiHidden/>
    <w:unhideWhenUsed/>
    <w:rsid w:val="008A0723"/>
    <w:rPr>
      <w:b/>
      <w:bCs/>
    </w:rPr>
  </w:style>
  <w:style w:type="character" w:customStyle="1" w:styleId="Char5">
    <w:name w:val="批注主题 Char"/>
    <w:basedOn w:val="Char4"/>
    <w:link w:val="ab"/>
    <w:uiPriority w:val="99"/>
    <w:semiHidden/>
    <w:rsid w:val="008A0723"/>
    <w:rPr>
      <w:rFonts w:ascii="Times New Roman" w:eastAsia="方正仿宋简体" w:hAnsi="Times New Roman" w:cs="Times New Roman"/>
      <w:b/>
      <w:bCs/>
      <w:sz w:val="32"/>
      <w:szCs w:val="20"/>
    </w:rPr>
  </w:style>
  <w:style w:type="paragraph" w:customStyle="1" w:styleId="biaogecenter">
    <w:name w:val="biaoge_center"/>
    <w:basedOn w:val="a"/>
    <w:rsid w:val="00BC51C7"/>
    <w:pPr>
      <w:widowControl/>
      <w:autoSpaceDE w:val="0"/>
      <w:autoSpaceDN w:val="0"/>
      <w:adjustRightInd w:val="0"/>
      <w:spacing w:before="29" w:line="288" w:lineRule="auto"/>
      <w:ind w:left="15"/>
      <w:jc w:val="center"/>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Words>
  <Characters>944</Characters>
  <Application>Microsoft Office Word</Application>
  <DocSecurity>4</DocSecurity>
  <Lines>7</Lines>
  <Paragraphs>2</Paragraphs>
  <ScaleCrop>false</ScaleCrop>
  <Company>微软中国</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2022-11-22T16:02:00Z</dcterms:created>
  <dcterms:modified xsi:type="dcterms:W3CDTF">2022-11-22T16:02:00Z</dcterms:modified>
</cp:coreProperties>
</file>