
<file path=[Content_Types].xml><?xml version="1.0" encoding="utf-8"?>
<Types xmlns="http://schemas.openxmlformats.org/package/2006/content-types">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5A50" w:rsidRPr="00B81B94" w:rsidRDefault="00175A50" w:rsidP="000F6E32">
      <w:pPr>
        <w:widowControl/>
        <w:shd w:val="clear" w:color="auto" w:fill="FFFFFF"/>
        <w:spacing w:line="360" w:lineRule="auto"/>
        <w:jc w:val="center"/>
        <w:rPr>
          <w:rFonts w:ascii="宋体" w:eastAsia="宋体" w:hAnsi="宋体" w:cs="宋体"/>
          <w:b/>
          <w:bCs/>
          <w:color w:val="333333"/>
          <w:kern w:val="0"/>
          <w:sz w:val="32"/>
          <w:szCs w:val="32"/>
        </w:rPr>
      </w:pPr>
      <w:r w:rsidRPr="00B81B94">
        <w:rPr>
          <w:rFonts w:ascii="宋体" w:eastAsia="宋体" w:hAnsi="宋体" w:cs="宋体" w:hint="eastAsia"/>
          <w:b/>
          <w:bCs/>
          <w:color w:val="333333"/>
          <w:kern w:val="0"/>
          <w:sz w:val="32"/>
          <w:szCs w:val="32"/>
        </w:rPr>
        <w:t>银河基金管理有限公司关于</w:t>
      </w:r>
      <w:r w:rsidR="005C2CC4">
        <w:rPr>
          <w:rFonts w:ascii="宋体" w:eastAsia="宋体" w:hAnsi="宋体" w:cs="宋体" w:hint="eastAsia"/>
          <w:b/>
          <w:bCs/>
          <w:color w:val="333333"/>
          <w:kern w:val="0"/>
          <w:sz w:val="32"/>
          <w:szCs w:val="32"/>
        </w:rPr>
        <w:t>银河中债1-3年国开行债券指数证券投资基金</w:t>
      </w:r>
      <w:r w:rsidRPr="00B81B94">
        <w:rPr>
          <w:rFonts w:ascii="宋体" w:eastAsia="宋体" w:hAnsi="宋体" w:cs="宋体" w:hint="eastAsia"/>
          <w:b/>
          <w:bCs/>
          <w:color w:val="333333"/>
          <w:kern w:val="0"/>
          <w:sz w:val="32"/>
          <w:szCs w:val="32"/>
        </w:rPr>
        <w:t>基金份额持有人大会表决结果暨决议生效的公告</w:t>
      </w:r>
    </w:p>
    <w:p w:rsidR="004B58C3" w:rsidRPr="00B81B94" w:rsidRDefault="004B58C3" w:rsidP="004B58C3">
      <w:pPr>
        <w:widowControl/>
        <w:shd w:val="clear" w:color="auto" w:fill="FFFFFF"/>
        <w:spacing w:line="360" w:lineRule="auto"/>
        <w:ind w:firstLineChars="200" w:firstLine="480"/>
        <w:jc w:val="left"/>
        <w:rPr>
          <w:rFonts w:ascii="宋体" w:eastAsia="宋体" w:hAnsi="宋体" w:cs="宋体"/>
          <w:color w:val="333333"/>
          <w:kern w:val="0"/>
          <w:sz w:val="24"/>
          <w:szCs w:val="24"/>
        </w:rPr>
      </w:pPr>
    </w:p>
    <w:p w:rsidR="00175A50" w:rsidRPr="00B81B94" w:rsidRDefault="00175A50"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根据《中华人民共和国证券投资基金法》、《公开募集证券投资基金运作管理办法》、《</w:t>
      </w:r>
      <w:r w:rsidR="005C2CC4">
        <w:rPr>
          <w:rFonts w:ascii="宋体" w:eastAsia="宋体" w:hAnsi="宋体" w:cs="宋体" w:hint="eastAsia"/>
          <w:color w:val="333333"/>
          <w:kern w:val="0"/>
          <w:sz w:val="24"/>
          <w:szCs w:val="24"/>
        </w:rPr>
        <w:t>银河中债1-3年国开行债券指数证券投资基金</w:t>
      </w:r>
      <w:r w:rsidRPr="00B81B94">
        <w:rPr>
          <w:rFonts w:ascii="宋体" w:eastAsia="宋体" w:hAnsi="宋体" w:cs="宋体" w:hint="eastAsia"/>
          <w:color w:val="333333"/>
          <w:kern w:val="0"/>
          <w:sz w:val="24"/>
          <w:szCs w:val="24"/>
        </w:rPr>
        <w:t>基金合同》（以下简称“《基金合同》”）的有关</w:t>
      </w:r>
      <w:r w:rsidR="00D34BDA" w:rsidRPr="00B81B94">
        <w:rPr>
          <w:rFonts w:ascii="宋体" w:eastAsia="宋体" w:hAnsi="宋体" w:cs="宋体" w:hint="eastAsia"/>
          <w:color w:val="333333"/>
          <w:kern w:val="0"/>
          <w:sz w:val="24"/>
          <w:szCs w:val="24"/>
        </w:rPr>
        <w:t>规定</w:t>
      </w:r>
      <w:r w:rsidRPr="00B81B94">
        <w:rPr>
          <w:rFonts w:ascii="宋体" w:eastAsia="宋体" w:hAnsi="宋体" w:cs="宋体" w:hint="eastAsia"/>
          <w:color w:val="333333"/>
          <w:kern w:val="0"/>
          <w:sz w:val="24"/>
          <w:szCs w:val="24"/>
        </w:rPr>
        <w:t>，现将</w:t>
      </w:r>
      <w:r w:rsidR="005C2CC4">
        <w:rPr>
          <w:rFonts w:ascii="宋体" w:eastAsia="宋体" w:hAnsi="宋体" w:cs="宋体" w:hint="eastAsia"/>
          <w:color w:val="333333"/>
          <w:kern w:val="0"/>
          <w:sz w:val="24"/>
          <w:szCs w:val="24"/>
        </w:rPr>
        <w:t>银河中债1-3年国开行债券指数证券投资基金</w:t>
      </w:r>
      <w:r w:rsidRPr="00B81B94">
        <w:rPr>
          <w:rFonts w:ascii="宋体" w:eastAsia="宋体" w:hAnsi="宋体" w:cs="宋体" w:hint="eastAsia"/>
          <w:color w:val="333333"/>
          <w:kern w:val="0"/>
          <w:sz w:val="24"/>
          <w:szCs w:val="24"/>
        </w:rPr>
        <w:t>（以下简称“本基金”）基金份额持有人大会的决议及相关事项公告如下：</w:t>
      </w:r>
    </w:p>
    <w:p w:rsidR="00175A50" w:rsidRPr="00B81B94" w:rsidRDefault="00175A50" w:rsidP="0048511F">
      <w:pPr>
        <w:widowControl/>
        <w:shd w:val="clear" w:color="auto" w:fill="FFFFFF"/>
        <w:spacing w:line="360" w:lineRule="auto"/>
        <w:ind w:firstLineChars="200" w:firstLine="542"/>
        <w:jc w:val="left"/>
        <w:outlineLvl w:val="3"/>
        <w:rPr>
          <w:rFonts w:ascii="宋体" w:eastAsia="宋体" w:hAnsi="宋体" w:cs="宋体"/>
          <w:b/>
          <w:bCs/>
          <w:color w:val="333333"/>
          <w:kern w:val="0"/>
          <w:sz w:val="27"/>
          <w:szCs w:val="27"/>
        </w:rPr>
      </w:pPr>
      <w:r w:rsidRPr="00B81B94">
        <w:rPr>
          <w:rFonts w:ascii="宋体" w:eastAsia="宋体" w:hAnsi="宋体" w:cs="宋体" w:hint="eastAsia"/>
          <w:b/>
          <w:bCs/>
          <w:color w:val="333333"/>
          <w:kern w:val="0"/>
          <w:sz w:val="27"/>
          <w:szCs w:val="27"/>
        </w:rPr>
        <w:t>一、基金份额持有人大会会议情况</w:t>
      </w:r>
    </w:p>
    <w:p w:rsidR="00175A50" w:rsidRPr="00B81B94" w:rsidRDefault="00175A50"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银河基金管理有限公司（以下简称“基金管理人”或“本公司”）以通讯方式组织召开了</w:t>
      </w:r>
      <w:r w:rsidR="005C2CC4">
        <w:rPr>
          <w:rFonts w:ascii="宋体" w:eastAsia="宋体" w:hAnsi="宋体" w:cs="宋体" w:hint="eastAsia"/>
          <w:color w:val="333333"/>
          <w:kern w:val="0"/>
          <w:sz w:val="24"/>
          <w:szCs w:val="24"/>
        </w:rPr>
        <w:t>银河中债1-3年国开行债券指数证券投资基金</w:t>
      </w:r>
      <w:r w:rsidRPr="00B81B94">
        <w:rPr>
          <w:rFonts w:ascii="宋体" w:eastAsia="宋体" w:hAnsi="宋体" w:cs="宋体" w:hint="eastAsia"/>
          <w:color w:val="333333"/>
          <w:kern w:val="0"/>
          <w:sz w:val="24"/>
          <w:szCs w:val="24"/>
        </w:rPr>
        <w:t>基金份额持有人大会，会议投票</w:t>
      </w:r>
      <w:r w:rsidR="00AA5B86" w:rsidRPr="00B81B94">
        <w:rPr>
          <w:rFonts w:ascii="宋体" w:eastAsia="宋体" w:hAnsi="宋体" w:cs="宋体" w:hint="eastAsia"/>
          <w:color w:val="333333"/>
          <w:kern w:val="0"/>
          <w:sz w:val="24"/>
          <w:szCs w:val="24"/>
        </w:rPr>
        <w:t>表决起止</w:t>
      </w:r>
      <w:r w:rsidRPr="00B81B94">
        <w:rPr>
          <w:rFonts w:ascii="宋体" w:eastAsia="宋体" w:hAnsi="宋体" w:cs="宋体" w:hint="eastAsia"/>
          <w:color w:val="333333"/>
          <w:kern w:val="0"/>
          <w:sz w:val="24"/>
          <w:szCs w:val="24"/>
        </w:rPr>
        <w:t>时间自</w:t>
      </w:r>
      <w:r w:rsidR="005C2CC4" w:rsidRPr="00B81B94">
        <w:rPr>
          <w:rFonts w:ascii="宋体" w:eastAsia="宋体" w:hAnsi="宋体" w:cs="宋体" w:hint="eastAsia"/>
          <w:color w:val="333333"/>
          <w:kern w:val="0"/>
          <w:sz w:val="24"/>
          <w:szCs w:val="24"/>
        </w:rPr>
        <w:t>202</w:t>
      </w:r>
      <w:r w:rsidR="005C2CC4">
        <w:rPr>
          <w:rFonts w:ascii="宋体" w:eastAsia="宋体" w:hAnsi="宋体" w:cs="宋体"/>
          <w:color w:val="333333"/>
          <w:kern w:val="0"/>
          <w:sz w:val="24"/>
          <w:szCs w:val="24"/>
        </w:rPr>
        <w:t>2</w:t>
      </w:r>
      <w:r w:rsidR="005C2CC4" w:rsidRPr="00B81B94">
        <w:rPr>
          <w:rFonts w:ascii="宋体" w:eastAsia="宋体" w:hAnsi="宋体" w:cs="宋体" w:hint="eastAsia"/>
          <w:color w:val="333333"/>
          <w:kern w:val="0"/>
          <w:sz w:val="24"/>
          <w:szCs w:val="24"/>
        </w:rPr>
        <w:t>年</w:t>
      </w:r>
      <w:r w:rsidR="005C2CC4">
        <w:rPr>
          <w:rFonts w:ascii="宋体" w:eastAsia="宋体" w:hAnsi="宋体" w:cs="宋体"/>
          <w:color w:val="333333"/>
          <w:kern w:val="0"/>
          <w:sz w:val="24"/>
          <w:szCs w:val="24"/>
        </w:rPr>
        <w:t>10</w:t>
      </w:r>
      <w:r w:rsidR="005C2CC4" w:rsidRPr="00B81B94">
        <w:rPr>
          <w:rFonts w:ascii="宋体" w:eastAsia="宋体" w:hAnsi="宋体" w:cs="宋体" w:hint="eastAsia"/>
          <w:color w:val="333333"/>
          <w:kern w:val="0"/>
          <w:sz w:val="24"/>
          <w:szCs w:val="24"/>
        </w:rPr>
        <w:t>月</w:t>
      </w:r>
      <w:r w:rsidR="005C2CC4">
        <w:rPr>
          <w:rFonts w:ascii="宋体" w:eastAsia="宋体" w:hAnsi="宋体" w:cs="宋体"/>
          <w:color w:val="333333"/>
          <w:kern w:val="0"/>
          <w:sz w:val="24"/>
          <w:szCs w:val="24"/>
        </w:rPr>
        <w:t>24</w:t>
      </w:r>
      <w:r w:rsidRPr="00B81B94">
        <w:rPr>
          <w:rFonts w:ascii="宋体" w:eastAsia="宋体" w:hAnsi="宋体" w:cs="宋体" w:hint="eastAsia"/>
          <w:color w:val="333333"/>
          <w:kern w:val="0"/>
          <w:sz w:val="24"/>
          <w:szCs w:val="24"/>
        </w:rPr>
        <w:t>日起，至</w:t>
      </w:r>
      <w:r w:rsidR="005C2CC4" w:rsidRPr="00B81B94">
        <w:rPr>
          <w:rFonts w:ascii="宋体" w:eastAsia="宋体" w:hAnsi="宋体" w:cs="宋体" w:hint="eastAsia"/>
          <w:color w:val="333333"/>
          <w:kern w:val="0"/>
          <w:sz w:val="24"/>
          <w:szCs w:val="24"/>
        </w:rPr>
        <w:t>202</w:t>
      </w:r>
      <w:r w:rsidR="005C2CC4">
        <w:rPr>
          <w:rFonts w:ascii="宋体" w:eastAsia="宋体" w:hAnsi="宋体" w:cs="宋体"/>
          <w:color w:val="333333"/>
          <w:kern w:val="0"/>
          <w:sz w:val="24"/>
          <w:szCs w:val="24"/>
        </w:rPr>
        <w:t>2</w:t>
      </w:r>
      <w:r w:rsidR="005C2CC4" w:rsidRPr="00B81B94">
        <w:rPr>
          <w:rFonts w:ascii="宋体" w:eastAsia="宋体" w:hAnsi="宋体" w:cs="宋体" w:hint="eastAsia"/>
          <w:color w:val="333333"/>
          <w:kern w:val="0"/>
          <w:sz w:val="24"/>
          <w:szCs w:val="24"/>
        </w:rPr>
        <w:t>年</w:t>
      </w:r>
      <w:r w:rsidR="005C2CC4">
        <w:rPr>
          <w:rFonts w:ascii="宋体" w:eastAsia="宋体" w:hAnsi="宋体" w:cs="宋体"/>
          <w:color w:val="333333"/>
          <w:kern w:val="0"/>
          <w:sz w:val="24"/>
          <w:szCs w:val="24"/>
        </w:rPr>
        <w:t>11</w:t>
      </w:r>
      <w:r w:rsidRPr="00B81B94">
        <w:rPr>
          <w:rFonts w:ascii="宋体" w:eastAsia="宋体" w:hAnsi="宋体" w:cs="宋体" w:hint="eastAsia"/>
          <w:color w:val="333333"/>
          <w:kern w:val="0"/>
          <w:sz w:val="24"/>
          <w:szCs w:val="24"/>
        </w:rPr>
        <w:t>月</w:t>
      </w:r>
      <w:r w:rsidR="005C2CC4">
        <w:rPr>
          <w:rFonts w:ascii="宋体" w:eastAsia="宋体" w:hAnsi="宋体" w:cs="宋体"/>
          <w:color w:val="333333"/>
          <w:kern w:val="0"/>
          <w:sz w:val="24"/>
          <w:szCs w:val="24"/>
        </w:rPr>
        <w:t>18</w:t>
      </w:r>
      <w:r w:rsidRPr="00B81B94">
        <w:rPr>
          <w:rFonts w:ascii="宋体" w:eastAsia="宋体" w:hAnsi="宋体" w:cs="宋体" w:hint="eastAsia"/>
          <w:color w:val="333333"/>
          <w:kern w:val="0"/>
          <w:sz w:val="24"/>
          <w:szCs w:val="24"/>
        </w:rPr>
        <w:t>日17：00止（投票表决时间以基金管理人收到表决票时间为准）。会议审议了《关于终止</w:t>
      </w:r>
      <w:r w:rsidR="005C2CC4">
        <w:rPr>
          <w:rFonts w:ascii="宋体" w:eastAsia="宋体" w:hAnsi="宋体" w:cs="宋体" w:hint="eastAsia"/>
          <w:color w:val="333333"/>
          <w:kern w:val="0"/>
          <w:sz w:val="24"/>
          <w:szCs w:val="24"/>
        </w:rPr>
        <w:t>银河中债1-3年国开行债券指数证券投资基金</w:t>
      </w:r>
      <w:r w:rsidRPr="00B81B94">
        <w:rPr>
          <w:rFonts w:ascii="宋体" w:eastAsia="宋体" w:hAnsi="宋体" w:cs="宋体" w:hint="eastAsia"/>
          <w:color w:val="333333"/>
          <w:kern w:val="0"/>
          <w:sz w:val="24"/>
          <w:szCs w:val="24"/>
        </w:rPr>
        <w:t>基金合同有关事项的议案》（以下简称“本次会议议案”）。</w:t>
      </w:r>
    </w:p>
    <w:p w:rsidR="00175A50" w:rsidRPr="00B81B94" w:rsidRDefault="005C2CC4"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202</w:t>
      </w:r>
      <w:r>
        <w:rPr>
          <w:rFonts w:ascii="宋体" w:eastAsia="宋体" w:hAnsi="宋体" w:cs="宋体"/>
          <w:color w:val="333333"/>
          <w:kern w:val="0"/>
          <w:sz w:val="24"/>
          <w:szCs w:val="24"/>
        </w:rPr>
        <w:t>2</w:t>
      </w:r>
      <w:r w:rsidRPr="00B81B94">
        <w:rPr>
          <w:rFonts w:ascii="宋体" w:eastAsia="宋体" w:hAnsi="宋体" w:cs="宋体" w:hint="eastAsia"/>
          <w:color w:val="333333"/>
          <w:kern w:val="0"/>
          <w:sz w:val="24"/>
          <w:szCs w:val="24"/>
        </w:rPr>
        <w:t>年</w:t>
      </w:r>
      <w:r>
        <w:rPr>
          <w:rFonts w:ascii="宋体" w:eastAsia="宋体" w:hAnsi="宋体" w:cs="宋体"/>
          <w:color w:val="333333"/>
          <w:kern w:val="0"/>
          <w:sz w:val="24"/>
          <w:szCs w:val="24"/>
        </w:rPr>
        <w:t>11</w:t>
      </w:r>
      <w:r w:rsidR="00175A50" w:rsidRPr="00B81B94">
        <w:rPr>
          <w:rFonts w:ascii="宋体" w:eastAsia="宋体" w:hAnsi="宋体" w:cs="宋体" w:hint="eastAsia"/>
          <w:color w:val="333333"/>
          <w:kern w:val="0"/>
          <w:sz w:val="24"/>
          <w:szCs w:val="24"/>
        </w:rPr>
        <w:t>月</w:t>
      </w:r>
      <w:r>
        <w:rPr>
          <w:rFonts w:ascii="宋体" w:eastAsia="宋体" w:hAnsi="宋体" w:cs="宋体"/>
          <w:color w:val="333333"/>
          <w:kern w:val="0"/>
          <w:sz w:val="24"/>
          <w:szCs w:val="24"/>
        </w:rPr>
        <w:t>21</w:t>
      </w:r>
      <w:r w:rsidR="00175A50" w:rsidRPr="00B81B94">
        <w:rPr>
          <w:rFonts w:ascii="宋体" w:eastAsia="宋体" w:hAnsi="宋体" w:cs="宋体" w:hint="eastAsia"/>
          <w:color w:val="333333"/>
          <w:kern w:val="0"/>
          <w:sz w:val="24"/>
          <w:szCs w:val="24"/>
        </w:rPr>
        <w:t>日，由基金管理人授权的两名监督员在基金托管人</w:t>
      </w:r>
      <w:r w:rsidR="00B06EA8">
        <w:rPr>
          <w:rFonts w:ascii="宋体" w:eastAsia="宋体" w:hAnsi="宋体" w:cs="宋体" w:hint="eastAsia"/>
          <w:color w:val="333333"/>
          <w:kern w:val="0"/>
          <w:sz w:val="24"/>
          <w:szCs w:val="24"/>
        </w:rPr>
        <w:t>中信银行股份有限公司</w:t>
      </w:r>
      <w:r w:rsidR="00175A50" w:rsidRPr="00B81B94">
        <w:rPr>
          <w:rFonts w:ascii="宋体" w:eastAsia="宋体" w:hAnsi="宋体" w:cs="宋体" w:hint="eastAsia"/>
          <w:color w:val="333333"/>
          <w:kern w:val="0"/>
          <w:sz w:val="24"/>
          <w:szCs w:val="24"/>
        </w:rPr>
        <w:t>授权代表的监督下进行计票，并由公证机关上海市东方公证处对计票过程及结果予以公证，上海源泰律师事务所对计票过程及结果进行见证。</w:t>
      </w:r>
      <w:r w:rsidR="00175A50" w:rsidRPr="00EF6940">
        <w:rPr>
          <w:rFonts w:ascii="宋体" w:eastAsia="宋体" w:hAnsi="宋体" w:cs="宋体" w:hint="eastAsia"/>
          <w:color w:val="333333"/>
          <w:kern w:val="0"/>
          <w:sz w:val="24"/>
          <w:szCs w:val="24"/>
        </w:rPr>
        <w:t>参加本次大会表决的基金份额持有人或其代理人所代表的基金份额共计</w:t>
      </w:r>
      <w:r w:rsidR="00D50B09">
        <w:rPr>
          <w:rFonts w:ascii="宋体" w:eastAsia="宋体" w:hAnsi="宋体" w:cs="宋体"/>
          <w:color w:val="333333"/>
          <w:kern w:val="0"/>
          <w:sz w:val="24"/>
          <w:szCs w:val="24"/>
        </w:rPr>
        <w:t>980872.98</w:t>
      </w:r>
      <w:r w:rsidR="00175A50" w:rsidRPr="00EF6940">
        <w:rPr>
          <w:rFonts w:ascii="宋体" w:eastAsia="宋体" w:hAnsi="宋体" w:cs="宋体" w:hint="eastAsia"/>
          <w:color w:val="333333"/>
          <w:kern w:val="0"/>
          <w:sz w:val="24"/>
          <w:szCs w:val="24"/>
        </w:rPr>
        <w:t>份，占权益登记日本基金总份额（权益登记日为</w:t>
      </w:r>
      <w:r w:rsidRPr="00EF6940">
        <w:rPr>
          <w:rFonts w:ascii="宋体" w:eastAsia="宋体" w:hAnsi="宋体" w:cs="宋体"/>
          <w:color w:val="333333"/>
          <w:kern w:val="0"/>
          <w:sz w:val="24"/>
          <w:szCs w:val="24"/>
        </w:rPr>
        <w:t>2022</w:t>
      </w:r>
      <w:r w:rsidRPr="00EF6940">
        <w:rPr>
          <w:rFonts w:ascii="宋体" w:eastAsia="宋体" w:hAnsi="宋体" w:cs="宋体" w:hint="eastAsia"/>
          <w:color w:val="333333"/>
          <w:kern w:val="0"/>
          <w:sz w:val="24"/>
          <w:szCs w:val="24"/>
        </w:rPr>
        <w:t>年</w:t>
      </w:r>
      <w:r w:rsidRPr="00EF6940">
        <w:rPr>
          <w:rFonts w:ascii="宋体" w:eastAsia="宋体" w:hAnsi="宋体" w:cs="宋体"/>
          <w:color w:val="333333"/>
          <w:kern w:val="0"/>
          <w:sz w:val="24"/>
          <w:szCs w:val="24"/>
        </w:rPr>
        <w:t>10</w:t>
      </w:r>
      <w:r w:rsidRPr="00EF6940">
        <w:rPr>
          <w:rFonts w:ascii="宋体" w:eastAsia="宋体" w:hAnsi="宋体" w:cs="宋体" w:hint="eastAsia"/>
          <w:color w:val="333333"/>
          <w:kern w:val="0"/>
          <w:sz w:val="24"/>
          <w:szCs w:val="24"/>
        </w:rPr>
        <w:t>月</w:t>
      </w:r>
      <w:r w:rsidRPr="00EF6940">
        <w:rPr>
          <w:rFonts w:ascii="宋体" w:eastAsia="宋体" w:hAnsi="宋体" w:cs="宋体"/>
          <w:color w:val="333333"/>
          <w:kern w:val="0"/>
          <w:sz w:val="24"/>
          <w:szCs w:val="24"/>
        </w:rPr>
        <w:t>21</w:t>
      </w:r>
      <w:r w:rsidR="00175A50" w:rsidRPr="00EF6940">
        <w:rPr>
          <w:rFonts w:ascii="宋体" w:eastAsia="宋体" w:hAnsi="宋体" w:cs="宋体" w:hint="eastAsia"/>
          <w:color w:val="333333"/>
          <w:kern w:val="0"/>
          <w:sz w:val="24"/>
          <w:szCs w:val="24"/>
        </w:rPr>
        <w:t>日</w:t>
      </w:r>
      <w:r w:rsidR="00175A50" w:rsidRPr="00EF6940">
        <w:rPr>
          <w:rFonts w:ascii="宋体" w:eastAsia="宋体" w:hAnsi="宋体" w:cs="宋体"/>
          <w:color w:val="333333"/>
          <w:kern w:val="0"/>
          <w:sz w:val="24"/>
          <w:szCs w:val="24"/>
        </w:rPr>
        <w:t>,权益登记日本基金总份额为</w:t>
      </w:r>
      <w:r w:rsidR="00D50B09">
        <w:rPr>
          <w:rFonts w:ascii="宋体" w:eastAsia="宋体" w:hAnsi="宋体" w:cs="宋体"/>
          <w:color w:val="333333"/>
          <w:kern w:val="0"/>
          <w:sz w:val="24"/>
          <w:szCs w:val="24"/>
        </w:rPr>
        <w:t>1129758.39</w:t>
      </w:r>
      <w:r w:rsidR="00175A50" w:rsidRPr="00EF6940">
        <w:rPr>
          <w:rFonts w:ascii="宋体" w:eastAsia="宋体" w:hAnsi="宋体" w:cs="宋体" w:hint="eastAsia"/>
          <w:color w:val="333333"/>
          <w:kern w:val="0"/>
          <w:sz w:val="24"/>
          <w:szCs w:val="24"/>
        </w:rPr>
        <w:t>份）的</w:t>
      </w:r>
      <w:r w:rsidR="00D50B09">
        <w:rPr>
          <w:rFonts w:ascii="宋体" w:eastAsia="宋体" w:hAnsi="宋体" w:cs="宋体"/>
          <w:color w:val="333333"/>
          <w:kern w:val="0"/>
          <w:sz w:val="24"/>
          <w:szCs w:val="24"/>
        </w:rPr>
        <w:t>86.82</w:t>
      </w:r>
      <w:r w:rsidR="001B1EDE" w:rsidRPr="00EF6940">
        <w:rPr>
          <w:rFonts w:ascii="宋体" w:eastAsia="宋体" w:hAnsi="宋体" w:cs="宋体"/>
          <w:color w:val="333333"/>
          <w:kern w:val="0"/>
          <w:sz w:val="24"/>
          <w:szCs w:val="24"/>
        </w:rPr>
        <w:t>%</w:t>
      </w:r>
      <w:r w:rsidR="00175A50" w:rsidRPr="00EF6940">
        <w:rPr>
          <w:rFonts w:ascii="宋体" w:eastAsia="宋体" w:hAnsi="宋体" w:cs="宋体" w:hint="eastAsia"/>
          <w:color w:val="333333"/>
          <w:kern w:val="0"/>
          <w:sz w:val="24"/>
          <w:szCs w:val="24"/>
        </w:rPr>
        <w:t>，达到法定开会条件。</w:t>
      </w:r>
    </w:p>
    <w:p w:rsidR="00175A50" w:rsidRPr="00B81B94" w:rsidRDefault="00175A50"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本次大会的表决结果为：</w:t>
      </w:r>
      <w:r w:rsidR="00D50B09" w:rsidRPr="00D50B09">
        <w:rPr>
          <w:rFonts w:ascii="宋体" w:eastAsia="宋体" w:hAnsi="宋体" w:cs="宋体"/>
          <w:color w:val="333333"/>
          <w:kern w:val="0"/>
          <w:sz w:val="24"/>
          <w:szCs w:val="24"/>
        </w:rPr>
        <w:t>980872.98</w:t>
      </w:r>
      <w:r w:rsidRPr="00B81B94">
        <w:rPr>
          <w:rFonts w:ascii="宋体" w:eastAsia="宋体" w:hAnsi="宋体" w:cs="宋体" w:hint="eastAsia"/>
          <w:color w:val="333333"/>
          <w:kern w:val="0"/>
          <w:sz w:val="24"/>
          <w:szCs w:val="24"/>
        </w:rPr>
        <w:t>份基金份额表示同意，</w:t>
      </w:r>
      <w:r w:rsidRPr="00B81B94">
        <w:rPr>
          <w:rFonts w:ascii="宋体" w:eastAsia="宋体" w:hAnsi="宋体" w:cs="宋体"/>
          <w:color w:val="333333"/>
          <w:kern w:val="0"/>
          <w:sz w:val="24"/>
          <w:szCs w:val="24"/>
        </w:rPr>
        <w:t>0</w:t>
      </w:r>
      <w:r w:rsidRPr="00B81B94">
        <w:rPr>
          <w:rFonts w:ascii="宋体" w:eastAsia="宋体" w:hAnsi="宋体" w:cs="宋体" w:hint="eastAsia"/>
          <w:color w:val="333333"/>
          <w:kern w:val="0"/>
          <w:sz w:val="24"/>
          <w:szCs w:val="24"/>
        </w:rPr>
        <w:t>份基金份额表示反对，</w:t>
      </w:r>
      <w:r w:rsidRPr="00B81B94">
        <w:rPr>
          <w:rFonts w:ascii="宋体" w:eastAsia="宋体" w:hAnsi="宋体" w:cs="宋体"/>
          <w:color w:val="333333"/>
          <w:kern w:val="0"/>
          <w:sz w:val="24"/>
          <w:szCs w:val="24"/>
        </w:rPr>
        <w:t>0</w:t>
      </w:r>
      <w:r w:rsidRPr="00B81B94">
        <w:rPr>
          <w:rFonts w:ascii="宋体" w:eastAsia="宋体" w:hAnsi="宋体" w:cs="宋体" w:hint="eastAsia"/>
          <w:color w:val="333333"/>
          <w:kern w:val="0"/>
          <w:sz w:val="24"/>
          <w:szCs w:val="24"/>
        </w:rPr>
        <w:t>份基金份额表示弃权。同意本次会议议案的基金份额占参加本次大会表决的基金份额持有人或其代理人所持基金份额的</w:t>
      </w:r>
      <w:r w:rsidRPr="00330163">
        <w:rPr>
          <w:rFonts w:ascii="宋体" w:eastAsia="宋体" w:hAnsi="宋体" w:cs="宋体"/>
          <w:color w:val="333333"/>
          <w:kern w:val="0"/>
          <w:sz w:val="24"/>
          <w:szCs w:val="24"/>
        </w:rPr>
        <w:t>100%</w:t>
      </w:r>
      <w:r w:rsidRPr="00330163">
        <w:rPr>
          <w:rFonts w:ascii="宋体" w:eastAsia="宋体" w:hAnsi="宋体" w:cs="宋体" w:hint="eastAsia"/>
          <w:color w:val="333333"/>
          <w:kern w:val="0"/>
          <w:sz w:val="24"/>
          <w:szCs w:val="24"/>
        </w:rPr>
        <w:t>，</w:t>
      </w:r>
      <w:r w:rsidRPr="00B81B94">
        <w:rPr>
          <w:rFonts w:ascii="宋体" w:eastAsia="宋体" w:hAnsi="宋体" w:cs="宋体" w:hint="eastAsia"/>
          <w:color w:val="333333"/>
          <w:kern w:val="0"/>
          <w:sz w:val="24"/>
          <w:szCs w:val="24"/>
        </w:rPr>
        <w:t>达到参加本次大会表决的基金份额持有人或其代理人所持表决权的三分之二以上（含三分之二），满足法定生效条件，符合《中华人民共和国证券投资基金法》、《公开募集证券投资基金运作管理办法》和《基金合同》的有关规定，本次会议议案获得通过。</w:t>
      </w:r>
    </w:p>
    <w:p w:rsidR="00175A50" w:rsidRPr="00B81B94" w:rsidRDefault="00175A50"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lastRenderedPageBreak/>
        <w:t>本次召开基金份额持有人大会的费用（公证费及律师费）由</w:t>
      </w:r>
      <w:r w:rsidR="00D04322" w:rsidRPr="00B81B94">
        <w:rPr>
          <w:rFonts w:ascii="宋体" w:eastAsia="宋体" w:hAnsi="宋体" w:cs="宋体" w:hint="eastAsia"/>
          <w:color w:val="333333"/>
          <w:kern w:val="0"/>
          <w:sz w:val="24"/>
          <w:szCs w:val="24"/>
        </w:rPr>
        <w:t>基金管理人</w:t>
      </w:r>
      <w:r w:rsidRPr="00B81B94">
        <w:rPr>
          <w:rFonts w:ascii="宋体" w:eastAsia="宋体" w:hAnsi="宋体" w:cs="宋体" w:hint="eastAsia"/>
          <w:color w:val="333333"/>
          <w:kern w:val="0"/>
          <w:sz w:val="24"/>
          <w:szCs w:val="24"/>
        </w:rPr>
        <w:t>支付，费用明细如下：</w:t>
      </w:r>
      <w:r w:rsidRPr="00E50D3D">
        <w:rPr>
          <w:rFonts w:ascii="宋体" w:eastAsia="宋体" w:hAnsi="宋体" w:cs="宋体" w:hint="eastAsia"/>
          <w:color w:val="333333"/>
          <w:kern w:val="0"/>
          <w:sz w:val="24"/>
          <w:szCs w:val="24"/>
        </w:rPr>
        <w:t>律师费40000元人民币，公证费10000元人民币，合计为50000元人民币。</w:t>
      </w:r>
    </w:p>
    <w:p w:rsidR="00175A50" w:rsidRPr="00B81B94" w:rsidRDefault="00175A50" w:rsidP="0048511F">
      <w:pPr>
        <w:widowControl/>
        <w:shd w:val="clear" w:color="auto" w:fill="FFFFFF"/>
        <w:spacing w:line="360" w:lineRule="auto"/>
        <w:ind w:firstLineChars="200" w:firstLine="542"/>
        <w:jc w:val="left"/>
        <w:outlineLvl w:val="3"/>
        <w:rPr>
          <w:rFonts w:ascii="宋体" w:eastAsia="宋体" w:hAnsi="宋体" w:cs="宋体"/>
          <w:b/>
          <w:bCs/>
          <w:color w:val="333333"/>
          <w:kern w:val="0"/>
          <w:sz w:val="27"/>
          <w:szCs w:val="27"/>
        </w:rPr>
      </w:pPr>
      <w:r w:rsidRPr="00B81B94">
        <w:rPr>
          <w:rFonts w:ascii="宋体" w:eastAsia="宋体" w:hAnsi="宋体" w:cs="宋体" w:hint="eastAsia"/>
          <w:b/>
          <w:bCs/>
          <w:color w:val="333333"/>
          <w:kern w:val="0"/>
          <w:sz w:val="27"/>
          <w:szCs w:val="27"/>
        </w:rPr>
        <w:t>二、基金份额持有人大会决议生效情况</w:t>
      </w:r>
    </w:p>
    <w:p w:rsidR="00175A50" w:rsidRPr="00B81B94" w:rsidRDefault="00175A50"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根据《公开募集证券投资基金运作管理办法》的规定及《基金合同》的约定，基金份额持有人大会决定的事项自表决通过之日起生效。本次基金份额持有人大会于</w:t>
      </w:r>
      <w:r w:rsidR="005C2CC4" w:rsidRPr="00B81B94">
        <w:rPr>
          <w:rFonts w:ascii="宋体" w:eastAsia="宋体" w:hAnsi="宋体" w:cs="宋体" w:hint="eastAsia"/>
          <w:color w:val="333333"/>
          <w:kern w:val="0"/>
          <w:sz w:val="24"/>
          <w:szCs w:val="24"/>
        </w:rPr>
        <w:t>202</w:t>
      </w:r>
      <w:r w:rsidR="005C2CC4">
        <w:rPr>
          <w:rFonts w:ascii="宋体" w:eastAsia="宋体" w:hAnsi="宋体" w:cs="宋体"/>
          <w:color w:val="333333"/>
          <w:kern w:val="0"/>
          <w:sz w:val="24"/>
          <w:szCs w:val="24"/>
        </w:rPr>
        <w:t>2</w:t>
      </w:r>
      <w:r w:rsidR="005C2CC4" w:rsidRPr="00B81B94">
        <w:rPr>
          <w:rFonts w:ascii="宋体" w:eastAsia="宋体" w:hAnsi="宋体" w:cs="宋体" w:hint="eastAsia"/>
          <w:color w:val="333333"/>
          <w:kern w:val="0"/>
          <w:sz w:val="24"/>
          <w:szCs w:val="24"/>
        </w:rPr>
        <w:t>年</w:t>
      </w:r>
      <w:r w:rsidR="005C2CC4">
        <w:rPr>
          <w:rFonts w:ascii="宋体" w:eastAsia="宋体" w:hAnsi="宋体" w:cs="宋体"/>
          <w:color w:val="333333"/>
          <w:kern w:val="0"/>
          <w:sz w:val="24"/>
          <w:szCs w:val="24"/>
        </w:rPr>
        <w:t>11</w:t>
      </w:r>
      <w:r w:rsidRPr="00B81B94">
        <w:rPr>
          <w:rFonts w:ascii="宋体" w:eastAsia="宋体" w:hAnsi="宋体" w:cs="宋体" w:hint="eastAsia"/>
          <w:color w:val="333333"/>
          <w:kern w:val="0"/>
          <w:sz w:val="24"/>
          <w:szCs w:val="24"/>
        </w:rPr>
        <w:t>月</w:t>
      </w:r>
      <w:r w:rsidR="005C2CC4">
        <w:rPr>
          <w:rFonts w:ascii="宋体" w:eastAsia="宋体" w:hAnsi="宋体" w:cs="宋体"/>
          <w:color w:val="333333"/>
          <w:kern w:val="0"/>
          <w:sz w:val="24"/>
          <w:szCs w:val="24"/>
        </w:rPr>
        <w:t>2</w:t>
      </w:r>
      <w:r w:rsidR="00E8662E">
        <w:rPr>
          <w:rFonts w:ascii="宋体" w:eastAsia="宋体" w:hAnsi="宋体" w:cs="宋体"/>
          <w:color w:val="333333"/>
          <w:kern w:val="0"/>
          <w:sz w:val="24"/>
          <w:szCs w:val="24"/>
        </w:rPr>
        <w:t>1</w:t>
      </w:r>
      <w:r w:rsidRPr="00B81B94">
        <w:rPr>
          <w:rFonts w:ascii="宋体" w:eastAsia="宋体" w:hAnsi="宋体" w:cs="宋体" w:hint="eastAsia"/>
          <w:color w:val="333333"/>
          <w:kern w:val="0"/>
          <w:sz w:val="24"/>
          <w:szCs w:val="24"/>
        </w:rPr>
        <w:t>日表决通过了《关于终止</w:t>
      </w:r>
      <w:r w:rsidR="005C2CC4">
        <w:rPr>
          <w:rFonts w:ascii="宋体" w:eastAsia="宋体" w:hAnsi="宋体" w:cs="宋体" w:hint="eastAsia"/>
          <w:color w:val="333333"/>
          <w:kern w:val="0"/>
          <w:sz w:val="24"/>
          <w:szCs w:val="24"/>
        </w:rPr>
        <w:t>银河中债1-3年国开行债券指数证券投资基金</w:t>
      </w:r>
      <w:r w:rsidRPr="00B81B94">
        <w:rPr>
          <w:rFonts w:ascii="宋体" w:eastAsia="宋体" w:hAnsi="宋体" w:cs="宋体" w:hint="eastAsia"/>
          <w:color w:val="333333"/>
          <w:kern w:val="0"/>
          <w:sz w:val="24"/>
          <w:szCs w:val="24"/>
        </w:rPr>
        <w:t>基金合同有关事项的议案》,本次大会决议自该日起生效。基金管理人自该日起五日内报中国证监会备案。</w:t>
      </w:r>
    </w:p>
    <w:p w:rsidR="00175A50" w:rsidRPr="00B81B94" w:rsidRDefault="00175A50" w:rsidP="0048511F">
      <w:pPr>
        <w:widowControl/>
        <w:shd w:val="clear" w:color="auto" w:fill="FFFFFF"/>
        <w:spacing w:line="360" w:lineRule="auto"/>
        <w:ind w:firstLineChars="200" w:firstLine="542"/>
        <w:jc w:val="left"/>
        <w:outlineLvl w:val="3"/>
        <w:rPr>
          <w:rFonts w:ascii="宋体" w:eastAsia="宋体" w:hAnsi="宋体" w:cs="宋体"/>
          <w:b/>
          <w:bCs/>
          <w:color w:val="333333"/>
          <w:kern w:val="0"/>
          <w:sz w:val="27"/>
          <w:szCs w:val="27"/>
        </w:rPr>
      </w:pPr>
      <w:r w:rsidRPr="00B81B94">
        <w:rPr>
          <w:rFonts w:ascii="宋体" w:eastAsia="宋体" w:hAnsi="宋体" w:cs="宋体" w:hint="eastAsia"/>
          <w:b/>
          <w:bCs/>
          <w:color w:val="333333"/>
          <w:kern w:val="0"/>
          <w:sz w:val="27"/>
          <w:szCs w:val="27"/>
        </w:rPr>
        <w:t>三、基金份额持有人大会决议相关事项实施情况</w:t>
      </w:r>
    </w:p>
    <w:p w:rsidR="00175A50" w:rsidRPr="00B81B94" w:rsidRDefault="00175A50" w:rsidP="0048511F">
      <w:pPr>
        <w:widowControl/>
        <w:shd w:val="clear" w:color="auto" w:fill="FFFFFF"/>
        <w:spacing w:line="360" w:lineRule="auto"/>
        <w:ind w:firstLineChars="200" w:firstLine="482"/>
        <w:jc w:val="left"/>
        <w:outlineLvl w:val="4"/>
        <w:rPr>
          <w:rFonts w:ascii="宋体" w:eastAsia="宋体" w:hAnsi="宋体" w:cs="宋体"/>
          <w:b/>
          <w:bCs/>
          <w:color w:val="333333"/>
          <w:kern w:val="0"/>
          <w:sz w:val="24"/>
          <w:szCs w:val="24"/>
        </w:rPr>
      </w:pPr>
      <w:r w:rsidRPr="00B81B94">
        <w:rPr>
          <w:rFonts w:ascii="宋体" w:eastAsia="宋体" w:hAnsi="宋体" w:cs="宋体" w:hint="eastAsia"/>
          <w:b/>
          <w:bCs/>
          <w:color w:val="333333"/>
          <w:kern w:val="0"/>
          <w:sz w:val="24"/>
          <w:szCs w:val="24"/>
        </w:rPr>
        <w:t>(一) 关于本基金《基金合同》的终止</w:t>
      </w:r>
    </w:p>
    <w:p w:rsidR="00175A50" w:rsidRPr="00B81B94" w:rsidRDefault="00175A50"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《基金合同》于</w:t>
      </w:r>
      <w:r w:rsidR="005C2CC4" w:rsidRPr="00B81B94">
        <w:rPr>
          <w:rFonts w:ascii="宋体" w:eastAsia="宋体" w:hAnsi="宋体" w:cs="宋体" w:hint="eastAsia"/>
          <w:color w:val="333333"/>
          <w:kern w:val="0"/>
          <w:sz w:val="24"/>
          <w:szCs w:val="24"/>
        </w:rPr>
        <w:t>20</w:t>
      </w:r>
      <w:r w:rsidR="005C2CC4">
        <w:rPr>
          <w:rFonts w:ascii="宋体" w:eastAsia="宋体" w:hAnsi="宋体" w:cs="宋体"/>
          <w:color w:val="333333"/>
          <w:kern w:val="0"/>
          <w:sz w:val="24"/>
          <w:szCs w:val="24"/>
        </w:rPr>
        <w:t>21</w:t>
      </w:r>
      <w:r w:rsidRPr="00B81B94">
        <w:rPr>
          <w:rFonts w:ascii="宋体" w:eastAsia="宋体" w:hAnsi="宋体" w:cs="宋体" w:hint="eastAsia"/>
          <w:color w:val="333333"/>
          <w:kern w:val="0"/>
          <w:sz w:val="24"/>
          <w:szCs w:val="24"/>
        </w:rPr>
        <w:t>年</w:t>
      </w:r>
      <w:r w:rsidR="005C2CC4">
        <w:rPr>
          <w:rFonts w:ascii="宋体" w:eastAsia="宋体" w:hAnsi="宋体" w:cs="宋体"/>
          <w:color w:val="333333"/>
          <w:kern w:val="0"/>
          <w:sz w:val="24"/>
          <w:szCs w:val="24"/>
        </w:rPr>
        <w:t>9</w:t>
      </w:r>
      <w:r w:rsidRPr="00B81B94">
        <w:rPr>
          <w:rFonts w:ascii="宋体" w:eastAsia="宋体" w:hAnsi="宋体" w:cs="宋体" w:hint="eastAsia"/>
          <w:color w:val="333333"/>
          <w:kern w:val="0"/>
          <w:sz w:val="24"/>
          <w:szCs w:val="24"/>
        </w:rPr>
        <w:t>月</w:t>
      </w:r>
      <w:r w:rsidR="005C2CC4">
        <w:rPr>
          <w:rFonts w:ascii="宋体" w:eastAsia="宋体" w:hAnsi="宋体" w:cs="宋体"/>
          <w:color w:val="333333"/>
          <w:kern w:val="0"/>
          <w:sz w:val="24"/>
          <w:szCs w:val="24"/>
        </w:rPr>
        <w:t>28</w:t>
      </w:r>
      <w:r w:rsidRPr="00B81B94">
        <w:rPr>
          <w:rFonts w:ascii="宋体" w:eastAsia="宋体" w:hAnsi="宋体" w:cs="宋体" w:hint="eastAsia"/>
          <w:color w:val="333333"/>
          <w:kern w:val="0"/>
          <w:sz w:val="24"/>
          <w:szCs w:val="24"/>
        </w:rPr>
        <w:t>日生效，基金托管人为</w:t>
      </w:r>
      <w:r w:rsidR="005C2CC4">
        <w:rPr>
          <w:rFonts w:ascii="宋体" w:eastAsia="宋体" w:hAnsi="宋体" w:cs="宋体" w:hint="eastAsia"/>
          <w:color w:val="333333"/>
          <w:kern w:val="0"/>
          <w:sz w:val="24"/>
          <w:szCs w:val="24"/>
        </w:rPr>
        <w:t>中信银行</w:t>
      </w:r>
      <w:r w:rsidR="005C2CC4" w:rsidRPr="00B81B94">
        <w:rPr>
          <w:rFonts w:ascii="宋体" w:eastAsia="宋体" w:hAnsi="宋体" w:cs="宋体" w:hint="eastAsia"/>
          <w:color w:val="333333"/>
          <w:kern w:val="0"/>
          <w:sz w:val="24"/>
          <w:szCs w:val="24"/>
        </w:rPr>
        <w:t>股份有限公司</w:t>
      </w:r>
      <w:r w:rsidRPr="00B81B94">
        <w:rPr>
          <w:rFonts w:ascii="宋体" w:eastAsia="宋体" w:hAnsi="宋体" w:cs="宋体" w:hint="eastAsia"/>
          <w:color w:val="333333"/>
          <w:kern w:val="0"/>
          <w:sz w:val="24"/>
          <w:szCs w:val="24"/>
        </w:rPr>
        <w:t>。根据市场环境变化，为保护基金份额持有人的利益，根据《中华人民共和国证券投资基金法》、《公开募集证券投资基金运作管理办法》和《基金合同》的有关规定，基金管理人通过通讯方式召开基金份额持有人大会，并于</w:t>
      </w:r>
      <w:r w:rsidR="005C2CC4" w:rsidRPr="00B81B94">
        <w:rPr>
          <w:rFonts w:ascii="宋体" w:eastAsia="宋体" w:hAnsi="宋体" w:cs="宋体" w:hint="eastAsia"/>
          <w:color w:val="333333"/>
          <w:kern w:val="0"/>
          <w:sz w:val="24"/>
          <w:szCs w:val="24"/>
        </w:rPr>
        <w:t>202</w:t>
      </w:r>
      <w:r w:rsidR="005C2CC4">
        <w:rPr>
          <w:rFonts w:ascii="宋体" w:eastAsia="宋体" w:hAnsi="宋体" w:cs="宋体"/>
          <w:color w:val="333333"/>
          <w:kern w:val="0"/>
          <w:sz w:val="24"/>
          <w:szCs w:val="24"/>
        </w:rPr>
        <w:t>2</w:t>
      </w:r>
      <w:r w:rsidR="005C2CC4" w:rsidRPr="00B81B94">
        <w:rPr>
          <w:rFonts w:ascii="宋体" w:eastAsia="宋体" w:hAnsi="宋体" w:cs="宋体" w:hint="eastAsia"/>
          <w:color w:val="333333"/>
          <w:kern w:val="0"/>
          <w:sz w:val="24"/>
          <w:szCs w:val="24"/>
        </w:rPr>
        <w:t>年</w:t>
      </w:r>
      <w:r w:rsidR="005C2CC4">
        <w:rPr>
          <w:rFonts w:ascii="宋体" w:eastAsia="宋体" w:hAnsi="宋体" w:cs="宋体"/>
          <w:color w:val="333333"/>
          <w:kern w:val="0"/>
          <w:sz w:val="24"/>
          <w:szCs w:val="24"/>
        </w:rPr>
        <w:t>11</w:t>
      </w:r>
      <w:r w:rsidRPr="00B81B94">
        <w:rPr>
          <w:rFonts w:ascii="宋体" w:eastAsia="宋体" w:hAnsi="宋体" w:cs="宋体" w:hint="eastAsia"/>
          <w:color w:val="333333"/>
          <w:kern w:val="0"/>
          <w:sz w:val="24"/>
          <w:szCs w:val="24"/>
        </w:rPr>
        <w:t>月</w:t>
      </w:r>
      <w:r w:rsidR="005C2CC4">
        <w:rPr>
          <w:rFonts w:ascii="宋体" w:eastAsia="宋体" w:hAnsi="宋体" w:cs="宋体"/>
          <w:color w:val="333333"/>
          <w:kern w:val="0"/>
          <w:sz w:val="24"/>
          <w:szCs w:val="24"/>
        </w:rPr>
        <w:t>21</w:t>
      </w:r>
      <w:r w:rsidRPr="00B81B94">
        <w:rPr>
          <w:rFonts w:ascii="宋体" w:eastAsia="宋体" w:hAnsi="宋体" w:cs="宋体" w:hint="eastAsia"/>
          <w:color w:val="333333"/>
          <w:kern w:val="0"/>
          <w:sz w:val="24"/>
          <w:szCs w:val="24"/>
        </w:rPr>
        <w:t>日作出终止《基金合同》的决议。</w:t>
      </w:r>
    </w:p>
    <w:p w:rsidR="00175A50" w:rsidRPr="00B81B94" w:rsidRDefault="00175A50" w:rsidP="0048511F">
      <w:pPr>
        <w:widowControl/>
        <w:shd w:val="clear" w:color="auto" w:fill="FFFFFF"/>
        <w:spacing w:line="360" w:lineRule="auto"/>
        <w:ind w:firstLineChars="200" w:firstLine="482"/>
        <w:jc w:val="left"/>
        <w:outlineLvl w:val="4"/>
        <w:rPr>
          <w:rFonts w:ascii="宋体" w:eastAsia="宋体" w:hAnsi="宋体" w:cs="宋体"/>
          <w:b/>
          <w:bCs/>
          <w:color w:val="333333"/>
          <w:kern w:val="0"/>
          <w:sz w:val="24"/>
          <w:szCs w:val="24"/>
        </w:rPr>
      </w:pPr>
      <w:r w:rsidRPr="00B81B94">
        <w:rPr>
          <w:rFonts w:ascii="宋体" w:eastAsia="宋体" w:hAnsi="宋体" w:cs="宋体" w:hint="eastAsia"/>
          <w:b/>
          <w:bCs/>
          <w:color w:val="333333"/>
          <w:kern w:val="0"/>
          <w:sz w:val="24"/>
          <w:szCs w:val="24"/>
        </w:rPr>
        <w:t>(二) 基金财产的清算安排</w:t>
      </w:r>
    </w:p>
    <w:p w:rsidR="00175A50" w:rsidRPr="00B81B94" w:rsidRDefault="00175A50"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1、通过《关于终止</w:t>
      </w:r>
      <w:r w:rsidR="005C2CC4">
        <w:rPr>
          <w:rFonts w:ascii="宋体" w:eastAsia="宋体" w:hAnsi="宋体" w:cs="宋体" w:hint="eastAsia"/>
          <w:color w:val="333333"/>
          <w:kern w:val="0"/>
          <w:sz w:val="24"/>
          <w:szCs w:val="24"/>
        </w:rPr>
        <w:t>银河中债1-3年国开行债券指数证券投资基金</w:t>
      </w:r>
      <w:r w:rsidRPr="00B81B94">
        <w:rPr>
          <w:rFonts w:ascii="宋体" w:eastAsia="宋体" w:hAnsi="宋体" w:cs="宋体" w:hint="eastAsia"/>
          <w:color w:val="333333"/>
          <w:kern w:val="0"/>
          <w:sz w:val="24"/>
          <w:szCs w:val="24"/>
        </w:rPr>
        <w:t>基金合同有关事项的议案》的基金份额持有人大会决议自本次基金份额持有人大会表决通过之日起生效。</w:t>
      </w:r>
    </w:p>
    <w:p w:rsidR="00135F80" w:rsidRPr="00B81B94" w:rsidRDefault="00175A50"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2、</w:t>
      </w:r>
      <w:r w:rsidR="00AA5B86" w:rsidRPr="00B81B94">
        <w:rPr>
          <w:rFonts w:ascii="宋体" w:eastAsia="宋体" w:hAnsi="宋体" w:cs="宋体"/>
          <w:color w:val="333333"/>
          <w:kern w:val="0"/>
          <w:sz w:val="24"/>
          <w:szCs w:val="24"/>
        </w:rPr>
        <w:t>根据</w:t>
      </w:r>
      <w:r w:rsidR="00AA5B86" w:rsidRPr="00B81B94">
        <w:rPr>
          <w:rFonts w:ascii="宋体" w:eastAsia="宋体" w:hAnsi="宋体" w:cs="宋体" w:hint="eastAsia"/>
          <w:color w:val="333333"/>
          <w:kern w:val="0"/>
          <w:sz w:val="24"/>
          <w:szCs w:val="24"/>
        </w:rPr>
        <w:t>《关于终止</w:t>
      </w:r>
      <w:r w:rsidR="005C2CC4">
        <w:rPr>
          <w:rFonts w:ascii="宋体" w:eastAsia="宋体" w:hAnsi="宋体" w:cs="宋体" w:hint="eastAsia"/>
          <w:color w:val="333333"/>
          <w:kern w:val="0"/>
          <w:sz w:val="24"/>
          <w:szCs w:val="24"/>
        </w:rPr>
        <w:t>银河中债1-3年国开行债券指数证券投资基金</w:t>
      </w:r>
      <w:r w:rsidR="00AA5B86" w:rsidRPr="00B81B94">
        <w:rPr>
          <w:rFonts w:ascii="宋体" w:eastAsia="宋体" w:hAnsi="宋体" w:cs="宋体" w:hint="eastAsia"/>
          <w:color w:val="333333"/>
          <w:kern w:val="0"/>
          <w:sz w:val="24"/>
          <w:szCs w:val="24"/>
        </w:rPr>
        <w:t>基金合同有关事项的议案》</w:t>
      </w:r>
      <w:r w:rsidR="00AA5B86" w:rsidRPr="00B81B94">
        <w:rPr>
          <w:rFonts w:ascii="宋体" w:eastAsia="宋体" w:hAnsi="宋体" w:cs="宋体"/>
          <w:color w:val="333333"/>
          <w:kern w:val="0"/>
          <w:sz w:val="24"/>
          <w:szCs w:val="24"/>
        </w:rPr>
        <w:t>及</w:t>
      </w:r>
      <w:r w:rsidR="00AA5B86" w:rsidRPr="00B81B94">
        <w:rPr>
          <w:rFonts w:ascii="宋体" w:eastAsia="宋体" w:hAnsi="宋体" w:cs="宋体" w:hint="eastAsia"/>
          <w:color w:val="333333"/>
          <w:kern w:val="0"/>
          <w:sz w:val="24"/>
          <w:szCs w:val="24"/>
        </w:rPr>
        <w:t>《关于终止</w:t>
      </w:r>
      <w:r w:rsidR="005C2CC4">
        <w:rPr>
          <w:rFonts w:ascii="宋体" w:eastAsia="宋体" w:hAnsi="宋体" w:cs="宋体" w:hint="eastAsia"/>
          <w:color w:val="333333"/>
          <w:kern w:val="0"/>
          <w:sz w:val="24"/>
          <w:szCs w:val="24"/>
        </w:rPr>
        <w:t>银河中债1-3年国开行债券指数证券投资基金</w:t>
      </w:r>
      <w:r w:rsidR="00AA5B86" w:rsidRPr="00B81B94">
        <w:rPr>
          <w:rFonts w:ascii="宋体" w:eastAsia="宋体" w:hAnsi="宋体" w:cs="宋体" w:hint="eastAsia"/>
          <w:color w:val="333333"/>
          <w:kern w:val="0"/>
          <w:sz w:val="24"/>
          <w:szCs w:val="24"/>
        </w:rPr>
        <w:t>基金合同有关事项的说明》</w:t>
      </w:r>
      <w:r w:rsidR="00AA5B86" w:rsidRPr="00B81B94">
        <w:rPr>
          <w:rFonts w:ascii="宋体" w:eastAsia="宋体" w:hAnsi="宋体" w:cs="宋体"/>
          <w:color w:val="333333"/>
          <w:kern w:val="0"/>
          <w:sz w:val="24"/>
          <w:szCs w:val="24"/>
        </w:rPr>
        <w:t>，</w:t>
      </w:r>
      <w:r w:rsidR="00641FA0" w:rsidRPr="00B81B94">
        <w:rPr>
          <w:rFonts w:ascii="宋体" w:eastAsia="宋体" w:hAnsi="宋体" w:cs="宋体" w:hint="eastAsia"/>
          <w:color w:val="333333"/>
          <w:kern w:val="0"/>
          <w:sz w:val="24"/>
          <w:szCs w:val="24"/>
        </w:rPr>
        <w:t>本基金自</w:t>
      </w:r>
      <w:r w:rsidR="00641FA0" w:rsidRPr="00B81B94">
        <w:rPr>
          <w:rFonts w:ascii="宋体" w:eastAsia="宋体" w:hAnsi="宋体" w:cs="宋体"/>
          <w:color w:val="333333"/>
          <w:kern w:val="0"/>
          <w:sz w:val="24"/>
          <w:szCs w:val="24"/>
        </w:rPr>
        <w:t>基金份额持有人大会决议生效公告日的下一日</w:t>
      </w:r>
      <w:r w:rsidR="00641FA0" w:rsidRPr="00B81B94">
        <w:rPr>
          <w:rFonts w:ascii="宋体" w:eastAsia="宋体" w:hAnsi="宋体" w:cs="宋体" w:hint="eastAsia"/>
          <w:color w:val="333333"/>
          <w:kern w:val="0"/>
          <w:sz w:val="24"/>
          <w:szCs w:val="24"/>
        </w:rPr>
        <w:t>（即</w:t>
      </w:r>
      <w:r w:rsidR="005C2CC4" w:rsidRPr="00B81B94">
        <w:rPr>
          <w:rFonts w:ascii="宋体" w:eastAsia="宋体" w:hAnsi="宋体" w:cs="宋体"/>
          <w:color w:val="333333"/>
          <w:kern w:val="0"/>
          <w:sz w:val="24"/>
          <w:szCs w:val="24"/>
        </w:rPr>
        <w:t>202</w:t>
      </w:r>
      <w:r w:rsidR="005C2CC4">
        <w:rPr>
          <w:rFonts w:ascii="宋体" w:eastAsia="宋体" w:hAnsi="宋体" w:cs="宋体"/>
          <w:color w:val="333333"/>
          <w:kern w:val="0"/>
          <w:sz w:val="24"/>
          <w:szCs w:val="24"/>
        </w:rPr>
        <w:t>2</w:t>
      </w:r>
      <w:r w:rsidR="005C2CC4" w:rsidRPr="00B81B94">
        <w:rPr>
          <w:rFonts w:ascii="宋体" w:eastAsia="宋体" w:hAnsi="宋体" w:cs="宋体"/>
          <w:color w:val="333333"/>
          <w:kern w:val="0"/>
          <w:sz w:val="24"/>
          <w:szCs w:val="24"/>
        </w:rPr>
        <w:t>年</w:t>
      </w:r>
      <w:r w:rsidR="005C2CC4">
        <w:rPr>
          <w:rFonts w:ascii="宋体" w:eastAsia="宋体" w:hAnsi="宋体" w:cs="宋体"/>
          <w:color w:val="333333"/>
          <w:kern w:val="0"/>
          <w:sz w:val="24"/>
          <w:szCs w:val="24"/>
        </w:rPr>
        <w:t>11</w:t>
      </w:r>
      <w:r w:rsidR="005C2CC4" w:rsidRPr="00B81B94">
        <w:rPr>
          <w:rFonts w:ascii="宋体" w:eastAsia="宋体" w:hAnsi="宋体" w:cs="宋体"/>
          <w:color w:val="333333"/>
          <w:kern w:val="0"/>
          <w:sz w:val="24"/>
          <w:szCs w:val="24"/>
        </w:rPr>
        <w:t>月</w:t>
      </w:r>
      <w:r w:rsidR="005C2CC4">
        <w:rPr>
          <w:rFonts w:ascii="宋体" w:eastAsia="宋体" w:hAnsi="宋体" w:cs="宋体"/>
          <w:color w:val="333333"/>
          <w:kern w:val="0"/>
          <w:sz w:val="24"/>
          <w:szCs w:val="24"/>
        </w:rPr>
        <w:t>23</w:t>
      </w:r>
      <w:r w:rsidR="00641FA0" w:rsidRPr="00B81B94">
        <w:rPr>
          <w:rFonts w:ascii="宋体" w:eastAsia="宋体" w:hAnsi="宋体" w:cs="宋体" w:hint="eastAsia"/>
          <w:color w:val="333333"/>
          <w:kern w:val="0"/>
          <w:sz w:val="24"/>
          <w:szCs w:val="24"/>
        </w:rPr>
        <w:t>日）起进入清算程序，本基金的最后运作日为</w:t>
      </w:r>
      <w:r w:rsidR="00E8662E" w:rsidRPr="00B81B94">
        <w:rPr>
          <w:rFonts w:ascii="宋体" w:eastAsia="宋体" w:hAnsi="宋体" w:cs="宋体"/>
          <w:color w:val="333333"/>
          <w:kern w:val="0"/>
          <w:sz w:val="24"/>
          <w:szCs w:val="24"/>
        </w:rPr>
        <w:t>202</w:t>
      </w:r>
      <w:r w:rsidR="00E8662E">
        <w:rPr>
          <w:rFonts w:ascii="宋体" w:eastAsia="宋体" w:hAnsi="宋体" w:cs="宋体"/>
          <w:color w:val="333333"/>
          <w:kern w:val="0"/>
          <w:sz w:val="24"/>
          <w:szCs w:val="24"/>
        </w:rPr>
        <w:t>2</w:t>
      </w:r>
      <w:r w:rsidR="00641FA0" w:rsidRPr="00B81B94">
        <w:rPr>
          <w:rFonts w:ascii="宋体" w:eastAsia="宋体" w:hAnsi="宋体" w:cs="宋体" w:hint="eastAsia"/>
          <w:color w:val="333333"/>
          <w:kern w:val="0"/>
          <w:sz w:val="24"/>
          <w:szCs w:val="24"/>
        </w:rPr>
        <w:t>年</w:t>
      </w:r>
      <w:r w:rsidR="00641FA0" w:rsidRPr="00B81B94">
        <w:rPr>
          <w:rFonts w:ascii="宋体" w:eastAsia="宋体" w:hAnsi="宋体" w:cs="宋体"/>
          <w:color w:val="333333"/>
          <w:kern w:val="0"/>
          <w:sz w:val="24"/>
          <w:szCs w:val="24"/>
        </w:rPr>
        <w:t xml:space="preserve"> </w:t>
      </w:r>
      <w:r w:rsidR="00E8662E">
        <w:rPr>
          <w:rFonts w:ascii="宋体" w:eastAsia="宋体" w:hAnsi="宋体" w:cs="宋体"/>
          <w:color w:val="333333"/>
          <w:kern w:val="0"/>
          <w:sz w:val="24"/>
          <w:szCs w:val="24"/>
        </w:rPr>
        <w:t>11</w:t>
      </w:r>
      <w:r w:rsidR="00E8662E" w:rsidRPr="00B81B94">
        <w:rPr>
          <w:rFonts w:ascii="宋体" w:eastAsia="宋体" w:hAnsi="宋体" w:cs="宋体"/>
          <w:color w:val="333333"/>
          <w:kern w:val="0"/>
          <w:sz w:val="24"/>
          <w:szCs w:val="24"/>
        </w:rPr>
        <w:t xml:space="preserve"> </w:t>
      </w:r>
      <w:r w:rsidR="00641FA0" w:rsidRPr="00B81B94">
        <w:rPr>
          <w:rFonts w:ascii="宋体" w:eastAsia="宋体" w:hAnsi="宋体" w:cs="宋体"/>
          <w:color w:val="333333"/>
          <w:kern w:val="0"/>
          <w:sz w:val="24"/>
          <w:szCs w:val="24"/>
        </w:rPr>
        <w:t>月</w:t>
      </w:r>
      <w:r w:rsidR="005C2CC4">
        <w:rPr>
          <w:rFonts w:ascii="宋体" w:eastAsia="宋体" w:hAnsi="宋体" w:cs="宋体"/>
          <w:color w:val="333333"/>
          <w:kern w:val="0"/>
          <w:sz w:val="24"/>
          <w:szCs w:val="24"/>
        </w:rPr>
        <w:t>22</w:t>
      </w:r>
      <w:r w:rsidR="00641FA0" w:rsidRPr="00B81B94">
        <w:rPr>
          <w:rFonts w:ascii="宋体" w:eastAsia="宋体" w:hAnsi="宋体" w:cs="宋体" w:hint="eastAsia"/>
          <w:color w:val="333333"/>
          <w:kern w:val="0"/>
          <w:sz w:val="24"/>
          <w:szCs w:val="24"/>
        </w:rPr>
        <w:t>日。</w:t>
      </w:r>
      <w:r w:rsidR="00135F80" w:rsidRPr="00B81B94">
        <w:rPr>
          <w:rFonts w:ascii="宋体" w:eastAsia="宋体" w:hAnsi="宋体" w:cs="宋体" w:hint="eastAsia"/>
          <w:color w:val="333333"/>
          <w:kern w:val="0"/>
          <w:sz w:val="24"/>
          <w:szCs w:val="24"/>
        </w:rPr>
        <w:t>进入清算程序后</w:t>
      </w:r>
      <w:r w:rsidR="00096B9F">
        <w:rPr>
          <w:rFonts w:ascii="宋体" w:eastAsia="宋体" w:hAnsi="宋体" w:cs="宋体" w:hint="eastAsia"/>
          <w:color w:val="333333"/>
          <w:kern w:val="0"/>
          <w:sz w:val="24"/>
          <w:szCs w:val="24"/>
        </w:rPr>
        <w:t>（即自2</w:t>
      </w:r>
      <w:r w:rsidR="00096B9F">
        <w:rPr>
          <w:rFonts w:ascii="宋体" w:eastAsia="宋体" w:hAnsi="宋体" w:cs="宋体"/>
          <w:color w:val="333333"/>
          <w:kern w:val="0"/>
          <w:sz w:val="24"/>
          <w:szCs w:val="24"/>
        </w:rPr>
        <w:t>022</w:t>
      </w:r>
      <w:r w:rsidR="00096B9F">
        <w:rPr>
          <w:rFonts w:ascii="宋体" w:eastAsia="宋体" w:hAnsi="宋体" w:cs="宋体" w:hint="eastAsia"/>
          <w:color w:val="333333"/>
          <w:kern w:val="0"/>
          <w:sz w:val="24"/>
          <w:szCs w:val="24"/>
        </w:rPr>
        <w:t>年1</w:t>
      </w:r>
      <w:r w:rsidR="00096B9F">
        <w:rPr>
          <w:rFonts w:ascii="宋体" w:eastAsia="宋体" w:hAnsi="宋体" w:cs="宋体"/>
          <w:color w:val="333333"/>
          <w:kern w:val="0"/>
          <w:sz w:val="24"/>
          <w:szCs w:val="24"/>
        </w:rPr>
        <w:t>1</w:t>
      </w:r>
      <w:r w:rsidR="00096B9F">
        <w:rPr>
          <w:rFonts w:ascii="宋体" w:eastAsia="宋体" w:hAnsi="宋体" w:cs="宋体" w:hint="eastAsia"/>
          <w:color w:val="333333"/>
          <w:kern w:val="0"/>
          <w:sz w:val="24"/>
          <w:szCs w:val="24"/>
        </w:rPr>
        <w:t>月2</w:t>
      </w:r>
      <w:r w:rsidR="005C2CC4">
        <w:rPr>
          <w:rFonts w:ascii="宋体" w:eastAsia="宋体" w:hAnsi="宋体" w:cs="宋体"/>
          <w:color w:val="333333"/>
          <w:kern w:val="0"/>
          <w:sz w:val="24"/>
          <w:szCs w:val="24"/>
        </w:rPr>
        <w:t>3</w:t>
      </w:r>
      <w:r w:rsidR="00096B9F">
        <w:rPr>
          <w:rFonts w:ascii="宋体" w:eastAsia="宋体" w:hAnsi="宋体" w:cs="宋体" w:hint="eastAsia"/>
          <w:color w:val="333333"/>
          <w:kern w:val="0"/>
          <w:sz w:val="24"/>
          <w:szCs w:val="24"/>
        </w:rPr>
        <w:t>日起）</w:t>
      </w:r>
      <w:r w:rsidR="00135F80" w:rsidRPr="00B81B94">
        <w:rPr>
          <w:rFonts w:ascii="宋体" w:eastAsia="宋体" w:hAnsi="宋体" w:cs="宋体" w:hint="eastAsia"/>
          <w:color w:val="333333"/>
          <w:kern w:val="0"/>
          <w:sz w:val="24"/>
          <w:szCs w:val="24"/>
        </w:rPr>
        <w:t>，本基金不再接受投资人提出的申购、赎回、定投、转换、转托管等业务的申请</w:t>
      </w:r>
      <w:r w:rsidR="00681E88">
        <w:rPr>
          <w:rFonts w:ascii="宋体" w:eastAsia="宋体" w:hAnsi="宋体" w:cs="宋体" w:hint="eastAsia"/>
          <w:color w:val="333333"/>
          <w:kern w:val="0"/>
          <w:sz w:val="24"/>
          <w:szCs w:val="24"/>
        </w:rPr>
        <w:t>，</w:t>
      </w:r>
      <w:r w:rsidR="00096B9F">
        <w:rPr>
          <w:rFonts w:ascii="宋体" w:eastAsia="宋体" w:hAnsi="宋体" w:cs="宋体" w:hint="eastAsia"/>
          <w:color w:val="333333"/>
          <w:kern w:val="0"/>
          <w:sz w:val="24"/>
          <w:szCs w:val="24"/>
        </w:rPr>
        <w:t>并</w:t>
      </w:r>
      <w:r w:rsidR="00135F80" w:rsidRPr="00B81B94">
        <w:rPr>
          <w:rFonts w:ascii="宋体" w:eastAsia="宋体" w:hAnsi="宋体" w:cs="宋体" w:hint="eastAsia"/>
          <w:color w:val="333333"/>
          <w:kern w:val="0"/>
          <w:sz w:val="24"/>
          <w:szCs w:val="24"/>
        </w:rPr>
        <w:t>停止收取基金管理费、基金托管费、销售服务费。</w:t>
      </w:r>
    </w:p>
    <w:p w:rsidR="00135F80" w:rsidRDefault="00135F80"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bookmarkStart w:id="0" w:name="_Hlk117013242"/>
      <w:r w:rsidRPr="00B81B94">
        <w:rPr>
          <w:rFonts w:ascii="宋体" w:eastAsia="宋体" w:hAnsi="宋体" w:cs="宋体" w:hint="eastAsia"/>
          <w:color w:val="333333"/>
          <w:kern w:val="0"/>
          <w:sz w:val="24"/>
          <w:szCs w:val="24"/>
        </w:rPr>
        <w:t>3、</w:t>
      </w:r>
      <w:r w:rsidRPr="00B81B94">
        <w:rPr>
          <w:rFonts w:ascii="宋体" w:eastAsia="宋体" w:hAnsi="宋体" w:cs="宋体"/>
          <w:color w:val="333333"/>
          <w:kern w:val="0"/>
          <w:sz w:val="24"/>
          <w:szCs w:val="24"/>
        </w:rPr>
        <w:t>基金管理人组织基金财产清算小组并在中国证监会的监督下进行基金清算。基金财产清算小组成员由基金管理人、基金托管人、符合《中华人民共和国</w:t>
      </w:r>
      <w:r w:rsidRPr="00B81B94">
        <w:rPr>
          <w:rFonts w:ascii="宋体" w:eastAsia="宋体" w:hAnsi="宋体" w:cs="宋体"/>
          <w:color w:val="333333"/>
          <w:kern w:val="0"/>
          <w:sz w:val="24"/>
          <w:szCs w:val="24"/>
        </w:rPr>
        <w:lastRenderedPageBreak/>
        <w:t>证券法》规定的注册会计师、律师以及中国证监会指定的人员组成。基金财产清算小组可以聘用必要的工作人员。</w:t>
      </w:r>
    </w:p>
    <w:p w:rsidR="00054952" w:rsidRPr="00B81B94" w:rsidRDefault="00054952"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4、</w:t>
      </w:r>
      <w:r w:rsidRPr="00054952">
        <w:rPr>
          <w:rFonts w:ascii="宋体" w:eastAsia="宋体" w:hAnsi="宋体" w:cs="宋体"/>
          <w:color w:val="333333"/>
          <w:kern w:val="0"/>
          <w:sz w:val="24"/>
          <w:szCs w:val="24"/>
        </w:rPr>
        <w:t>基金财产清算小组负责基金财产的保管、清理、估价、变现和分配。</w:t>
      </w:r>
      <w:r w:rsidRPr="00054952">
        <w:rPr>
          <w:rFonts w:ascii="宋体" w:eastAsia="宋体" w:hAnsi="宋体" w:cs="宋体" w:hint="eastAsia"/>
          <w:color w:val="333333"/>
          <w:kern w:val="0"/>
          <w:sz w:val="24"/>
          <w:szCs w:val="24"/>
        </w:rPr>
        <w:t>基金财产清算小组可以依法进行必要的民事活动。</w:t>
      </w:r>
    </w:p>
    <w:p w:rsidR="00135F80" w:rsidRPr="00B81B94" w:rsidRDefault="00054952"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color w:val="333333"/>
          <w:kern w:val="0"/>
          <w:sz w:val="24"/>
          <w:szCs w:val="24"/>
        </w:rPr>
        <w:t>5</w:t>
      </w:r>
      <w:r w:rsidR="00135F80" w:rsidRPr="00B81B94">
        <w:rPr>
          <w:rFonts w:ascii="宋体" w:eastAsia="宋体" w:hAnsi="宋体" w:cs="宋体" w:hint="eastAsia"/>
          <w:color w:val="333333"/>
          <w:kern w:val="0"/>
          <w:sz w:val="24"/>
          <w:szCs w:val="24"/>
        </w:rPr>
        <w:t>、</w:t>
      </w:r>
      <w:r w:rsidR="00135F80" w:rsidRPr="00B81B94">
        <w:rPr>
          <w:rFonts w:ascii="宋体" w:eastAsia="宋体" w:hAnsi="宋体" w:cs="宋体"/>
          <w:color w:val="333333"/>
          <w:kern w:val="0"/>
          <w:sz w:val="24"/>
          <w:szCs w:val="24"/>
        </w:rPr>
        <w:t>基金财产清算程序</w:t>
      </w:r>
    </w:p>
    <w:p w:rsidR="00135F80" w:rsidRPr="00B81B94" w:rsidRDefault="00135F80"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w:t>
      </w:r>
      <w:r w:rsidRPr="00B81B94">
        <w:rPr>
          <w:rFonts w:ascii="宋体" w:eastAsia="宋体" w:hAnsi="宋体" w:cs="宋体"/>
          <w:color w:val="333333"/>
          <w:kern w:val="0"/>
          <w:sz w:val="24"/>
          <w:szCs w:val="24"/>
        </w:rPr>
        <w:t>1</w:t>
      </w:r>
      <w:r w:rsidRPr="00B81B94">
        <w:rPr>
          <w:rFonts w:ascii="宋体" w:eastAsia="宋体" w:hAnsi="宋体" w:cs="宋体" w:hint="eastAsia"/>
          <w:color w:val="333333"/>
          <w:kern w:val="0"/>
          <w:sz w:val="24"/>
          <w:szCs w:val="24"/>
        </w:rPr>
        <w:t>）</w:t>
      </w:r>
      <w:r w:rsidRPr="00B81B94">
        <w:rPr>
          <w:rFonts w:ascii="宋体" w:eastAsia="宋体" w:hAnsi="宋体" w:cs="宋体"/>
          <w:color w:val="333333"/>
          <w:kern w:val="0"/>
          <w:sz w:val="24"/>
          <w:szCs w:val="24"/>
        </w:rPr>
        <w:t>《基金合同》终止情形出现时，由基金财产清算小组统一接管基金</w:t>
      </w:r>
      <w:r w:rsidR="00D05C18">
        <w:rPr>
          <w:rFonts w:ascii="宋体" w:eastAsia="宋体" w:hAnsi="宋体" w:cs="宋体" w:hint="eastAsia"/>
          <w:color w:val="333333"/>
          <w:kern w:val="0"/>
          <w:sz w:val="24"/>
          <w:szCs w:val="24"/>
        </w:rPr>
        <w:t>财产</w:t>
      </w:r>
      <w:r w:rsidRPr="00B81B94">
        <w:rPr>
          <w:rFonts w:ascii="宋体" w:eastAsia="宋体" w:hAnsi="宋体" w:cs="宋体"/>
          <w:color w:val="333333"/>
          <w:kern w:val="0"/>
          <w:sz w:val="24"/>
          <w:szCs w:val="24"/>
        </w:rPr>
        <w:t>；</w:t>
      </w:r>
    </w:p>
    <w:p w:rsidR="00135F80" w:rsidRPr="00B81B94" w:rsidRDefault="00135F80"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w:t>
      </w:r>
      <w:r w:rsidRPr="00B81B94">
        <w:rPr>
          <w:rFonts w:ascii="宋体" w:eastAsia="宋体" w:hAnsi="宋体" w:cs="宋体"/>
          <w:color w:val="333333"/>
          <w:kern w:val="0"/>
          <w:sz w:val="24"/>
          <w:szCs w:val="24"/>
        </w:rPr>
        <w:t>2）对基金财产和债权债务进行清理和确认；</w:t>
      </w:r>
    </w:p>
    <w:p w:rsidR="00135F80" w:rsidRPr="00B81B94" w:rsidRDefault="00135F80"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w:t>
      </w:r>
      <w:r w:rsidRPr="00B81B94">
        <w:rPr>
          <w:rFonts w:ascii="宋体" w:eastAsia="宋体" w:hAnsi="宋体" w:cs="宋体"/>
          <w:color w:val="333333"/>
          <w:kern w:val="0"/>
          <w:sz w:val="24"/>
          <w:szCs w:val="24"/>
        </w:rPr>
        <w:t>3）对基金财产进行估值和变现；</w:t>
      </w:r>
    </w:p>
    <w:p w:rsidR="00135F80" w:rsidRPr="00B81B94" w:rsidRDefault="00135F80"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w:t>
      </w:r>
      <w:r w:rsidRPr="00B81B94">
        <w:rPr>
          <w:rFonts w:ascii="宋体" w:eastAsia="宋体" w:hAnsi="宋体" w:cs="宋体"/>
          <w:color w:val="333333"/>
          <w:kern w:val="0"/>
          <w:sz w:val="24"/>
          <w:szCs w:val="24"/>
        </w:rPr>
        <w:t>4）制作清算报告；</w:t>
      </w:r>
    </w:p>
    <w:p w:rsidR="00135F80" w:rsidRPr="00B81B94" w:rsidRDefault="00135F80"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w:t>
      </w:r>
      <w:r w:rsidRPr="00B81B94">
        <w:rPr>
          <w:rFonts w:ascii="宋体" w:eastAsia="宋体" w:hAnsi="宋体" w:cs="宋体"/>
          <w:color w:val="333333"/>
          <w:kern w:val="0"/>
          <w:sz w:val="24"/>
          <w:szCs w:val="24"/>
        </w:rPr>
        <w:t>5）聘请会计师事务所对清算报告进行外部审计，聘请律师事务所对清算报告出具法律意见书；</w:t>
      </w:r>
    </w:p>
    <w:p w:rsidR="00135F80" w:rsidRPr="00B81B94" w:rsidRDefault="00135F80"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w:t>
      </w:r>
      <w:r w:rsidRPr="00B81B94">
        <w:rPr>
          <w:rFonts w:ascii="宋体" w:eastAsia="宋体" w:hAnsi="宋体" w:cs="宋体"/>
          <w:color w:val="333333"/>
          <w:kern w:val="0"/>
          <w:sz w:val="24"/>
          <w:szCs w:val="24"/>
        </w:rPr>
        <w:t>6）将清算报告报中国证监会备案并公告；</w:t>
      </w:r>
    </w:p>
    <w:p w:rsidR="00135F80" w:rsidRPr="00B81B94" w:rsidRDefault="00135F80"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w:t>
      </w:r>
      <w:r w:rsidRPr="00B81B94">
        <w:rPr>
          <w:rFonts w:ascii="宋体" w:eastAsia="宋体" w:hAnsi="宋体" w:cs="宋体"/>
          <w:color w:val="333333"/>
          <w:kern w:val="0"/>
          <w:sz w:val="24"/>
          <w:szCs w:val="24"/>
        </w:rPr>
        <w:t>7）对基金剩余财产进行分配。</w:t>
      </w:r>
    </w:p>
    <w:p w:rsidR="00135F80" w:rsidRPr="00B81B94" w:rsidRDefault="00054952"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color w:val="333333"/>
          <w:kern w:val="0"/>
          <w:sz w:val="24"/>
          <w:szCs w:val="24"/>
        </w:rPr>
        <w:t>6</w:t>
      </w:r>
      <w:r w:rsidR="00135F80" w:rsidRPr="00B81B94">
        <w:rPr>
          <w:rFonts w:ascii="宋体" w:eastAsia="宋体" w:hAnsi="宋体" w:cs="宋体" w:hint="eastAsia"/>
          <w:color w:val="333333"/>
          <w:kern w:val="0"/>
          <w:sz w:val="24"/>
          <w:szCs w:val="24"/>
        </w:rPr>
        <w:t>、</w:t>
      </w:r>
      <w:r w:rsidR="005C2CC4" w:rsidRPr="005C2CC4">
        <w:rPr>
          <w:rFonts w:ascii="宋体" w:eastAsia="宋体" w:hAnsi="宋体" w:cs="宋体" w:hint="eastAsia"/>
          <w:color w:val="333333"/>
          <w:kern w:val="0"/>
          <w:sz w:val="24"/>
          <w:szCs w:val="24"/>
        </w:rPr>
        <w:t>基金财产清算的期限为</w:t>
      </w:r>
      <w:r w:rsidR="005C2CC4" w:rsidRPr="005C2CC4">
        <w:rPr>
          <w:rFonts w:ascii="宋体" w:eastAsia="宋体" w:hAnsi="宋体" w:cs="宋体"/>
          <w:color w:val="333333"/>
          <w:kern w:val="0"/>
          <w:sz w:val="24"/>
          <w:szCs w:val="24"/>
        </w:rPr>
        <w:t>6个月，但因本基金所持证券的流动性受到限制而不能及时变现的，清算期限相应顺延。</w:t>
      </w:r>
    </w:p>
    <w:p w:rsidR="00135F80" w:rsidRPr="00B81B94" w:rsidRDefault="00054952"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color w:val="333333"/>
          <w:kern w:val="0"/>
          <w:sz w:val="24"/>
          <w:szCs w:val="24"/>
        </w:rPr>
        <w:t>7</w:t>
      </w:r>
      <w:r w:rsidR="00135F80" w:rsidRPr="00B81B94">
        <w:rPr>
          <w:rFonts w:ascii="宋体" w:eastAsia="宋体" w:hAnsi="宋体" w:cs="宋体" w:hint="eastAsia"/>
          <w:color w:val="333333"/>
          <w:kern w:val="0"/>
          <w:sz w:val="24"/>
          <w:szCs w:val="24"/>
        </w:rPr>
        <w:t>、</w:t>
      </w:r>
      <w:r w:rsidR="00135F80" w:rsidRPr="00B81B94">
        <w:rPr>
          <w:rFonts w:ascii="宋体" w:eastAsia="宋体" w:hAnsi="宋体" w:cs="宋体"/>
          <w:color w:val="333333"/>
          <w:kern w:val="0"/>
          <w:sz w:val="24"/>
          <w:szCs w:val="24"/>
        </w:rPr>
        <w:t>清算费用</w:t>
      </w:r>
    </w:p>
    <w:p w:rsidR="00135F80" w:rsidRPr="00B81B94" w:rsidRDefault="005C2CC4"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5C2CC4">
        <w:rPr>
          <w:rFonts w:ascii="宋体" w:eastAsia="宋体" w:hAnsi="宋体" w:cs="宋体" w:hint="eastAsia"/>
          <w:color w:val="333333"/>
          <w:kern w:val="0"/>
          <w:sz w:val="24"/>
          <w:szCs w:val="24"/>
        </w:rPr>
        <w:t>清算费用是指基金财产清算小组在进行基金财产清算过程中发生的所有合理费用，清算费用由基金财产清算小组优先从基金剩余财产中支付。</w:t>
      </w:r>
      <w:r w:rsidR="00135F80" w:rsidRPr="00B81B94">
        <w:rPr>
          <w:rFonts w:ascii="宋体" w:eastAsia="宋体" w:hAnsi="宋体" w:cs="宋体" w:hint="eastAsia"/>
          <w:color w:val="333333"/>
          <w:kern w:val="0"/>
          <w:sz w:val="24"/>
          <w:szCs w:val="24"/>
        </w:rPr>
        <w:t>具体以届时公告的本基金清算报告为准。</w:t>
      </w:r>
    </w:p>
    <w:p w:rsidR="00135F80" w:rsidRPr="00B81B94" w:rsidRDefault="00054952"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Pr>
          <w:rFonts w:ascii="宋体" w:eastAsia="宋体" w:hAnsi="宋体" w:cs="宋体"/>
          <w:color w:val="333333"/>
          <w:kern w:val="0"/>
          <w:sz w:val="24"/>
          <w:szCs w:val="24"/>
        </w:rPr>
        <w:t>8</w:t>
      </w:r>
      <w:r w:rsidR="00135F80" w:rsidRPr="00B81B94">
        <w:rPr>
          <w:rFonts w:ascii="宋体" w:eastAsia="宋体" w:hAnsi="宋体" w:cs="宋体" w:hint="eastAsia"/>
          <w:color w:val="333333"/>
          <w:kern w:val="0"/>
          <w:sz w:val="24"/>
          <w:szCs w:val="24"/>
        </w:rPr>
        <w:t>、</w:t>
      </w:r>
      <w:r w:rsidR="00135F80" w:rsidRPr="00B81B94">
        <w:rPr>
          <w:rFonts w:ascii="宋体" w:eastAsia="宋体" w:hAnsi="宋体" w:cs="宋体"/>
          <w:color w:val="333333"/>
          <w:kern w:val="0"/>
          <w:sz w:val="24"/>
          <w:szCs w:val="24"/>
        </w:rPr>
        <w:t>基金财产清算剩余资产的分配</w:t>
      </w:r>
    </w:p>
    <w:p w:rsidR="005C2CC4" w:rsidRDefault="005C2CC4" w:rsidP="0048511F">
      <w:pPr>
        <w:widowControl/>
        <w:shd w:val="clear" w:color="auto" w:fill="FFFFFF"/>
        <w:spacing w:line="360" w:lineRule="auto"/>
        <w:ind w:firstLineChars="200" w:firstLine="480"/>
        <w:jc w:val="left"/>
        <w:outlineLvl w:val="4"/>
        <w:rPr>
          <w:rFonts w:ascii="宋体" w:eastAsia="宋体" w:hAnsi="宋体" w:cs="宋体"/>
          <w:color w:val="333333"/>
          <w:kern w:val="0"/>
          <w:sz w:val="24"/>
          <w:szCs w:val="24"/>
        </w:rPr>
      </w:pPr>
      <w:r w:rsidRPr="005C2CC4">
        <w:rPr>
          <w:rFonts w:ascii="宋体" w:eastAsia="宋体" w:hAnsi="宋体" w:cs="宋体" w:hint="eastAsia"/>
          <w:color w:val="333333"/>
          <w:kern w:val="0"/>
          <w:sz w:val="24"/>
          <w:szCs w:val="24"/>
        </w:rPr>
        <w:t>依据基金财产清算的分配方案，将基金财产清算后的全部剩余资产扣除基金财产清算费用、交纳所欠税款并清偿基金债务后，按各类基金份额在基金合同终止事由发生时各自基金资产净值的比例确定剩余财产在各类基金份额中的分配比例，并在各类基金份额可分配的剩余财产范围内按各份额类别内基金份额持有人持有的基金份额比例进行分配。</w:t>
      </w:r>
    </w:p>
    <w:p w:rsidR="00135F80" w:rsidRPr="00B81B94" w:rsidRDefault="00135F80" w:rsidP="0048511F">
      <w:pPr>
        <w:widowControl/>
        <w:shd w:val="clear" w:color="auto" w:fill="FFFFFF"/>
        <w:spacing w:line="360" w:lineRule="auto"/>
        <w:ind w:firstLineChars="200" w:firstLine="482"/>
        <w:jc w:val="left"/>
        <w:outlineLvl w:val="4"/>
        <w:rPr>
          <w:rFonts w:ascii="宋体" w:eastAsia="宋体" w:hAnsi="宋体" w:cs="宋体"/>
          <w:b/>
          <w:bCs/>
          <w:color w:val="333333"/>
          <w:kern w:val="0"/>
          <w:sz w:val="24"/>
          <w:szCs w:val="24"/>
        </w:rPr>
      </w:pPr>
      <w:r w:rsidRPr="00B81B94">
        <w:rPr>
          <w:rFonts w:ascii="宋体" w:eastAsia="宋体" w:hAnsi="宋体" w:cs="宋体"/>
          <w:b/>
          <w:bCs/>
          <w:color w:val="333333"/>
          <w:kern w:val="0"/>
          <w:sz w:val="24"/>
          <w:szCs w:val="24"/>
        </w:rPr>
        <w:t>(三)基金财产清算的公告</w:t>
      </w:r>
    </w:p>
    <w:p w:rsidR="00135F80" w:rsidRPr="00B81B94" w:rsidRDefault="005C2CC4"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5C2CC4">
        <w:rPr>
          <w:rFonts w:ascii="宋体" w:eastAsia="宋体" w:hAnsi="宋体" w:cs="宋体" w:hint="eastAsia"/>
          <w:color w:val="333333"/>
          <w:kern w:val="0"/>
          <w:sz w:val="24"/>
          <w:szCs w:val="24"/>
        </w:rPr>
        <w:t>清算过程中的有关重大事项须及时公告；基金财产清算报告经符合《中华人民共和国证券法》规定的会计师事务所审计并由律师事务所出具法律意见书后报中国证监会备案并公告。基金财产清算公告于基金财产清算报告报中国证监会备案后</w:t>
      </w:r>
      <w:r w:rsidRPr="005C2CC4">
        <w:rPr>
          <w:rFonts w:ascii="宋体" w:eastAsia="宋体" w:hAnsi="宋体" w:cs="宋体"/>
          <w:color w:val="333333"/>
          <w:kern w:val="0"/>
          <w:sz w:val="24"/>
          <w:szCs w:val="24"/>
        </w:rPr>
        <w:t>5个工作日内由基金财产清算小组进行公告，清算小组应当将清算报告登载在规定网站上，并将清算报告提示性公告登载在规定报刊上。</w:t>
      </w:r>
    </w:p>
    <w:p w:rsidR="00135F80" w:rsidRPr="00B81B94" w:rsidRDefault="00135F80" w:rsidP="0048511F">
      <w:pPr>
        <w:widowControl/>
        <w:shd w:val="clear" w:color="auto" w:fill="FFFFFF"/>
        <w:spacing w:line="360" w:lineRule="auto"/>
        <w:ind w:firstLineChars="200" w:firstLine="482"/>
        <w:jc w:val="left"/>
        <w:outlineLvl w:val="4"/>
        <w:rPr>
          <w:rFonts w:ascii="宋体" w:eastAsia="宋体" w:hAnsi="宋体" w:cs="宋体"/>
          <w:b/>
          <w:bCs/>
          <w:color w:val="333333"/>
          <w:kern w:val="0"/>
          <w:sz w:val="24"/>
          <w:szCs w:val="24"/>
        </w:rPr>
      </w:pPr>
      <w:r w:rsidRPr="00B81B94">
        <w:rPr>
          <w:rFonts w:ascii="宋体" w:eastAsia="宋体" w:hAnsi="宋体" w:cs="宋体"/>
          <w:b/>
          <w:bCs/>
          <w:color w:val="333333"/>
          <w:kern w:val="0"/>
          <w:sz w:val="24"/>
          <w:szCs w:val="24"/>
        </w:rPr>
        <w:t>(四) 基金份额持有人同意对约定的投资组合比例限制等条款的豁免</w:t>
      </w:r>
    </w:p>
    <w:p w:rsidR="00135F80" w:rsidRPr="00B81B94" w:rsidRDefault="00135F80"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在本次基金份额持有人大会决议生效后，基金份额持有人同意豁免本基金《基金合同》中约定的投资组合比例限制等条款。</w:t>
      </w:r>
    </w:p>
    <w:bookmarkEnd w:id="0"/>
    <w:p w:rsidR="00175A50" w:rsidRPr="00B81B94" w:rsidRDefault="00175A50" w:rsidP="0048511F">
      <w:pPr>
        <w:widowControl/>
        <w:shd w:val="clear" w:color="auto" w:fill="FFFFFF"/>
        <w:spacing w:line="360" w:lineRule="auto"/>
        <w:ind w:firstLineChars="200" w:firstLine="542"/>
        <w:jc w:val="left"/>
        <w:rPr>
          <w:rFonts w:ascii="宋体" w:eastAsia="宋体" w:hAnsi="宋体" w:cs="宋体"/>
          <w:b/>
          <w:bCs/>
          <w:color w:val="333333"/>
          <w:kern w:val="0"/>
          <w:sz w:val="27"/>
          <w:szCs w:val="27"/>
        </w:rPr>
      </w:pPr>
      <w:r w:rsidRPr="00B81B94">
        <w:rPr>
          <w:rFonts w:ascii="宋体" w:eastAsia="宋体" w:hAnsi="宋体" w:cs="宋体" w:hint="eastAsia"/>
          <w:b/>
          <w:bCs/>
          <w:color w:val="333333"/>
          <w:kern w:val="0"/>
          <w:sz w:val="27"/>
          <w:szCs w:val="27"/>
        </w:rPr>
        <w:t>四、备查文件</w:t>
      </w:r>
    </w:p>
    <w:p w:rsidR="00175A50" w:rsidRPr="00B81B94" w:rsidRDefault="00175A50"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1、《银河基金管理有限公司关于以通讯方式召开</w:t>
      </w:r>
      <w:r w:rsidR="005C2CC4">
        <w:rPr>
          <w:rFonts w:ascii="宋体" w:eastAsia="宋体" w:hAnsi="宋体" w:cs="宋体" w:hint="eastAsia"/>
          <w:color w:val="333333"/>
          <w:kern w:val="0"/>
          <w:sz w:val="24"/>
          <w:szCs w:val="24"/>
        </w:rPr>
        <w:t>银河中债1-3年国开行债券指数证券投资基金</w:t>
      </w:r>
      <w:r w:rsidRPr="00B81B94">
        <w:rPr>
          <w:rFonts w:ascii="宋体" w:eastAsia="宋体" w:hAnsi="宋体" w:cs="宋体" w:hint="eastAsia"/>
          <w:color w:val="333333"/>
          <w:kern w:val="0"/>
          <w:sz w:val="24"/>
          <w:szCs w:val="24"/>
        </w:rPr>
        <w:t>基金份额持有人大会的公告》；</w:t>
      </w:r>
    </w:p>
    <w:p w:rsidR="00175A50" w:rsidRPr="00B81B94" w:rsidRDefault="00175A50"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2、《银河基金管理有限公司关于以通讯方式召开</w:t>
      </w:r>
      <w:r w:rsidR="005C2CC4">
        <w:rPr>
          <w:rFonts w:ascii="宋体" w:eastAsia="宋体" w:hAnsi="宋体" w:cs="宋体" w:hint="eastAsia"/>
          <w:color w:val="333333"/>
          <w:kern w:val="0"/>
          <w:sz w:val="24"/>
          <w:szCs w:val="24"/>
        </w:rPr>
        <w:t>银河中债1-3年国开行债券指数证券投资基金</w:t>
      </w:r>
      <w:r w:rsidRPr="00B81B94">
        <w:rPr>
          <w:rFonts w:ascii="宋体" w:eastAsia="宋体" w:hAnsi="宋体" w:cs="宋体" w:hint="eastAsia"/>
          <w:color w:val="333333"/>
          <w:kern w:val="0"/>
          <w:sz w:val="24"/>
          <w:szCs w:val="24"/>
        </w:rPr>
        <w:t>基金份额持有人大会的第一次提示性公告》；</w:t>
      </w:r>
    </w:p>
    <w:p w:rsidR="00175A50" w:rsidRPr="00B81B94" w:rsidRDefault="00175A50"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3、《银河基金管理有限公司关于以通讯方式召开</w:t>
      </w:r>
      <w:r w:rsidR="005C2CC4">
        <w:rPr>
          <w:rFonts w:ascii="宋体" w:eastAsia="宋体" w:hAnsi="宋体" w:cs="宋体" w:hint="eastAsia"/>
          <w:color w:val="333333"/>
          <w:kern w:val="0"/>
          <w:sz w:val="24"/>
          <w:szCs w:val="24"/>
        </w:rPr>
        <w:t>银河中债1-3年国开行债券指数证券投资基金</w:t>
      </w:r>
      <w:r w:rsidRPr="00B81B94">
        <w:rPr>
          <w:rFonts w:ascii="宋体" w:eastAsia="宋体" w:hAnsi="宋体" w:cs="宋体" w:hint="eastAsia"/>
          <w:color w:val="333333"/>
          <w:kern w:val="0"/>
          <w:sz w:val="24"/>
          <w:szCs w:val="24"/>
        </w:rPr>
        <w:t>基金份额持有人大会的第二次提示性公告》；</w:t>
      </w:r>
    </w:p>
    <w:p w:rsidR="00175A50" w:rsidRPr="00B81B94" w:rsidRDefault="00175A50"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4、上海源泰律师事务所出具的法律意见书；</w:t>
      </w:r>
    </w:p>
    <w:p w:rsidR="00175A50" w:rsidRPr="00B81B94" w:rsidRDefault="00175A50"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5、上海市东方公证处出具的公证书。</w:t>
      </w:r>
    </w:p>
    <w:p w:rsidR="00175A50" w:rsidRPr="00B81B94" w:rsidRDefault="00175A50" w:rsidP="0048511F">
      <w:pPr>
        <w:widowControl/>
        <w:shd w:val="clear" w:color="auto" w:fill="FFFFFF"/>
        <w:spacing w:line="360" w:lineRule="auto"/>
        <w:ind w:firstLineChars="200" w:firstLine="542"/>
        <w:jc w:val="left"/>
        <w:outlineLvl w:val="3"/>
        <w:rPr>
          <w:rFonts w:ascii="宋体" w:eastAsia="宋体" w:hAnsi="宋体" w:cs="宋体"/>
          <w:b/>
          <w:bCs/>
          <w:color w:val="333333"/>
          <w:kern w:val="0"/>
          <w:sz w:val="27"/>
          <w:szCs w:val="27"/>
        </w:rPr>
      </w:pPr>
      <w:r w:rsidRPr="00B81B94">
        <w:rPr>
          <w:rFonts w:ascii="宋体" w:eastAsia="宋体" w:hAnsi="宋体" w:cs="宋体" w:hint="eastAsia"/>
          <w:b/>
          <w:bCs/>
          <w:color w:val="333333"/>
          <w:kern w:val="0"/>
          <w:sz w:val="27"/>
          <w:szCs w:val="27"/>
        </w:rPr>
        <w:t>五、其他需要提示的事项</w:t>
      </w:r>
    </w:p>
    <w:p w:rsidR="00175A50" w:rsidRPr="00B81B94" w:rsidRDefault="00175A50"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1、清算期间，投资者将无法办理本基金的申购、赎回及转换等业务，基金财产将在基金财产清算小组履行完毕清算程序后进行分配。敬请投资者关注基金清算的相关后续公告。</w:t>
      </w:r>
    </w:p>
    <w:p w:rsidR="00175A50" w:rsidRPr="00B81B94" w:rsidRDefault="00175A50"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2、投资者可以通过银河基金管理有限公司网站（</w:t>
      </w:r>
      <w:r w:rsidR="00E8662E">
        <w:rPr>
          <w:rFonts w:ascii="宋体" w:eastAsia="宋体" w:hAnsi="宋体" w:cs="宋体" w:hint="eastAsia"/>
          <w:color w:val="333333"/>
          <w:kern w:val="0"/>
          <w:sz w:val="24"/>
          <w:szCs w:val="24"/>
        </w:rPr>
        <w:t>www.cgf.cn</w:t>
      </w:r>
      <w:r w:rsidRPr="00B81B94">
        <w:rPr>
          <w:rFonts w:ascii="宋体" w:eastAsia="宋体" w:hAnsi="宋体" w:cs="宋体" w:hint="eastAsia"/>
          <w:color w:val="333333"/>
          <w:kern w:val="0"/>
          <w:sz w:val="24"/>
          <w:szCs w:val="24"/>
        </w:rPr>
        <w:t>）和客户服务电话（400-820-0860）</w:t>
      </w:r>
      <w:r w:rsidR="00DE6865" w:rsidRPr="00B81B94">
        <w:rPr>
          <w:rFonts w:ascii="宋体" w:eastAsia="宋体" w:hAnsi="宋体" w:cs="宋体" w:hint="eastAsia"/>
          <w:color w:val="333333"/>
          <w:kern w:val="0"/>
          <w:sz w:val="24"/>
          <w:szCs w:val="24"/>
        </w:rPr>
        <w:t>（工作时间：交易日</w:t>
      </w:r>
      <w:r w:rsidR="00DE6865" w:rsidRPr="00B81B94">
        <w:rPr>
          <w:rFonts w:ascii="宋体" w:eastAsia="宋体" w:hAnsi="宋体" w:cs="宋体"/>
          <w:color w:val="333333"/>
          <w:kern w:val="0"/>
          <w:sz w:val="24"/>
          <w:szCs w:val="24"/>
        </w:rPr>
        <w:t>9：00-17：00）</w:t>
      </w:r>
      <w:r w:rsidRPr="00B81B94">
        <w:rPr>
          <w:rFonts w:ascii="宋体" w:eastAsia="宋体" w:hAnsi="宋体" w:cs="宋体" w:hint="eastAsia"/>
          <w:color w:val="333333"/>
          <w:kern w:val="0"/>
          <w:sz w:val="24"/>
          <w:szCs w:val="24"/>
        </w:rPr>
        <w:t>咨询有关情况。</w:t>
      </w:r>
    </w:p>
    <w:p w:rsidR="00175A50" w:rsidRPr="00B81B94" w:rsidRDefault="00175A50"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3、本公告解释权归银河基金管理有限公司。</w:t>
      </w:r>
    </w:p>
    <w:p w:rsidR="00175A50" w:rsidRPr="00B81B94" w:rsidRDefault="00175A50" w:rsidP="0048511F">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风险提示：本公司承诺以诚实信用、勤勉尽责的原则管理和运用基金资产，但不保证基金一定盈利，也不保证最低收益。投资者投资于本基金管理人管理的基金时，应认真阅读基金合同、招募说明书、</w:t>
      </w:r>
      <w:r w:rsidR="00DD6BFF" w:rsidRPr="00B81B94">
        <w:rPr>
          <w:rFonts w:ascii="宋体" w:eastAsia="宋体" w:hAnsi="宋体" w:cs="宋体" w:hint="eastAsia"/>
          <w:color w:val="333333"/>
          <w:kern w:val="0"/>
          <w:sz w:val="24"/>
          <w:szCs w:val="24"/>
        </w:rPr>
        <w:t>基金</w:t>
      </w:r>
      <w:r w:rsidRPr="00B81B94">
        <w:rPr>
          <w:rFonts w:ascii="宋体" w:eastAsia="宋体" w:hAnsi="宋体" w:cs="宋体" w:hint="eastAsia"/>
          <w:color w:val="333333"/>
          <w:kern w:val="0"/>
          <w:sz w:val="24"/>
          <w:szCs w:val="24"/>
        </w:rPr>
        <w:t>产品资料概要等基金法律文件，了解基金产品的详细情况，选择与自己风险识别能力和风险承受能力相匹配的基金，敬请投资人注意投资风险。</w:t>
      </w:r>
    </w:p>
    <w:p w:rsidR="00175A50" w:rsidRPr="00B81B94" w:rsidRDefault="00175A50" w:rsidP="004B58C3">
      <w:pPr>
        <w:widowControl/>
        <w:shd w:val="clear" w:color="auto" w:fill="FFFFFF"/>
        <w:spacing w:line="360" w:lineRule="auto"/>
        <w:ind w:firstLineChars="200" w:firstLine="480"/>
        <w:jc w:val="lef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特此公告。</w:t>
      </w:r>
    </w:p>
    <w:p w:rsidR="00175A50" w:rsidRPr="00B81B94" w:rsidRDefault="00175A50" w:rsidP="004B58C3">
      <w:pPr>
        <w:widowControl/>
        <w:shd w:val="clear" w:color="auto" w:fill="FFFFFF"/>
        <w:spacing w:line="360" w:lineRule="auto"/>
        <w:ind w:firstLineChars="200" w:firstLine="480"/>
        <w:jc w:val="righ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银河基金管理有限公司</w:t>
      </w:r>
    </w:p>
    <w:p w:rsidR="00175A50" w:rsidRPr="00B81B94" w:rsidRDefault="005C2CC4" w:rsidP="004B58C3">
      <w:pPr>
        <w:widowControl/>
        <w:shd w:val="clear" w:color="auto" w:fill="FFFFFF"/>
        <w:spacing w:line="360" w:lineRule="auto"/>
        <w:ind w:firstLineChars="200" w:firstLine="480"/>
        <w:jc w:val="right"/>
        <w:rPr>
          <w:rFonts w:ascii="宋体" w:eastAsia="宋体" w:hAnsi="宋体" w:cs="宋体"/>
          <w:color w:val="333333"/>
          <w:kern w:val="0"/>
          <w:sz w:val="24"/>
          <w:szCs w:val="24"/>
        </w:rPr>
      </w:pPr>
      <w:r w:rsidRPr="00B81B94">
        <w:rPr>
          <w:rFonts w:ascii="宋体" w:eastAsia="宋体" w:hAnsi="宋体" w:cs="宋体" w:hint="eastAsia"/>
          <w:color w:val="333333"/>
          <w:kern w:val="0"/>
          <w:sz w:val="24"/>
          <w:szCs w:val="24"/>
        </w:rPr>
        <w:t>202</w:t>
      </w:r>
      <w:r>
        <w:rPr>
          <w:rFonts w:ascii="宋体" w:eastAsia="宋体" w:hAnsi="宋体" w:cs="宋体"/>
          <w:color w:val="333333"/>
          <w:kern w:val="0"/>
          <w:sz w:val="24"/>
          <w:szCs w:val="24"/>
        </w:rPr>
        <w:t>2</w:t>
      </w:r>
      <w:r w:rsidRPr="00B81B94">
        <w:rPr>
          <w:rFonts w:ascii="宋体" w:eastAsia="宋体" w:hAnsi="宋体" w:cs="宋体" w:hint="eastAsia"/>
          <w:color w:val="333333"/>
          <w:kern w:val="0"/>
          <w:sz w:val="24"/>
          <w:szCs w:val="24"/>
        </w:rPr>
        <w:t>年</w:t>
      </w:r>
      <w:r>
        <w:rPr>
          <w:rFonts w:ascii="宋体" w:eastAsia="宋体" w:hAnsi="宋体" w:cs="宋体"/>
          <w:color w:val="333333"/>
          <w:kern w:val="0"/>
          <w:sz w:val="24"/>
          <w:szCs w:val="24"/>
        </w:rPr>
        <w:t>11</w:t>
      </w:r>
      <w:r w:rsidRPr="00B81B94">
        <w:rPr>
          <w:rFonts w:ascii="宋体" w:eastAsia="宋体" w:hAnsi="宋体" w:cs="宋体" w:hint="eastAsia"/>
          <w:color w:val="333333"/>
          <w:kern w:val="0"/>
          <w:sz w:val="24"/>
          <w:szCs w:val="24"/>
        </w:rPr>
        <w:t>月</w:t>
      </w:r>
      <w:r>
        <w:rPr>
          <w:rFonts w:ascii="宋体" w:eastAsia="宋体" w:hAnsi="宋体" w:cs="宋体"/>
          <w:color w:val="333333"/>
          <w:kern w:val="0"/>
          <w:sz w:val="24"/>
          <w:szCs w:val="24"/>
        </w:rPr>
        <w:t>22</w:t>
      </w:r>
      <w:r w:rsidR="00175A50" w:rsidRPr="00B81B94">
        <w:rPr>
          <w:rFonts w:ascii="宋体" w:eastAsia="宋体" w:hAnsi="宋体" w:cs="宋体" w:hint="eastAsia"/>
          <w:color w:val="333333"/>
          <w:kern w:val="0"/>
          <w:sz w:val="24"/>
          <w:szCs w:val="24"/>
        </w:rPr>
        <w:t>日</w:t>
      </w:r>
    </w:p>
    <w:p w:rsidR="004B58C3" w:rsidRPr="00B81B94" w:rsidRDefault="004B58C3" w:rsidP="004B58C3">
      <w:pPr>
        <w:widowControl/>
        <w:shd w:val="clear" w:color="auto" w:fill="FFFFFF"/>
        <w:spacing w:line="360" w:lineRule="auto"/>
        <w:ind w:firstLineChars="200" w:firstLine="542"/>
        <w:jc w:val="left"/>
        <w:outlineLvl w:val="3"/>
        <w:rPr>
          <w:rFonts w:ascii="宋体" w:eastAsia="宋体" w:hAnsi="宋体" w:cs="宋体"/>
          <w:b/>
          <w:bCs/>
          <w:color w:val="333333"/>
          <w:kern w:val="0"/>
          <w:sz w:val="27"/>
          <w:szCs w:val="27"/>
        </w:rPr>
      </w:pPr>
    </w:p>
    <w:p w:rsidR="00CD5202" w:rsidRDefault="00175A50" w:rsidP="0011349A">
      <w:pPr>
        <w:widowControl/>
        <w:shd w:val="clear" w:color="auto" w:fill="FFFFFF"/>
        <w:spacing w:line="360" w:lineRule="auto"/>
        <w:ind w:firstLineChars="200" w:firstLine="542"/>
        <w:jc w:val="left"/>
        <w:outlineLvl w:val="3"/>
        <w:rPr>
          <w:rFonts w:ascii="宋体" w:eastAsia="宋体" w:hAnsi="宋体" w:cs="宋体"/>
          <w:color w:val="333333"/>
          <w:kern w:val="0"/>
          <w:sz w:val="24"/>
          <w:szCs w:val="24"/>
        </w:rPr>
      </w:pPr>
      <w:r w:rsidRPr="00B81B94">
        <w:rPr>
          <w:rFonts w:ascii="宋体" w:eastAsia="宋体" w:hAnsi="宋体" w:cs="宋体" w:hint="eastAsia"/>
          <w:b/>
          <w:bCs/>
          <w:color w:val="333333"/>
          <w:kern w:val="0"/>
          <w:sz w:val="27"/>
          <w:szCs w:val="27"/>
        </w:rPr>
        <w:t>附件：</w:t>
      </w:r>
      <w:r w:rsidRPr="00B81B94">
        <w:rPr>
          <w:rFonts w:ascii="宋体" w:eastAsia="宋体" w:hAnsi="宋体" w:cs="宋体" w:hint="eastAsia"/>
          <w:color w:val="333333"/>
          <w:kern w:val="0"/>
          <w:sz w:val="24"/>
          <w:szCs w:val="24"/>
        </w:rPr>
        <w:t>上海市东方公证处出具的公证书</w:t>
      </w:r>
    </w:p>
    <w:p w:rsidR="00487296" w:rsidRDefault="00487296" w:rsidP="00B81B94">
      <w:pPr>
        <w:widowControl/>
        <w:shd w:val="clear" w:color="auto" w:fill="FFFFFF"/>
        <w:spacing w:line="360" w:lineRule="auto"/>
        <w:ind w:firstLineChars="200" w:firstLine="420"/>
        <w:jc w:val="left"/>
        <w:rPr>
          <w:rFonts w:ascii="宋体" w:eastAsia="宋体" w:hAnsi="宋体"/>
        </w:rPr>
      </w:pPr>
      <w:r>
        <w:rPr>
          <w:noProof/>
        </w:rPr>
        <w:drawing>
          <wp:inline distT="0" distB="0" distL="0" distR="0">
            <wp:extent cx="5095875" cy="63150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15338" cy="6339195"/>
                    </a:xfrm>
                    <a:prstGeom prst="rect">
                      <a:avLst/>
                    </a:prstGeom>
                    <a:noFill/>
                    <a:ln>
                      <a:noFill/>
                    </a:ln>
                  </pic:spPr>
                </pic:pic>
              </a:graphicData>
            </a:graphic>
          </wp:inline>
        </w:drawing>
      </w:r>
    </w:p>
    <w:p w:rsidR="00487296" w:rsidRDefault="00487296" w:rsidP="00B81B94">
      <w:pPr>
        <w:widowControl/>
        <w:shd w:val="clear" w:color="auto" w:fill="FFFFFF"/>
        <w:spacing w:line="360" w:lineRule="auto"/>
        <w:ind w:firstLineChars="200" w:firstLine="420"/>
        <w:jc w:val="left"/>
        <w:rPr>
          <w:noProof/>
        </w:rPr>
      </w:pPr>
      <w:r>
        <w:rPr>
          <w:noProof/>
        </w:rPr>
        <w:t xml:space="preserve"> </w:t>
      </w:r>
      <w:bookmarkStart w:id="1" w:name="_GoBack"/>
      <w:r>
        <w:rPr>
          <w:noProof/>
        </w:rPr>
        <w:drawing>
          <wp:inline distT="0" distB="0" distL="0" distR="0">
            <wp:extent cx="5286375" cy="770509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90718" cy="7711420"/>
                    </a:xfrm>
                    <a:prstGeom prst="rect">
                      <a:avLst/>
                    </a:prstGeom>
                    <a:noFill/>
                    <a:ln>
                      <a:noFill/>
                    </a:ln>
                  </pic:spPr>
                </pic:pic>
              </a:graphicData>
            </a:graphic>
          </wp:inline>
        </w:drawing>
      </w:r>
      <w:bookmarkEnd w:id="1"/>
    </w:p>
    <w:p w:rsidR="00487296" w:rsidRDefault="00487296" w:rsidP="00487296">
      <w:pPr>
        <w:widowControl/>
        <w:shd w:val="clear" w:color="auto" w:fill="FFFFFF"/>
        <w:spacing w:line="360" w:lineRule="auto"/>
        <w:ind w:firstLineChars="200" w:firstLine="420"/>
        <w:jc w:val="center"/>
        <w:rPr>
          <w:rFonts w:ascii="宋体" w:eastAsia="宋体" w:hAnsi="宋体"/>
        </w:rPr>
      </w:pPr>
      <w:r>
        <w:rPr>
          <w:noProof/>
        </w:rPr>
        <w:drawing>
          <wp:inline distT="0" distB="0" distL="0" distR="0">
            <wp:extent cx="4933950" cy="74771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34201" cy="7477506"/>
                    </a:xfrm>
                    <a:prstGeom prst="rect">
                      <a:avLst/>
                    </a:prstGeom>
                    <a:noFill/>
                    <a:ln>
                      <a:noFill/>
                    </a:ln>
                  </pic:spPr>
                </pic:pic>
              </a:graphicData>
            </a:graphic>
          </wp:inline>
        </w:drawing>
      </w:r>
    </w:p>
    <w:p w:rsidR="00487296" w:rsidRPr="00487296" w:rsidRDefault="00487296" w:rsidP="00B81B94">
      <w:pPr>
        <w:widowControl/>
        <w:shd w:val="clear" w:color="auto" w:fill="FFFFFF"/>
        <w:spacing w:line="360" w:lineRule="auto"/>
        <w:ind w:firstLineChars="200" w:firstLine="420"/>
        <w:jc w:val="left"/>
        <w:rPr>
          <w:rFonts w:ascii="宋体" w:eastAsia="宋体" w:hAnsi="宋体"/>
        </w:rPr>
      </w:pPr>
      <w:r>
        <w:rPr>
          <w:noProof/>
        </w:rPr>
        <w:drawing>
          <wp:inline distT="0" distB="0" distL="0" distR="0">
            <wp:extent cx="4953000" cy="74771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252" cy="7477505"/>
                    </a:xfrm>
                    <a:prstGeom prst="rect">
                      <a:avLst/>
                    </a:prstGeom>
                    <a:noFill/>
                    <a:ln>
                      <a:noFill/>
                    </a:ln>
                  </pic:spPr>
                </pic:pic>
              </a:graphicData>
            </a:graphic>
          </wp:inline>
        </w:drawing>
      </w:r>
    </w:p>
    <w:sectPr w:rsidR="00487296" w:rsidRPr="00487296" w:rsidSect="00007298">
      <w:pgSz w:w="11906" w:h="16838"/>
      <w:pgMar w:top="1440" w:right="1800" w:bottom="1440" w:left="1800" w:header="851" w:footer="992"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CC995" w16cex:dateUtc="2022-11-02T02:48:00Z"/>
  <w16cex:commentExtensible w16cex:durableId="270D4843" w16cex:dateUtc="2022-11-02T11:49:00Z"/>
</w16cex:commentsExtensible>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39C4" w:rsidRDefault="008A39C4" w:rsidP="00175A50">
      <w:r>
        <w:separator/>
      </w:r>
    </w:p>
  </w:endnote>
  <w:endnote w:type="continuationSeparator" w:id="0">
    <w:p w:rsidR="008A39C4" w:rsidRDefault="008A39C4" w:rsidP="00175A50">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等线 Light">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39C4" w:rsidRDefault="008A39C4" w:rsidP="00175A50">
      <w:r>
        <w:separator/>
      </w:r>
    </w:p>
  </w:footnote>
  <w:footnote w:type="continuationSeparator" w:id="0">
    <w:p w:rsidR="008A39C4" w:rsidRDefault="008A39C4" w:rsidP="00175A5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A48B7"/>
    <w:rsid w:val="000053D5"/>
    <w:rsid w:val="00007298"/>
    <w:rsid w:val="00054952"/>
    <w:rsid w:val="00096B9F"/>
    <w:rsid w:val="000F6E32"/>
    <w:rsid w:val="00106076"/>
    <w:rsid w:val="0011349A"/>
    <w:rsid w:val="00135F80"/>
    <w:rsid w:val="00175A50"/>
    <w:rsid w:val="00193723"/>
    <w:rsid w:val="001B1EDE"/>
    <w:rsid w:val="001F3044"/>
    <w:rsid w:val="00203D81"/>
    <w:rsid w:val="00240232"/>
    <w:rsid w:val="002841CE"/>
    <w:rsid w:val="002E02D2"/>
    <w:rsid w:val="0032685B"/>
    <w:rsid w:val="00330163"/>
    <w:rsid w:val="0039281D"/>
    <w:rsid w:val="003C4C97"/>
    <w:rsid w:val="00432FF6"/>
    <w:rsid w:val="00433CFD"/>
    <w:rsid w:val="00441EE8"/>
    <w:rsid w:val="00454A52"/>
    <w:rsid w:val="00467EFA"/>
    <w:rsid w:val="00475D0B"/>
    <w:rsid w:val="0048511F"/>
    <w:rsid w:val="00487296"/>
    <w:rsid w:val="004924C0"/>
    <w:rsid w:val="004A6296"/>
    <w:rsid w:val="004B58C3"/>
    <w:rsid w:val="004B6049"/>
    <w:rsid w:val="00514DED"/>
    <w:rsid w:val="00516359"/>
    <w:rsid w:val="00531BEC"/>
    <w:rsid w:val="00564730"/>
    <w:rsid w:val="005C2CC4"/>
    <w:rsid w:val="00623A42"/>
    <w:rsid w:val="00641FA0"/>
    <w:rsid w:val="00673442"/>
    <w:rsid w:val="00681E88"/>
    <w:rsid w:val="007133E3"/>
    <w:rsid w:val="0071479E"/>
    <w:rsid w:val="00743BDB"/>
    <w:rsid w:val="00806098"/>
    <w:rsid w:val="008637DA"/>
    <w:rsid w:val="0086759F"/>
    <w:rsid w:val="00871C03"/>
    <w:rsid w:val="00885852"/>
    <w:rsid w:val="008A2886"/>
    <w:rsid w:val="008A39C4"/>
    <w:rsid w:val="008A48B7"/>
    <w:rsid w:val="008A4917"/>
    <w:rsid w:val="008A62B4"/>
    <w:rsid w:val="009076B1"/>
    <w:rsid w:val="00924DE1"/>
    <w:rsid w:val="0092782E"/>
    <w:rsid w:val="00994134"/>
    <w:rsid w:val="009B78A9"/>
    <w:rsid w:val="00A250D2"/>
    <w:rsid w:val="00A6448B"/>
    <w:rsid w:val="00AA5B86"/>
    <w:rsid w:val="00AD57C6"/>
    <w:rsid w:val="00B04A3D"/>
    <w:rsid w:val="00B06EA8"/>
    <w:rsid w:val="00B37E0B"/>
    <w:rsid w:val="00B46524"/>
    <w:rsid w:val="00B81B94"/>
    <w:rsid w:val="00BB48B5"/>
    <w:rsid w:val="00C07D98"/>
    <w:rsid w:val="00C12961"/>
    <w:rsid w:val="00C269C2"/>
    <w:rsid w:val="00C42694"/>
    <w:rsid w:val="00C64B83"/>
    <w:rsid w:val="00C71F90"/>
    <w:rsid w:val="00C84CD1"/>
    <w:rsid w:val="00C84CE8"/>
    <w:rsid w:val="00C84F35"/>
    <w:rsid w:val="00CD156B"/>
    <w:rsid w:val="00CD5202"/>
    <w:rsid w:val="00CE3169"/>
    <w:rsid w:val="00D04322"/>
    <w:rsid w:val="00D05C18"/>
    <w:rsid w:val="00D34BDA"/>
    <w:rsid w:val="00D50B09"/>
    <w:rsid w:val="00D81AB3"/>
    <w:rsid w:val="00D857D4"/>
    <w:rsid w:val="00DD5D1E"/>
    <w:rsid w:val="00DD6BFF"/>
    <w:rsid w:val="00DE6865"/>
    <w:rsid w:val="00E3669E"/>
    <w:rsid w:val="00E417E6"/>
    <w:rsid w:val="00E50D3D"/>
    <w:rsid w:val="00E67558"/>
    <w:rsid w:val="00E8662E"/>
    <w:rsid w:val="00EC2DD4"/>
    <w:rsid w:val="00EF6940"/>
    <w:rsid w:val="00F57F29"/>
    <w:rsid w:val="00F77414"/>
    <w:rsid w:val="00F82B4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298"/>
    <w:pPr>
      <w:widowControl w:val="0"/>
      <w:jc w:val="both"/>
    </w:pPr>
  </w:style>
  <w:style w:type="paragraph" w:styleId="4">
    <w:name w:val="heading 4"/>
    <w:basedOn w:val="a"/>
    <w:link w:val="4Char"/>
    <w:uiPriority w:val="9"/>
    <w:qFormat/>
    <w:rsid w:val="00175A50"/>
    <w:pPr>
      <w:widowControl/>
      <w:spacing w:before="100" w:beforeAutospacing="1" w:after="100" w:afterAutospacing="1"/>
      <w:jc w:val="left"/>
      <w:outlineLvl w:val="3"/>
    </w:pPr>
    <w:rPr>
      <w:rFonts w:ascii="宋体" w:eastAsia="宋体" w:hAnsi="宋体" w:cs="宋体"/>
      <w:b/>
      <w:bCs/>
      <w:kern w:val="0"/>
      <w:sz w:val="24"/>
      <w:szCs w:val="24"/>
    </w:rPr>
  </w:style>
  <w:style w:type="paragraph" w:styleId="5">
    <w:name w:val="heading 5"/>
    <w:basedOn w:val="a"/>
    <w:link w:val="5Char"/>
    <w:uiPriority w:val="9"/>
    <w:qFormat/>
    <w:rsid w:val="00175A50"/>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75A5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75A50"/>
    <w:rPr>
      <w:sz w:val="18"/>
      <w:szCs w:val="18"/>
    </w:rPr>
  </w:style>
  <w:style w:type="paragraph" w:styleId="a4">
    <w:name w:val="footer"/>
    <w:basedOn w:val="a"/>
    <w:link w:val="Char0"/>
    <w:uiPriority w:val="99"/>
    <w:unhideWhenUsed/>
    <w:rsid w:val="00175A50"/>
    <w:pPr>
      <w:tabs>
        <w:tab w:val="center" w:pos="4153"/>
        <w:tab w:val="right" w:pos="8306"/>
      </w:tabs>
      <w:snapToGrid w:val="0"/>
      <w:jc w:val="left"/>
    </w:pPr>
    <w:rPr>
      <w:sz w:val="18"/>
      <w:szCs w:val="18"/>
    </w:rPr>
  </w:style>
  <w:style w:type="character" w:customStyle="1" w:styleId="Char0">
    <w:name w:val="页脚 Char"/>
    <w:basedOn w:val="a0"/>
    <w:link w:val="a4"/>
    <w:uiPriority w:val="99"/>
    <w:rsid w:val="00175A50"/>
    <w:rPr>
      <w:sz w:val="18"/>
      <w:szCs w:val="18"/>
    </w:rPr>
  </w:style>
  <w:style w:type="character" w:customStyle="1" w:styleId="4Char">
    <w:name w:val="标题 4 Char"/>
    <w:basedOn w:val="a0"/>
    <w:link w:val="4"/>
    <w:uiPriority w:val="9"/>
    <w:rsid w:val="00175A50"/>
    <w:rPr>
      <w:rFonts w:ascii="宋体" w:eastAsia="宋体" w:hAnsi="宋体" w:cs="宋体"/>
      <w:b/>
      <w:bCs/>
      <w:kern w:val="0"/>
      <w:sz w:val="24"/>
      <w:szCs w:val="24"/>
    </w:rPr>
  </w:style>
  <w:style w:type="character" w:customStyle="1" w:styleId="5Char">
    <w:name w:val="标题 5 Char"/>
    <w:basedOn w:val="a0"/>
    <w:link w:val="5"/>
    <w:uiPriority w:val="9"/>
    <w:rsid w:val="00175A50"/>
    <w:rPr>
      <w:rFonts w:ascii="宋体" w:eastAsia="宋体" w:hAnsi="宋体" w:cs="宋体"/>
      <w:b/>
      <w:bCs/>
      <w:kern w:val="0"/>
      <w:sz w:val="20"/>
      <w:szCs w:val="20"/>
    </w:rPr>
  </w:style>
  <w:style w:type="paragraph" w:styleId="a5">
    <w:name w:val="Normal (Web)"/>
    <w:basedOn w:val="a"/>
    <w:uiPriority w:val="99"/>
    <w:semiHidden/>
    <w:unhideWhenUsed/>
    <w:rsid w:val="00175A50"/>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C84CD1"/>
    <w:rPr>
      <w:sz w:val="18"/>
      <w:szCs w:val="18"/>
    </w:rPr>
  </w:style>
  <w:style w:type="character" w:customStyle="1" w:styleId="Char1">
    <w:name w:val="批注框文本 Char"/>
    <w:basedOn w:val="a0"/>
    <w:link w:val="a6"/>
    <w:uiPriority w:val="99"/>
    <w:semiHidden/>
    <w:rsid w:val="00C84CD1"/>
    <w:rPr>
      <w:sz w:val="18"/>
      <w:szCs w:val="18"/>
    </w:rPr>
  </w:style>
  <w:style w:type="character" w:styleId="a7">
    <w:name w:val="annotation reference"/>
    <w:basedOn w:val="a0"/>
    <w:uiPriority w:val="99"/>
    <w:semiHidden/>
    <w:unhideWhenUsed/>
    <w:rsid w:val="00DE6865"/>
    <w:rPr>
      <w:sz w:val="21"/>
      <w:szCs w:val="21"/>
    </w:rPr>
  </w:style>
  <w:style w:type="paragraph" w:styleId="a8">
    <w:name w:val="annotation text"/>
    <w:basedOn w:val="a"/>
    <w:link w:val="Char2"/>
    <w:uiPriority w:val="99"/>
    <w:unhideWhenUsed/>
    <w:rsid w:val="00DE6865"/>
    <w:pPr>
      <w:jc w:val="left"/>
    </w:pPr>
  </w:style>
  <w:style w:type="character" w:customStyle="1" w:styleId="Char2">
    <w:name w:val="批注文字 Char"/>
    <w:basedOn w:val="a0"/>
    <w:link w:val="a8"/>
    <w:uiPriority w:val="99"/>
    <w:rsid w:val="00DE6865"/>
  </w:style>
  <w:style w:type="paragraph" w:styleId="a9">
    <w:name w:val="annotation subject"/>
    <w:basedOn w:val="a8"/>
    <w:next w:val="a8"/>
    <w:link w:val="Char3"/>
    <w:uiPriority w:val="99"/>
    <w:semiHidden/>
    <w:unhideWhenUsed/>
    <w:rsid w:val="00DE6865"/>
    <w:rPr>
      <w:b/>
      <w:bCs/>
    </w:rPr>
  </w:style>
  <w:style w:type="character" w:customStyle="1" w:styleId="Char3">
    <w:name w:val="批注主题 Char"/>
    <w:basedOn w:val="Char2"/>
    <w:link w:val="a9"/>
    <w:uiPriority w:val="99"/>
    <w:semiHidden/>
    <w:rsid w:val="00DE6865"/>
    <w:rPr>
      <w:b/>
      <w:bCs/>
    </w:rPr>
  </w:style>
  <w:style w:type="paragraph" w:styleId="aa">
    <w:name w:val="Revision"/>
    <w:hidden/>
    <w:uiPriority w:val="99"/>
    <w:semiHidden/>
    <w:rsid w:val="00871C03"/>
  </w:style>
  <w:style w:type="paragraph" w:styleId="ab">
    <w:name w:val="footnote text"/>
    <w:basedOn w:val="a"/>
    <w:link w:val="Char4"/>
    <w:uiPriority w:val="99"/>
    <w:semiHidden/>
    <w:unhideWhenUsed/>
    <w:rsid w:val="0048511F"/>
    <w:pPr>
      <w:snapToGrid w:val="0"/>
      <w:jc w:val="left"/>
    </w:pPr>
    <w:rPr>
      <w:sz w:val="18"/>
      <w:szCs w:val="18"/>
    </w:rPr>
  </w:style>
  <w:style w:type="character" w:customStyle="1" w:styleId="Char4">
    <w:name w:val="脚注文本 Char"/>
    <w:basedOn w:val="a0"/>
    <w:link w:val="ab"/>
    <w:uiPriority w:val="99"/>
    <w:semiHidden/>
    <w:rsid w:val="0048511F"/>
    <w:rPr>
      <w:sz w:val="18"/>
      <w:szCs w:val="18"/>
    </w:rPr>
  </w:style>
  <w:style w:type="character" w:styleId="ac">
    <w:name w:val="footnote reference"/>
    <w:basedOn w:val="a0"/>
    <w:uiPriority w:val="99"/>
    <w:semiHidden/>
    <w:unhideWhenUsed/>
    <w:rsid w:val="0048511F"/>
    <w:rPr>
      <w:vertAlign w:val="superscript"/>
    </w:rPr>
  </w:style>
</w:styles>
</file>

<file path=word/webSettings.xml><?xml version="1.0" encoding="utf-8"?>
<w:webSettings xmlns:r="http://schemas.openxmlformats.org/officeDocument/2006/relationships" xmlns:w="http://schemas.openxmlformats.org/wordprocessingml/2006/main">
  <w:divs>
    <w:div w:id="817109848">
      <w:bodyDiv w:val="1"/>
      <w:marLeft w:val="0"/>
      <w:marRight w:val="0"/>
      <w:marTop w:val="0"/>
      <w:marBottom w:val="0"/>
      <w:divBdr>
        <w:top w:val="none" w:sz="0" w:space="0" w:color="auto"/>
        <w:left w:val="none" w:sz="0" w:space="0" w:color="auto"/>
        <w:bottom w:val="none" w:sz="0" w:space="0" w:color="auto"/>
        <w:right w:val="none" w:sz="0" w:space="0" w:color="auto"/>
      </w:divBdr>
    </w:div>
    <w:div w:id="1153368860">
      <w:bodyDiv w:val="1"/>
      <w:marLeft w:val="0"/>
      <w:marRight w:val="0"/>
      <w:marTop w:val="0"/>
      <w:marBottom w:val="0"/>
      <w:divBdr>
        <w:top w:val="none" w:sz="0" w:space="0" w:color="auto"/>
        <w:left w:val="none" w:sz="0" w:space="0" w:color="auto"/>
        <w:bottom w:val="none" w:sz="0" w:space="0" w:color="auto"/>
        <w:right w:val="none" w:sz="0" w:space="0" w:color="auto"/>
      </w:divBdr>
    </w:div>
    <w:div w:id="129467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4206D-2194-40A9-820A-4C6E63A33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476</Words>
  <Characters>2717</Characters>
  <Application>Microsoft Office Word</Application>
  <DocSecurity>4</DocSecurity>
  <Lines>22</Lines>
  <Paragraphs>6</Paragraphs>
  <ScaleCrop>false</ScaleCrop>
  <Company/>
  <LinksUpToDate>false</LinksUpToDate>
  <CharactersWithSpaces>3187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郜梅梅</dc:creator>
  <cp:keywords/>
  <dc:description/>
  <cp:lastModifiedBy>ZHONGM</cp:lastModifiedBy>
  <cp:revision>2</cp:revision>
  <cp:lastPrinted>2022-11-21T06:32:00Z</cp:lastPrinted>
  <dcterms:created xsi:type="dcterms:W3CDTF">2022-11-21T16:01:00Z</dcterms:created>
  <dcterms:modified xsi:type="dcterms:W3CDTF">2022-11-21T16:01:00Z</dcterms:modified>
</cp:coreProperties>
</file>