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76" w:rsidRPr="00416AE4" w:rsidRDefault="00087376" w:rsidP="006E2D92">
      <w:pPr>
        <w:pStyle w:val="Default"/>
        <w:jc w:val="center"/>
        <w:rPr>
          <w:rFonts w:hAnsi="黑体"/>
          <w:sz w:val="32"/>
          <w:szCs w:val="32"/>
        </w:rPr>
      </w:pPr>
      <w:r w:rsidRPr="00416AE4">
        <w:rPr>
          <w:rFonts w:hAnsi="黑体" w:hint="eastAsia"/>
          <w:sz w:val="32"/>
          <w:szCs w:val="32"/>
        </w:rPr>
        <w:t>华宸未来基金管理有限公司关于旗下部分开放式基金</w:t>
      </w:r>
    </w:p>
    <w:p w:rsidR="00087376" w:rsidRPr="00416AE4" w:rsidRDefault="00A45A3D" w:rsidP="006E2D92">
      <w:pPr>
        <w:pStyle w:val="Default"/>
        <w:jc w:val="center"/>
        <w:rPr>
          <w:rFonts w:hAnsi="黑体"/>
          <w:sz w:val="32"/>
          <w:szCs w:val="32"/>
        </w:rPr>
      </w:pPr>
      <w:r w:rsidRPr="00416AE4">
        <w:rPr>
          <w:rFonts w:hAnsi="黑体" w:hint="eastAsia"/>
          <w:sz w:val="32"/>
          <w:szCs w:val="32"/>
        </w:rPr>
        <w:t>增加</w:t>
      </w:r>
      <w:r w:rsidR="00DF072D" w:rsidRPr="00DF072D">
        <w:rPr>
          <w:rFonts w:hAnsi="黑体" w:hint="eastAsia"/>
          <w:sz w:val="32"/>
          <w:szCs w:val="32"/>
        </w:rPr>
        <w:t>北京广源达信基金销售有限公司</w:t>
      </w:r>
      <w:r w:rsidRPr="00416AE4">
        <w:rPr>
          <w:rFonts w:hAnsi="黑体" w:hint="eastAsia"/>
          <w:sz w:val="32"/>
          <w:szCs w:val="32"/>
        </w:rPr>
        <w:t>为代销机构并参与其</w:t>
      </w:r>
      <w:r w:rsidR="00087376" w:rsidRPr="00416AE4">
        <w:rPr>
          <w:rFonts w:hAnsi="黑体" w:hint="eastAsia"/>
          <w:sz w:val="32"/>
          <w:szCs w:val="32"/>
        </w:rPr>
        <w:t>费率优惠活动的公告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A45A3D" w:rsidRPr="00AD3DE6" w:rsidRDefault="00A45A3D" w:rsidP="00A45A3D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根据华宸未来基金管理有限公司（以下简称</w:t>
      </w:r>
      <w:r w:rsidRPr="00AD3DE6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本公司</w:t>
      </w:r>
      <w:r w:rsidRPr="00AD3DE6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）与</w:t>
      </w:r>
      <w:r w:rsidR="00DF072D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北京广源达信基金销售有限公司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（以下简称</w:t>
      </w:r>
      <w:r w:rsidRPr="00AD3DE6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="00DF072D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）签署的相关基金销售服务协议，本公司决定自</w:t>
      </w:r>
      <w:r w:rsidR="00DB0665"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2022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DF072D">
        <w:rPr>
          <w:rFonts w:ascii="仿宋" w:eastAsia="仿宋" w:hAnsi="仿宋" w:cs="Calibri"/>
          <w:color w:val="000000"/>
          <w:kern w:val="0"/>
          <w:sz w:val="28"/>
          <w:szCs w:val="28"/>
        </w:rPr>
        <w:t>11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460A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2</w:t>
      </w:r>
      <w:r w:rsidR="00DF072D">
        <w:rPr>
          <w:rFonts w:ascii="仿宋" w:eastAsia="仿宋" w:hAnsi="仿宋" w:cs="Calibri"/>
          <w:color w:val="000000"/>
          <w:kern w:val="0"/>
          <w:sz w:val="28"/>
          <w:szCs w:val="28"/>
        </w:rPr>
        <w:t>3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日起，增加</w:t>
      </w:r>
      <w:r w:rsidR="00DF072D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销售代理下列基金的开户、</w:t>
      </w:r>
      <w:r w:rsidR="00CA4F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认购、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申购、定期定额投资、赎回及转换等业务，同时参与其费率优惠活动。具体公告如下：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一、适用基金范围</w:t>
      </w:r>
    </w:p>
    <w:p w:rsidR="00A45A3D" w:rsidRPr="00933F24" w:rsidRDefault="00933F24" w:rsidP="00933F24">
      <w:pPr>
        <w:rPr>
          <w:rFonts w:ascii="仿宋" w:eastAsia="仿宋" w:hAnsi="仿宋"/>
          <w:sz w:val="28"/>
          <w:szCs w:val="28"/>
        </w:rPr>
      </w:pPr>
      <w:r w:rsidRPr="00B237D5">
        <w:rPr>
          <w:rFonts w:ascii="仿宋" w:eastAsia="仿宋" w:hAnsi="仿宋" w:hint="eastAsia"/>
          <w:sz w:val="28"/>
          <w:szCs w:val="28"/>
        </w:rPr>
        <w:t>华宸未来稳健添利债券型证券投资基金</w:t>
      </w:r>
      <w:r w:rsidRPr="00B237D5">
        <w:rPr>
          <w:rFonts w:ascii="仿宋" w:eastAsia="仿宋" w:hAnsi="仿宋"/>
          <w:sz w:val="28"/>
          <w:szCs w:val="28"/>
        </w:rPr>
        <w:t>A 类（基金代码：000104）、华宸未来稳健添利债券型证券投资基金C 类（基金代码：006258）、华宸未来价值先锋混合型发起式证券投资基金（基金代码：008135）、华宸未来稳健添盈债券型证券投资基金A类（基金代码：014500）和华宸未来稳健添盈债券型证券投资基金C类（基金代码：014501），以及费率优惠期限内，本公司新增通过</w:t>
      </w:r>
      <w:r w:rsidR="00532E5E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B237D5">
        <w:rPr>
          <w:rFonts w:ascii="仿宋" w:eastAsia="仿宋" w:hAnsi="仿宋"/>
          <w:sz w:val="28"/>
          <w:szCs w:val="28"/>
        </w:rPr>
        <w:t>代销的其他基金产品。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二、费率优惠活动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1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、费率优惠内容</w:t>
      </w:r>
    </w:p>
    <w:p w:rsidR="00A45A3D" w:rsidRPr="00AD3DE6" w:rsidRDefault="00A45A3D" w:rsidP="009E5E2E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</w:t>
      </w:r>
      <w:r w:rsidR="009E5E2E"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2022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532E5E">
        <w:rPr>
          <w:rFonts w:ascii="仿宋" w:eastAsia="仿宋" w:hAnsi="仿宋" w:cs="Calibri"/>
          <w:color w:val="000000"/>
          <w:kern w:val="0"/>
          <w:sz w:val="28"/>
          <w:szCs w:val="28"/>
        </w:rPr>
        <w:t>11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460A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2</w:t>
      </w:r>
      <w:r w:rsidR="00532E5E">
        <w:rPr>
          <w:rFonts w:ascii="仿宋" w:eastAsia="仿宋" w:hAnsi="仿宋" w:cs="Calibri"/>
          <w:color w:val="000000"/>
          <w:kern w:val="0"/>
          <w:sz w:val="28"/>
          <w:szCs w:val="28"/>
        </w:rPr>
        <w:t>3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日起，投资者通过</w:t>
      </w:r>
      <w:r w:rsidR="00532E5E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申购（含定期定额申购）的上述指定基金（限前端收费模式），享受申购（含定期定额申购）费率优惠，具体折扣费率以</w:t>
      </w:r>
      <w:r w:rsidR="00532E5E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官方平台公示为准。原申购费率为固定费用的，不享受优惠，按固定费用执行。基金原费率请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详见基金《基金合同》、《招募说明书》（含更新）、《基金产品资料概要》（含更新）等法律文件，以及本公司发布的最新业务公告。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、费率优惠期限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</w:t>
      </w:r>
      <w:r w:rsidR="00532E5E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="00C45D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官方平台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所示公告为准，本公司不再另行公告。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三、投资者可通过以下途径咨询有关详情</w:t>
      </w:r>
    </w:p>
    <w:p w:rsidR="00C908BC" w:rsidRPr="00AD3DE6" w:rsidRDefault="00A45A3D" w:rsidP="00C908BC">
      <w:pPr>
        <w:autoSpaceDE w:val="0"/>
        <w:autoSpaceDN w:val="0"/>
        <w:adjustRightInd w:val="0"/>
        <w:jc w:val="lef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1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32E5E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北京广源达信基金销售有限公司</w:t>
      </w:r>
    </w:p>
    <w:p w:rsidR="00A45A3D" w:rsidRPr="00AD3DE6" w:rsidRDefault="00A45A3D" w:rsidP="00C908BC">
      <w:pPr>
        <w:autoSpaceDE w:val="0"/>
        <w:autoSpaceDN w:val="0"/>
        <w:adjustRightInd w:val="0"/>
        <w:jc w:val="lef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网址</w:t>
      </w:r>
      <w:r w:rsidRPr="00AD3DE6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：</w:t>
      </w:r>
      <w:r w:rsidR="00532E5E" w:rsidRPr="00532E5E">
        <w:rPr>
          <w:rFonts w:ascii="仿宋" w:eastAsia="仿宋" w:hAnsi="仿宋" w:cs="Calibri"/>
          <w:color w:val="000000"/>
          <w:kern w:val="0"/>
          <w:sz w:val="28"/>
          <w:szCs w:val="28"/>
        </w:rPr>
        <w:t>www.niuniufund.com</w:t>
      </w:r>
    </w:p>
    <w:p w:rsidR="00A45A3D" w:rsidRPr="00AD3DE6" w:rsidRDefault="00A45A3D" w:rsidP="00C908BC">
      <w:pPr>
        <w:autoSpaceDE w:val="0"/>
        <w:autoSpaceDN w:val="0"/>
        <w:adjustRightInd w:val="0"/>
        <w:jc w:val="lef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客户服务电话：</w:t>
      </w:r>
      <w:r w:rsidR="00EA604F">
        <w:rPr>
          <w:rFonts w:ascii="仿宋" w:eastAsia="仿宋" w:hAnsi="仿宋" w:cs="宋体"/>
          <w:color w:val="000000"/>
          <w:kern w:val="0"/>
          <w:sz w:val="28"/>
          <w:szCs w:val="28"/>
        </w:rPr>
        <w:t>400-616-753</w:t>
      </w:r>
      <w:r w:rsidR="00C908BC" w:rsidRPr="00C908BC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、华宸未来基金管理有限公司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网址：</w:t>
      </w: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www.hcmiraefund.com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客户服务电话：</w:t>
      </w: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400-920-0699</w:t>
      </w:r>
    </w:p>
    <w:p w:rsidR="00CA19FE" w:rsidRPr="00AD3DE6" w:rsidRDefault="00A45A3D" w:rsidP="00CA19FE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四、重要提示</w:t>
      </w:r>
    </w:p>
    <w:p w:rsidR="00A45A3D" w:rsidRPr="00AD3DE6" w:rsidRDefault="00A45A3D" w:rsidP="00CA19FE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1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基金转换是指基金份额持有人按照《基金合同》和基金管理人届时有效公告规定的条件，申请将其持有基金管理人管理的、某一基金的基金份额转为基金管理人管理的、且由同一注册登记机构办理注册登记的其他基金基金份额的行为。基金转换业务规则与转换费用请仔细阅读各基金的基金合同、招募说明书（含更新）等法律文件及相关公告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、本优惠仅适用于处于正常申购期手续费，不包括基金认购、赎回、转换等其他业务的基金手续费。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3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、本次业务办理的具体时间、流程以</w:t>
      </w:r>
      <w:r w:rsidR="001D1D42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安排和规定为准。</w:t>
      </w:r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4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、本次优惠活动的解释权归</w:t>
      </w:r>
      <w:r w:rsidR="001D1D42" w:rsidRPr="00DF0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广源达信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所有。</w:t>
      </w:r>
      <w:bookmarkStart w:id="0" w:name="_GoBack"/>
      <w:bookmarkEnd w:id="0"/>
    </w:p>
    <w:p w:rsidR="00A45A3D" w:rsidRPr="00AD3DE6" w:rsidRDefault="00A45A3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lastRenderedPageBreak/>
        <w:t>5</w:t>
      </w: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、投资者欲了解上述基金的详细情况，请仔细阅读上述基金的基金合同、基金招募说明书（含更新）、《基金产品资料概要》（含更新）等法律文件。</w:t>
      </w:r>
    </w:p>
    <w:p w:rsidR="00A45A3D" w:rsidRPr="00AD3DE6" w:rsidRDefault="00A45A3D" w:rsidP="0009694D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风险提示：华宸未来基金承诺以诚实信用、勤勉尽责的原则管理和运用基金资产，但不保证基金一定盈利，也不保证最低收益。敬请投资者留意投资风险。</w:t>
      </w:r>
    </w:p>
    <w:p w:rsidR="00A45A3D" w:rsidRPr="00AD3DE6" w:rsidRDefault="00A45A3D" w:rsidP="0009694D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特此公告。</w:t>
      </w:r>
    </w:p>
    <w:p w:rsidR="0009694D" w:rsidRDefault="0009694D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0162B" w:rsidRPr="00AD3DE6" w:rsidRDefault="0070162B" w:rsidP="00A45A3D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45A3D" w:rsidRPr="00AD3DE6" w:rsidRDefault="00A45A3D" w:rsidP="0009694D">
      <w:pPr>
        <w:autoSpaceDE w:val="0"/>
        <w:autoSpaceDN w:val="0"/>
        <w:adjustRightInd w:val="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华宸未来基金管理有限公司</w:t>
      </w:r>
    </w:p>
    <w:p w:rsidR="004D72CD" w:rsidRPr="00A45A3D" w:rsidRDefault="005E2362" w:rsidP="0009694D">
      <w:pPr>
        <w:jc w:val="right"/>
        <w:rPr>
          <w:rFonts w:ascii="仿宋" w:eastAsia="仿宋" w:hAnsi="仿宋"/>
          <w:sz w:val="28"/>
          <w:szCs w:val="28"/>
        </w:rPr>
      </w:pPr>
      <w:r w:rsidRPr="00AD3DE6">
        <w:rPr>
          <w:rFonts w:ascii="仿宋" w:eastAsia="仿宋" w:hAnsi="仿宋" w:cs="Calibri"/>
          <w:color w:val="000000"/>
          <w:kern w:val="0"/>
          <w:sz w:val="28"/>
          <w:szCs w:val="28"/>
        </w:rPr>
        <w:t>2022</w:t>
      </w:r>
      <w:r w:rsidR="00A45A3D"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D1CAE">
        <w:rPr>
          <w:rFonts w:ascii="仿宋" w:eastAsia="仿宋" w:hAnsi="仿宋" w:cs="Calibri"/>
          <w:color w:val="000000"/>
          <w:kern w:val="0"/>
          <w:sz w:val="28"/>
          <w:szCs w:val="28"/>
        </w:rPr>
        <w:t>11</w:t>
      </w:r>
      <w:r w:rsidR="00A45A3D"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CD1CAE">
        <w:rPr>
          <w:rFonts w:ascii="仿宋" w:eastAsia="仿宋" w:hAnsi="仿宋" w:cs="宋体"/>
          <w:color w:val="000000"/>
          <w:kern w:val="0"/>
          <w:sz w:val="28"/>
          <w:szCs w:val="28"/>
        </w:rPr>
        <w:t>22</w:t>
      </w:r>
      <w:r w:rsidR="00A45A3D" w:rsidRPr="00AD3D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4D72CD" w:rsidRPr="00A45A3D" w:rsidSect="00DE4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1F" w:rsidRDefault="00376F1F" w:rsidP="000460AB">
      <w:r>
        <w:separator/>
      </w:r>
    </w:p>
  </w:endnote>
  <w:endnote w:type="continuationSeparator" w:id="0">
    <w:p w:rsidR="00376F1F" w:rsidRDefault="00376F1F" w:rsidP="0004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1F" w:rsidRDefault="00376F1F" w:rsidP="000460AB">
      <w:r>
        <w:separator/>
      </w:r>
    </w:p>
  </w:footnote>
  <w:footnote w:type="continuationSeparator" w:id="0">
    <w:p w:rsidR="00376F1F" w:rsidRDefault="00376F1F" w:rsidP="00046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257"/>
    <w:rsid w:val="000460AB"/>
    <w:rsid w:val="00087376"/>
    <w:rsid w:val="0009694D"/>
    <w:rsid w:val="000A2D8F"/>
    <w:rsid w:val="001658C8"/>
    <w:rsid w:val="001B724A"/>
    <w:rsid w:val="001D1D42"/>
    <w:rsid w:val="0021111A"/>
    <w:rsid w:val="00231257"/>
    <w:rsid w:val="003001ED"/>
    <w:rsid w:val="003321C9"/>
    <w:rsid w:val="00376F1F"/>
    <w:rsid w:val="00416AE4"/>
    <w:rsid w:val="004D72CD"/>
    <w:rsid w:val="004D76B8"/>
    <w:rsid w:val="00532E5E"/>
    <w:rsid w:val="0056548E"/>
    <w:rsid w:val="005A527C"/>
    <w:rsid w:val="005E2362"/>
    <w:rsid w:val="00611DA8"/>
    <w:rsid w:val="006E2D92"/>
    <w:rsid w:val="0070162B"/>
    <w:rsid w:val="00734CC1"/>
    <w:rsid w:val="007D404F"/>
    <w:rsid w:val="00910665"/>
    <w:rsid w:val="00926F85"/>
    <w:rsid w:val="00933F24"/>
    <w:rsid w:val="009605E1"/>
    <w:rsid w:val="0096759D"/>
    <w:rsid w:val="009A59C9"/>
    <w:rsid w:val="009E5E2E"/>
    <w:rsid w:val="009E71A5"/>
    <w:rsid w:val="00A42E2B"/>
    <w:rsid w:val="00A45A3D"/>
    <w:rsid w:val="00A51F7E"/>
    <w:rsid w:val="00AD3DE6"/>
    <w:rsid w:val="00AE21FE"/>
    <w:rsid w:val="00B33C00"/>
    <w:rsid w:val="00B7073A"/>
    <w:rsid w:val="00BF2CE0"/>
    <w:rsid w:val="00C45D7E"/>
    <w:rsid w:val="00C908BC"/>
    <w:rsid w:val="00CA19FE"/>
    <w:rsid w:val="00CA4FA1"/>
    <w:rsid w:val="00CD1CAE"/>
    <w:rsid w:val="00CD5DB5"/>
    <w:rsid w:val="00D6390C"/>
    <w:rsid w:val="00DB0665"/>
    <w:rsid w:val="00DD1B38"/>
    <w:rsid w:val="00DE49D3"/>
    <w:rsid w:val="00DF072D"/>
    <w:rsid w:val="00DF7BB6"/>
    <w:rsid w:val="00E46DBC"/>
    <w:rsid w:val="00E5339E"/>
    <w:rsid w:val="00EA604F"/>
    <w:rsid w:val="00F11A3C"/>
    <w:rsid w:val="00F56C96"/>
    <w:rsid w:val="00F91544"/>
    <w:rsid w:val="00F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37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F2CE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46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60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ZHONGM</cp:lastModifiedBy>
  <cp:revision>2</cp:revision>
  <dcterms:created xsi:type="dcterms:W3CDTF">2022-11-21T16:01:00Z</dcterms:created>
  <dcterms:modified xsi:type="dcterms:W3CDTF">2022-11-21T16:01:00Z</dcterms:modified>
</cp:coreProperties>
</file>