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24" w:rsidRDefault="00B22524" w:rsidP="00B22524">
      <w:pPr>
        <w:jc w:val="center"/>
        <w:rPr>
          <w:b/>
          <w:sz w:val="32"/>
        </w:rPr>
      </w:pPr>
      <w:r w:rsidRPr="00B22524">
        <w:rPr>
          <w:rFonts w:hint="eastAsia"/>
          <w:b/>
          <w:sz w:val="32"/>
        </w:rPr>
        <w:t>恒生前海</w:t>
      </w:r>
      <w:r w:rsidR="007A31DA">
        <w:rPr>
          <w:rFonts w:hint="eastAsia"/>
          <w:b/>
          <w:sz w:val="32"/>
        </w:rPr>
        <w:t>恒源丰利债券</w:t>
      </w:r>
      <w:r w:rsidR="00537F91">
        <w:rPr>
          <w:rFonts w:hint="eastAsia"/>
          <w:b/>
          <w:sz w:val="32"/>
        </w:rPr>
        <w:t>型</w:t>
      </w:r>
      <w:r w:rsidR="006E1235">
        <w:rPr>
          <w:rFonts w:hint="eastAsia"/>
          <w:b/>
          <w:sz w:val="32"/>
        </w:rPr>
        <w:t>证券投资</w:t>
      </w:r>
      <w:r w:rsidRPr="00B22524">
        <w:rPr>
          <w:rFonts w:hint="eastAsia"/>
          <w:b/>
          <w:sz w:val="32"/>
        </w:rPr>
        <w:t>基金开放</w:t>
      </w:r>
    </w:p>
    <w:p w:rsidR="00E0146C" w:rsidRDefault="00B22524" w:rsidP="00B22524">
      <w:pPr>
        <w:jc w:val="center"/>
        <w:rPr>
          <w:b/>
          <w:sz w:val="32"/>
        </w:rPr>
      </w:pPr>
      <w:r w:rsidRPr="00B22524">
        <w:rPr>
          <w:rFonts w:hint="eastAsia"/>
          <w:b/>
          <w:sz w:val="32"/>
        </w:rPr>
        <w:t>日常申购（赎回、转换、定期定额投资）业务</w:t>
      </w:r>
      <w:r>
        <w:rPr>
          <w:rFonts w:hint="eastAsia"/>
          <w:b/>
          <w:sz w:val="32"/>
        </w:rPr>
        <w:t>的</w:t>
      </w:r>
      <w:r w:rsidRPr="00B22524">
        <w:rPr>
          <w:rFonts w:hint="eastAsia"/>
          <w:b/>
          <w:sz w:val="32"/>
        </w:rPr>
        <w:t>公告</w:t>
      </w:r>
    </w:p>
    <w:p w:rsidR="00B22524" w:rsidRDefault="00B22524" w:rsidP="00B22524">
      <w:pPr>
        <w:jc w:val="center"/>
        <w:rPr>
          <w:b/>
          <w:sz w:val="32"/>
        </w:rPr>
      </w:pPr>
      <w:bookmarkStart w:id="0" w:name="_GoBack"/>
      <w:bookmarkEnd w:id="0"/>
    </w:p>
    <w:p w:rsidR="00B22524" w:rsidRPr="00B22524" w:rsidRDefault="00B22524" w:rsidP="006E1235">
      <w:pPr>
        <w:widowControl/>
        <w:shd w:val="clear" w:color="auto" w:fill="FFFFFF"/>
        <w:spacing w:before="120" w:after="12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1 公告基本信息</w:t>
      </w:r>
    </w:p>
    <w:tbl>
      <w:tblPr>
        <w:tblW w:w="9639" w:type="dxa"/>
        <w:tblInd w:w="-57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tblPr>
      <w:tblGrid>
        <w:gridCol w:w="2835"/>
        <w:gridCol w:w="3261"/>
        <w:gridCol w:w="3543"/>
      </w:tblGrid>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基金名称</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rsidP="00537F91">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sidRPr="00B22524">
              <w:rPr>
                <w:rFonts w:asciiTheme="minorEastAsia" w:hAnsiTheme="minorEastAsia" w:cs="宋体" w:hint="eastAsia"/>
                <w:color w:val="333333"/>
                <w:kern w:val="0"/>
                <w:sz w:val="24"/>
                <w:szCs w:val="24"/>
              </w:rPr>
              <w:t>型证券投资基金</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基金简称</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74017B" w:rsidRDefault="00B22524" w:rsidP="00B22524">
            <w:pPr>
              <w:widowControl/>
              <w:spacing w:line="276" w:lineRule="auto"/>
              <w:jc w:val="center"/>
              <w:rPr>
                <w:rFonts w:asciiTheme="minorEastAsia" w:hAnsiTheme="minorEastAsia" w:cs="宋体"/>
                <w:color w:val="333333"/>
                <w:kern w:val="0"/>
                <w:sz w:val="24"/>
                <w:szCs w:val="24"/>
              </w:rPr>
            </w:pPr>
            <w:r w:rsidRPr="0074017B">
              <w:rPr>
                <w:rFonts w:asciiTheme="minorEastAsia" w:hAnsiTheme="minorEastAsia" w:cs="宋体" w:hint="eastAsia"/>
                <w:color w:val="333333"/>
                <w:kern w:val="0"/>
                <w:sz w:val="24"/>
                <w:szCs w:val="24"/>
              </w:rPr>
              <w:t>基金主代码</w:t>
            </w:r>
          </w:p>
        </w:tc>
        <w:tc>
          <w:tcPr>
            <w:tcW w:w="6804" w:type="dxa"/>
            <w:gridSpan w:val="2"/>
            <w:shd w:val="clear" w:color="auto" w:fill="FFFFFF"/>
            <w:tcMar>
              <w:top w:w="0" w:type="dxa"/>
              <w:left w:w="30" w:type="dxa"/>
              <w:bottom w:w="0" w:type="dxa"/>
              <w:right w:w="30" w:type="dxa"/>
            </w:tcMar>
            <w:vAlign w:val="center"/>
            <w:hideMark/>
          </w:tcPr>
          <w:p w:rsidR="00B22524" w:rsidRPr="008B2202" w:rsidRDefault="007A31DA"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016359</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基金运作方式</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契约型开放式</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基金合同生效日</w:t>
            </w:r>
          </w:p>
        </w:tc>
        <w:tc>
          <w:tcPr>
            <w:tcW w:w="6804" w:type="dxa"/>
            <w:gridSpan w:val="2"/>
            <w:shd w:val="clear" w:color="auto" w:fill="FFFFFF"/>
            <w:tcMar>
              <w:top w:w="0" w:type="dxa"/>
              <w:left w:w="30" w:type="dxa"/>
              <w:bottom w:w="0" w:type="dxa"/>
              <w:right w:w="30" w:type="dxa"/>
            </w:tcMar>
            <w:vAlign w:val="center"/>
            <w:hideMark/>
          </w:tcPr>
          <w:p w:rsidR="00B22524" w:rsidRPr="00B22524" w:rsidRDefault="007A31DA" w:rsidP="00C65759">
            <w:pPr>
              <w:widowControl/>
              <w:spacing w:line="276" w:lineRule="auto"/>
              <w:jc w:val="center"/>
              <w:rPr>
                <w:rFonts w:asciiTheme="minorEastAsia" w:hAnsiTheme="minorEastAsia" w:cs="宋体"/>
                <w:color w:val="333333"/>
                <w:kern w:val="0"/>
                <w:sz w:val="24"/>
                <w:szCs w:val="24"/>
              </w:rPr>
            </w:pPr>
            <w:r w:rsidRPr="00CE1423">
              <w:rPr>
                <w:rFonts w:asciiTheme="minorEastAsia" w:hAnsiTheme="minorEastAsia" w:cs="宋体"/>
                <w:color w:val="333333"/>
                <w:kern w:val="0"/>
                <w:sz w:val="24"/>
                <w:szCs w:val="24"/>
              </w:rPr>
              <w:t>2022</w:t>
            </w:r>
            <w:r w:rsidRPr="00CE1423">
              <w:rPr>
                <w:rFonts w:asciiTheme="minorEastAsia" w:hAnsiTheme="minorEastAsia" w:cs="宋体" w:hint="eastAsia"/>
                <w:color w:val="333333"/>
                <w:kern w:val="0"/>
                <w:sz w:val="24"/>
                <w:szCs w:val="24"/>
              </w:rPr>
              <w:t>年</w:t>
            </w:r>
            <w:r w:rsidRPr="00CE1423">
              <w:rPr>
                <w:rFonts w:asciiTheme="minorEastAsia" w:hAnsiTheme="minorEastAsia" w:cs="宋体"/>
                <w:color w:val="333333"/>
                <w:kern w:val="0"/>
                <w:sz w:val="24"/>
                <w:szCs w:val="24"/>
              </w:rPr>
              <w:t>11</w:t>
            </w:r>
            <w:r w:rsidR="00B22524" w:rsidRPr="00CE1423">
              <w:rPr>
                <w:rFonts w:asciiTheme="minorEastAsia" w:hAnsiTheme="minorEastAsia" w:cs="宋体" w:hint="eastAsia"/>
                <w:color w:val="333333"/>
                <w:kern w:val="0"/>
                <w:sz w:val="24"/>
                <w:szCs w:val="24"/>
              </w:rPr>
              <w:t>月</w:t>
            </w:r>
            <w:r w:rsidRPr="00CE1423">
              <w:rPr>
                <w:rFonts w:asciiTheme="minorEastAsia" w:hAnsiTheme="minorEastAsia" w:cs="宋体"/>
                <w:color w:val="333333"/>
                <w:kern w:val="0"/>
                <w:sz w:val="24"/>
                <w:szCs w:val="24"/>
              </w:rPr>
              <w:t>16</w:t>
            </w:r>
            <w:r w:rsidR="00B22524" w:rsidRPr="00CE1423">
              <w:rPr>
                <w:rFonts w:asciiTheme="minorEastAsia" w:hAnsiTheme="minorEastAsia" w:cs="宋体" w:hint="eastAsia"/>
                <w:color w:val="333333"/>
                <w:kern w:val="0"/>
                <w:sz w:val="24"/>
                <w:szCs w:val="24"/>
              </w:rPr>
              <w:t>日</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基金管理人名称</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恒生前海基金管理有限公司</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基金托管人名称</w:t>
            </w:r>
          </w:p>
        </w:tc>
        <w:tc>
          <w:tcPr>
            <w:tcW w:w="6804" w:type="dxa"/>
            <w:gridSpan w:val="2"/>
            <w:shd w:val="clear" w:color="auto" w:fill="FFFFFF"/>
            <w:tcMar>
              <w:top w:w="0" w:type="dxa"/>
              <w:left w:w="30" w:type="dxa"/>
              <w:bottom w:w="0" w:type="dxa"/>
              <w:right w:w="30" w:type="dxa"/>
            </w:tcMar>
            <w:vAlign w:val="center"/>
            <w:hideMark/>
          </w:tcPr>
          <w:p w:rsidR="00B22524" w:rsidRPr="00B22524" w:rsidRDefault="007A31DA" w:rsidP="00B22524">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中国农业银行股份有限公司</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基金注册登记机构名称</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恒生前海基金管理有限公司</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公告依据</w:t>
            </w:r>
          </w:p>
        </w:tc>
        <w:tc>
          <w:tcPr>
            <w:tcW w:w="6804" w:type="dxa"/>
            <w:gridSpan w:val="2"/>
            <w:shd w:val="clear" w:color="auto" w:fill="FFFFFF"/>
            <w:tcMar>
              <w:top w:w="0" w:type="dxa"/>
              <w:left w:w="30" w:type="dxa"/>
              <w:bottom w:w="0" w:type="dxa"/>
              <w:right w:w="30" w:type="dxa"/>
            </w:tcMar>
            <w:vAlign w:val="center"/>
            <w:hideMark/>
          </w:tcPr>
          <w:p w:rsidR="00B22524" w:rsidRPr="00B22524" w:rsidRDefault="00B22524" w:rsidP="006E1235">
            <w:pPr>
              <w:widowControl/>
              <w:spacing w:line="276"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证券投资基金基金合同（以下简称“基金合同”）和《恒生前海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证券投资基金招募说明书》（以下简称“招募说明书”）的有关规定。</w:t>
            </w:r>
          </w:p>
        </w:tc>
      </w:tr>
      <w:tr w:rsidR="00B22524" w:rsidRPr="00B22524" w:rsidTr="006E1235">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申购起始日</w:t>
            </w:r>
          </w:p>
        </w:tc>
        <w:tc>
          <w:tcPr>
            <w:tcW w:w="6804" w:type="dxa"/>
            <w:gridSpan w:val="2"/>
            <w:shd w:val="clear" w:color="auto" w:fill="FFFFFF"/>
            <w:tcMar>
              <w:top w:w="0" w:type="dxa"/>
              <w:left w:w="30" w:type="dxa"/>
              <w:bottom w:w="0" w:type="dxa"/>
              <w:right w:w="30" w:type="dxa"/>
            </w:tcMar>
            <w:vAlign w:val="center"/>
            <w:hideMark/>
          </w:tcPr>
          <w:p w:rsidR="00B22524" w:rsidRPr="00B22524" w:rsidRDefault="008065E0" w:rsidP="00C65759">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20</w:t>
            </w:r>
            <w:r>
              <w:rPr>
                <w:rFonts w:asciiTheme="minorEastAsia" w:hAnsiTheme="minorEastAsia" w:cs="宋体"/>
                <w:color w:val="333333"/>
                <w:kern w:val="0"/>
                <w:sz w:val="24"/>
                <w:szCs w:val="24"/>
              </w:rPr>
              <w:t>22</w:t>
            </w:r>
            <w:r w:rsidRPr="00B22524">
              <w:rPr>
                <w:rFonts w:asciiTheme="minorEastAsia" w:hAnsiTheme="minorEastAsia" w:cs="宋体" w:hint="eastAsia"/>
                <w:color w:val="333333"/>
                <w:kern w:val="0"/>
                <w:sz w:val="24"/>
                <w:szCs w:val="24"/>
              </w:rPr>
              <w:t>年</w:t>
            </w:r>
            <w:r w:rsidR="007A31DA">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7A31DA">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p>
        </w:tc>
      </w:tr>
      <w:tr w:rsidR="006E1235" w:rsidRPr="00B22524" w:rsidTr="006E1235">
        <w:tc>
          <w:tcPr>
            <w:tcW w:w="2835" w:type="dxa"/>
            <w:shd w:val="clear" w:color="auto" w:fill="FFFFFF"/>
            <w:tcMar>
              <w:top w:w="0" w:type="dxa"/>
              <w:left w:w="30" w:type="dxa"/>
              <w:bottom w:w="0" w:type="dxa"/>
              <w:right w:w="30" w:type="dxa"/>
            </w:tcMar>
            <w:vAlign w:val="center"/>
            <w:hideMark/>
          </w:tcPr>
          <w:p w:rsidR="006E1235" w:rsidRPr="00B22524" w:rsidRDefault="006E1235" w:rsidP="006E1235">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赎回起始日</w:t>
            </w:r>
          </w:p>
        </w:tc>
        <w:tc>
          <w:tcPr>
            <w:tcW w:w="6804" w:type="dxa"/>
            <w:gridSpan w:val="2"/>
            <w:shd w:val="clear" w:color="auto" w:fill="FFFFFF"/>
            <w:tcMar>
              <w:top w:w="0" w:type="dxa"/>
              <w:left w:w="30" w:type="dxa"/>
              <w:bottom w:w="0" w:type="dxa"/>
              <w:right w:w="30" w:type="dxa"/>
            </w:tcMar>
            <w:hideMark/>
          </w:tcPr>
          <w:p w:rsidR="006E1235" w:rsidRDefault="008065E0" w:rsidP="00C65759">
            <w:pPr>
              <w:jc w:val="center"/>
            </w:pPr>
            <w:r w:rsidRPr="00B22524">
              <w:rPr>
                <w:rFonts w:asciiTheme="minorEastAsia" w:hAnsiTheme="minorEastAsia" w:cs="宋体" w:hint="eastAsia"/>
                <w:color w:val="333333"/>
                <w:kern w:val="0"/>
                <w:sz w:val="24"/>
                <w:szCs w:val="24"/>
              </w:rPr>
              <w:t>20</w:t>
            </w:r>
            <w:r w:rsidRPr="00564E5A">
              <w:rPr>
                <w:rFonts w:asciiTheme="minorEastAsia" w:hAnsiTheme="minorEastAsia" w:cs="宋体"/>
                <w:color w:val="333333"/>
                <w:kern w:val="0"/>
                <w:sz w:val="24"/>
                <w:szCs w:val="24"/>
              </w:rPr>
              <w:t>2</w:t>
            </w:r>
            <w:r>
              <w:rPr>
                <w:rFonts w:asciiTheme="minorEastAsia" w:hAnsiTheme="minorEastAsia" w:cs="宋体"/>
                <w:color w:val="333333"/>
                <w:kern w:val="0"/>
                <w:sz w:val="24"/>
                <w:szCs w:val="24"/>
              </w:rPr>
              <w:t>2</w:t>
            </w:r>
            <w:r w:rsidRPr="00B22524">
              <w:rPr>
                <w:rFonts w:asciiTheme="minorEastAsia" w:hAnsiTheme="minorEastAsia" w:cs="宋体" w:hint="eastAsia"/>
                <w:color w:val="333333"/>
                <w:kern w:val="0"/>
                <w:sz w:val="24"/>
                <w:szCs w:val="24"/>
              </w:rPr>
              <w:t>年</w:t>
            </w:r>
            <w:r w:rsidR="007A31DA">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7A31DA">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p>
        </w:tc>
      </w:tr>
      <w:tr w:rsidR="006E1235" w:rsidRPr="00B22524" w:rsidTr="006E1235">
        <w:tc>
          <w:tcPr>
            <w:tcW w:w="2835" w:type="dxa"/>
            <w:shd w:val="clear" w:color="auto" w:fill="FFFFFF"/>
            <w:tcMar>
              <w:top w:w="0" w:type="dxa"/>
              <w:left w:w="30" w:type="dxa"/>
              <w:bottom w:w="0" w:type="dxa"/>
              <w:right w:w="30" w:type="dxa"/>
            </w:tcMar>
            <w:vAlign w:val="center"/>
            <w:hideMark/>
          </w:tcPr>
          <w:p w:rsidR="006E1235" w:rsidRPr="00B22524" w:rsidRDefault="006E1235" w:rsidP="006E1235">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转换转入起始日</w:t>
            </w:r>
          </w:p>
        </w:tc>
        <w:tc>
          <w:tcPr>
            <w:tcW w:w="6804" w:type="dxa"/>
            <w:gridSpan w:val="2"/>
            <w:shd w:val="clear" w:color="auto" w:fill="FFFFFF"/>
            <w:tcMar>
              <w:top w:w="0" w:type="dxa"/>
              <w:left w:w="30" w:type="dxa"/>
              <w:bottom w:w="0" w:type="dxa"/>
              <w:right w:w="30" w:type="dxa"/>
            </w:tcMar>
            <w:hideMark/>
          </w:tcPr>
          <w:p w:rsidR="006E1235" w:rsidRDefault="007A31DA" w:rsidP="00C65759">
            <w:pPr>
              <w:jc w:val="center"/>
            </w:pPr>
            <w:r w:rsidRPr="00B22524">
              <w:rPr>
                <w:rFonts w:asciiTheme="minorEastAsia" w:hAnsiTheme="minorEastAsia" w:cs="宋体" w:hint="eastAsia"/>
                <w:color w:val="333333"/>
                <w:kern w:val="0"/>
                <w:sz w:val="24"/>
                <w:szCs w:val="24"/>
              </w:rPr>
              <w:t>20</w:t>
            </w:r>
            <w:r w:rsidRPr="00564E5A">
              <w:rPr>
                <w:rFonts w:asciiTheme="minorEastAsia" w:hAnsiTheme="minorEastAsia" w:cs="宋体"/>
                <w:color w:val="333333"/>
                <w:kern w:val="0"/>
                <w:sz w:val="24"/>
                <w:szCs w:val="24"/>
              </w:rPr>
              <w:t>2</w:t>
            </w:r>
            <w:r>
              <w:rPr>
                <w:rFonts w:asciiTheme="minorEastAsia" w:hAnsiTheme="minorEastAsia" w:cs="宋体"/>
                <w:color w:val="333333"/>
                <w:kern w:val="0"/>
                <w:sz w:val="24"/>
                <w:szCs w:val="24"/>
              </w:rPr>
              <w:t>2</w:t>
            </w:r>
            <w:r w:rsidRPr="00B22524">
              <w:rPr>
                <w:rFonts w:asciiTheme="minorEastAsia" w:hAnsiTheme="minorEastAsia" w:cs="宋体" w:hint="eastAsia"/>
                <w:color w:val="333333"/>
                <w:kern w:val="0"/>
                <w:sz w:val="24"/>
                <w:szCs w:val="24"/>
              </w:rPr>
              <w:t>年</w:t>
            </w:r>
            <w:r>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p>
        </w:tc>
      </w:tr>
      <w:tr w:rsidR="006E1235" w:rsidRPr="00B22524" w:rsidTr="006E1235">
        <w:tc>
          <w:tcPr>
            <w:tcW w:w="2835" w:type="dxa"/>
            <w:shd w:val="clear" w:color="auto" w:fill="FFFFFF"/>
            <w:tcMar>
              <w:top w:w="0" w:type="dxa"/>
              <w:left w:w="30" w:type="dxa"/>
              <w:bottom w:w="0" w:type="dxa"/>
              <w:right w:w="30" w:type="dxa"/>
            </w:tcMar>
            <w:vAlign w:val="center"/>
            <w:hideMark/>
          </w:tcPr>
          <w:p w:rsidR="006E1235" w:rsidRPr="00B22524" w:rsidRDefault="006E1235" w:rsidP="006E1235">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转换转出起始日</w:t>
            </w:r>
          </w:p>
        </w:tc>
        <w:tc>
          <w:tcPr>
            <w:tcW w:w="6804" w:type="dxa"/>
            <w:gridSpan w:val="2"/>
            <w:shd w:val="clear" w:color="auto" w:fill="FFFFFF"/>
            <w:tcMar>
              <w:top w:w="0" w:type="dxa"/>
              <w:left w:w="30" w:type="dxa"/>
              <w:bottom w:w="0" w:type="dxa"/>
              <w:right w:w="30" w:type="dxa"/>
            </w:tcMar>
            <w:hideMark/>
          </w:tcPr>
          <w:p w:rsidR="006E1235" w:rsidRDefault="008065E0" w:rsidP="00C65759">
            <w:pPr>
              <w:jc w:val="center"/>
            </w:pPr>
            <w:r w:rsidRPr="00B22524">
              <w:rPr>
                <w:rFonts w:asciiTheme="minorEastAsia" w:hAnsiTheme="minorEastAsia" w:cs="宋体" w:hint="eastAsia"/>
                <w:color w:val="333333"/>
                <w:kern w:val="0"/>
                <w:sz w:val="24"/>
                <w:szCs w:val="24"/>
              </w:rPr>
              <w:t>20</w:t>
            </w:r>
            <w:r w:rsidRPr="00564E5A">
              <w:rPr>
                <w:rFonts w:asciiTheme="minorEastAsia" w:hAnsiTheme="minorEastAsia" w:cs="宋体"/>
                <w:color w:val="333333"/>
                <w:kern w:val="0"/>
                <w:sz w:val="24"/>
                <w:szCs w:val="24"/>
              </w:rPr>
              <w:t>2</w:t>
            </w:r>
            <w:r>
              <w:rPr>
                <w:rFonts w:asciiTheme="minorEastAsia" w:hAnsiTheme="minorEastAsia" w:cs="宋体"/>
                <w:color w:val="333333"/>
                <w:kern w:val="0"/>
                <w:sz w:val="24"/>
                <w:szCs w:val="24"/>
              </w:rPr>
              <w:t>2</w:t>
            </w:r>
            <w:r w:rsidRPr="00B22524">
              <w:rPr>
                <w:rFonts w:asciiTheme="minorEastAsia" w:hAnsiTheme="minorEastAsia" w:cs="宋体" w:hint="eastAsia"/>
                <w:color w:val="333333"/>
                <w:kern w:val="0"/>
                <w:sz w:val="24"/>
                <w:szCs w:val="24"/>
              </w:rPr>
              <w:t>年</w:t>
            </w:r>
            <w:r w:rsidR="007A31DA">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7A31DA">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p>
        </w:tc>
      </w:tr>
      <w:tr w:rsidR="006E1235" w:rsidRPr="00B22524" w:rsidTr="006E1235">
        <w:tc>
          <w:tcPr>
            <w:tcW w:w="2835" w:type="dxa"/>
            <w:shd w:val="clear" w:color="auto" w:fill="FFFFFF"/>
            <w:tcMar>
              <w:top w:w="0" w:type="dxa"/>
              <w:left w:w="30" w:type="dxa"/>
              <w:bottom w:w="0" w:type="dxa"/>
              <w:right w:w="30" w:type="dxa"/>
            </w:tcMar>
            <w:vAlign w:val="center"/>
            <w:hideMark/>
          </w:tcPr>
          <w:p w:rsidR="006E1235" w:rsidRPr="00B22524" w:rsidRDefault="006E1235" w:rsidP="006E1235">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定期定额投资业务起始日</w:t>
            </w:r>
          </w:p>
        </w:tc>
        <w:tc>
          <w:tcPr>
            <w:tcW w:w="6804" w:type="dxa"/>
            <w:gridSpan w:val="2"/>
            <w:shd w:val="clear" w:color="auto" w:fill="FFFFFF"/>
            <w:tcMar>
              <w:top w:w="0" w:type="dxa"/>
              <w:left w:w="30" w:type="dxa"/>
              <w:bottom w:w="0" w:type="dxa"/>
              <w:right w:w="30" w:type="dxa"/>
            </w:tcMar>
            <w:hideMark/>
          </w:tcPr>
          <w:p w:rsidR="006E1235" w:rsidRDefault="008065E0" w:rsidP="00C65759">
            <w:pPr>
              <w:jc w:val="center"/>
            </w:pPr>
            <w:r w:rsidRPr="00B22524">
              <w:rPr>
                <w:rFonts w:asciiTheme="minorEastAsia" w:hAnsiTheme="minorEastAsia" w:cs="宋体" w:hint="eastAsia"/>
                <w:color w:val="333333"/>
                <w:kern w:val="0"/>
                <w:sz w:val="24"/>
                <w:szCs w:val="24"/>
              </w:rPr>
              <w:t>20</w:t>
            </w:r>
            <w:r w:rsidRPr="00564E5A">
              <w:rPr>
                <w:rFonts w:asciiTheme="minorEastAsia" w:hAnsiTheme="minorEastAsia" w:cs="宋体"/>
                <w:color w:val="333333"/>
                <w:kern w:val="0"/>
                <w:sz w:val="24"/>
                <w:szCs w:val="24"/>
              </w:rPr>
              <w:t>2</w:t>
            </w:r>
            <w:r>
              <w:rPr>
                <w:rFonts w:asciiTheme="minorEastAsia" w:hAnsiTheme="minorEastAsia" w:cs="宋体"/>
                <w:color w:val="333333"/>
                <w:kern w:val="0"/>
                <w:sz w:val="24"/>
                <w:szCs w:val="24"/>
              </w:rPr>
              <w:t>2</w:t>
            </w:r>
            <w:r w:rsidRPr="00B22524">
              <w:rPr>
                <w:rFonts w:asciiTheme="minorEastAsia" w:hAnsiTheme="minorEastAsia" w:cs="宋体" w:hint="eastAsia"/>
                <w:color w:val="333333"/>
                <w:kern w:val="0"/>
                <w:sz w:val="24"/>
                <w:szCs w:val="24"/>
              </w:rPr>
              <w:t>年</w:t>
            </w:r>
            <w:r w:rsidR="007A31DA">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7A31DA">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p>
        </w:tc>
      </w:tr>
      <w:tr w:rsidR="006E1235" w:rsidRPr="00B22524" w:rsidTr="00FD6481">
        <w:tc>
          <w:tcPr>
            <w:tcW w:w="2835" w:type="dxa"/>
            <w:shd w:val="clear" w:color="auto" w:fill="FFFFFF"/>
            <w:tcMar>
              <w:top w:w="0" w:type="dxa"/>
              <w:left w:w="30" w:type="dxa"/>
              <w:bottom w:w="0" w:type="dxa"/>
              <w:right w:w="30" w:type="dxa"/>
            </w:tcMar>
            <w:vAlign w:val="center"/>
            <w:hideMark/>
          </w:tcPr>
          <w:p w:rsidR="00B22524" w:rsidRPr="0074017B" w:rsidRDefault="00B22524" w:rsidP="00B22524">
            <w:pPr>
              <w:widowControl/>
              <w:spacing w:line="276" w:lineRule="auto"/>
              <w:jc w:val="center"/>
              <w:rPr>
                <w:rFonts w:asciiTheme="minorEastAsia" w:hAnsiTheme="minorEastAsia" w:cs="宋体"/>
                <w:color w:val="333333"/>
                <w:kern w:val="0"/>
                <w:sz w:val="24"/>
                <w:szCs w:val="24"/>
              </w:rPr>
            </w:pPr>
            <w:r w:rsidRPr="0074017B">
              <w:rPr>
                <w:rFonts w:asciiTheme="minorEastAsia" w:hAnsiTheme="minorEastAsia" w:cs="宋体" w:hint="eastAsia"/>
                <w:color w:val="333333"/>
                <w:kern w:val="0"/>
                <w:sz w:val="24"/>
                <w:szCs w:val="24"/>
              </w:rPr>
              <w:t>下属分级基金的基金简称</w:t>
            </w:r>
          </w:p>
        </w:tc>
        <w:tc>
          <w:tcPr>
            <w:tcW w:w="3261" w:type="dxa"/>
            <w:shd w:val="clear" w:color="auto" w:fill="FFFFFF"/>
            <w:tcMar>
              <w:top w:w="0" w:type="dxa"/>
              <w:left w:w="30" w:type="dxa"/>
              <w:bottom w:w="0" w:type="dxa"/>
              <w:right w:w="30" w:type="dxa"/>
            </w:tcMar>
            <w:vAlign w:val="center"/>
            <w:hideMark/>
          </w:tcPr>
          <w:p w:rsidR="00B22524" w:rsidRPr="008B2202" w:rsidRDefault="00B22524" w:rsidP="006837A6">
            <w:pPr>
              <w:widowControl/>
              <w:spacing w:line="276" w:lineRule="auto"/>
              <w:jc w:val="center"/>
              <w:rPr>
                <w:rFonts w:asciiTheme="minorEastAsia" w:hAnsiTheme="minorEastAsia" w:cs="宋体"/>
                <w:color w:val="333333"/>
                <w:kern w:val="0"/>
                <w:sz w:val="24"/>
                <w:szCs w:val="24"/>
              </w:rPr>
            </w:pPr>
            <w:r w:rsidRPr="008B2202">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sidRPr="008B2202">
              <w:rPr>
                <w:rFonts w:asciiTheme="minorEastAsia" w:hAnsiTheme="minorEastAsia" w:cs="宋体"/>
                <w:color w:val="333333"/>
                <w:kern w:val="0"/>
                <w:sz w:val="24"/>
                <w:szCs w:val="24"/>
              </w:rPr>
              <w:t>A</w:t>
            </w:r>
          </w:p>
        </w:tc>
        <w:tc>
          <w:tcPr>
            <w:tcW w:w="3543" w:type="dxa"/>
            <w:shd w:val="clear" w:color="auto" w:fill="FFFFFF"/>
            <w:tcMar>
              <w:top w:w="0" w:type="dxa"/>
              <w:left w:w="30" w:type="dxa"/>
              <w:bottom w:w="0" w:type="dxa"/>
              <w:right w:w="30" w:type="dxa"/>
            </w:tcMar>
            <w:vAlign w:val="center"/>
            <w:hideMark/>
          </w:tcPr>
          <w:p w:rsidR="00B22524" w:rsidRPr="008B2202" w:rsidRDefault="00B22524" w:rsidP="009B4B9D">
            <w:pPr>
              <w:widowControl/>
              <w:spacing w:line="276" w:lineRule="auto"/>
              <w:jc w:val="center"/>
              <w:rPr>
                <w:rFonts w:asciiTheme="minorEastAsia" w:hAnsiTheme="minorEastAsia" w:cs="宋体"/>
                <w:color w:val="333333"/>
                <w:kern w:val="0"/>
                <w:sz w:val="24"/>
                <w:szCs w:val="24"/>
              </w:rPr>
            </w:pPr>
            <w:r w:rsidRPr="008B2202">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sidRPr="008B2202">
              <w:rPr>
                <w:rFonts w:asciiTheme="minorEastAsia" w:hAnsiTheme="minorEastAsia" w:cs="宋体"/>
                <w:color w:val="333333"/>
                <w:kern w:val="0"/>
                <w:sz w:val="24"/>
                <w:szCs w:val="24"/>
              </w:rPr>
              <w:t>C</w:t>
            </w:r>
          </w:p>
        </w:tc>
      </w:tr>
      <w:tr w:rsidR="00B22524" w:rsidRPr="00B22524" w:rsidTr="00FD6481">
        <w:tc>
          <w:tcPr>
            <w:tcW w:w="2835"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下属分级基金的交易代码</w:t>
            </w:r>
          </w:p>
        </w:tc>
        <w:tc>
          <w:tcPr>
            <w:tcW w:w="3261" w:type="dxa"/>
            <w:shd w:val="clear" w:color="auto" w:fill="FFFFFF"/>
            <w:tcMar>
              <w:top w:w="0" w:type="dxa"/>
              <w:left w:w="30" w:type="dxa"/>
              <w:bottom w:w="0" w:type="dxa"/>
              <w:right w:w="30" w:type="dxa"/>
            </w:tcMar>
            <w:vAlign w:val="center"/>
            <w:hideMark/>
          </w:tcPr>
          <w:p w:rsidR="00B22524" w:rsidRPr="00B22524" w:rsidRDefault="007A31DA"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016359</w:t>
            </w:r>
          </w:p>
        </w:tc>
        <w:tc>
          <w:tcPr>
            <w:tcW w:w="3543" w:type="dxa"/>
            <w:shd w:val="clear" w:color="auto" w:fill="FFFFFF"/>
            <w:tcMar>
              <w:top w:w="0" w:type="dxa"/>
              <w:left w:w="30" w:type="dxa"/>
              <w:bottom w:w="0" w:type="dxa"/>
              <w:right w:w="30" w:type="dxa"/>
            </w:tcMar>
            <w:vAlign w:val="center"/>
            <w:hideMark/>
          </w:tcPr>
          <w:p w:rsidR="00B22524" w:rsidRPr="00B22524" w:rsidRDefault="007A31DA"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016360</w:t>
            </w:r>
          </w:p>
        </w:tc>
      </w:tr>
      <w:tr w:rsidR="00B22524" w:rsidRPr="00B22524" w:rsidTr="00FD6481">
        <w:tc>
          <w:tcPr>
            <w:tcW w:w="2835" w:type="dxa"/>
            <w:shd w:val="clear" w:color="auto" w:fill="FFFFFF"/>
            <w:tcMar>
              <w:top w:w="0" w:type="dxa"/>
              <w:left w:w="30" w:type="dxa"/>
              <w:bottom w:w="0" w:type="dxa"/>
              <w:right w:w="30" w:type="dxa"/>
            </w:tcMar>
            <w:vAlign w:val="center"/>
            <w:hideMark/>
          </w:tcPr>
          <w:p w:rsidR="00B22524" w:rsidRPr="00B22524" w:rsidRDefault="00B22524" w:rsidP="006E1235">
            <w:pPr>
              <w:widowControl/>
              <w:spacing w:line="276"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该分级基金是否开放申 购、赎回、转换、定期定 额投资</w:t>
            </w:r>
          </w:p>
        </w:tc>
        <w:tc>
          <w:tcPr>
            <w:tcW w:w="3261"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是</w:t>
            </w:r>
          </w:p>
        </w:tc>
        <w:tc>
          <w:tcPr>
            <w:tcW w:w="3543" w:type="dxa"/>
            <w:shd w:val="clear" w:color="auto" w:fill="FFFFFF"/>
            <w:tcMar>
              <w:top w:w="0" w:type="dxa"/>
              <w:left w:w="30" w:type="dxa"/>
              <w:bottom w:w="0" w:type="dxa"/>
              <w:right w:w="30" w:type="dxa"/>
            </w:tcMar>
            <w:vAlign w:val="center"/>
            <w:hideMark/>
          </w:tcPr>
          <w:p w:rsidR="00B22524" w:rsidRPr="00B22524" w:rsidRDefault="00B22524" w:rsidP="00B22524">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是</w:t>
            </w:r>
          </w:p>
        </w:tc>
      </w:tr>
    </w:tbl>
    <w:p w:rsidR="00B22524" w:rsidRPr="00B22524" w:rsidRDefault="00B22524" w:rsidP="006E1235">
      <w:pPr>
        <w:widowControl/>
        <w:shd w:val="clear" w:color="auto" w:fill="FFFFFF"/>
        <w:spacing w:before="120" w:after="12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2 日常申购、赎回及定投业务的办理时间</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证券投资基金（以下简称“本基金”）将上海证券交易所、深圳证券交易所的正常交易日设为开放日，为投资者办理申购、赎回业务，具体办理时间为上午9</w:t>
      </w:r>
      <w:r w:rsidR="00A50591">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30-下午3</w:t>
      </w:r>
      <w:r w:rsidR="00A50591">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00。具体以销售网点的公告和安排为准。本基金的定投、转换业务的办理时间与日常申购、赎回业务办理时间相同。</w:t>
      </w:r>
    </w:p>
    <w:p w:rsidR="00B22524" w:rsidRPr="00B22524" w:rsidRDefault="00B22524" w:rsidP="006E1235">
      <w:pPr>
        <w:widowControl/>
        <w:shd w:val="clear" w:color="auto" w:fill="FFFFFF"/>
        <w:spacing w:before="120" w:after="12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3 日常申购业务</w:t>
      </w:r>
    </w:p>
    <w:p w:rsidR="00B22524" w:rsidRPr="00B22524" w:rsidRDefault="00B22524" w:rsidP="006E1235">
      <w:pPr>
        <w:widowControl/>
        <w:shd w:val="clear" w:color="auto" w:fill="FFFFFF"/>
        <w:spacing w:before="60" w:after="60" w:line="360" w:lineRule="auto"/>
        <w:outlineLvl w:val="3"/>
        <w:rPr>
          <w:rFonts w:asciiTheme="minorEastAsia" w:hAnsiTheme="minorEastAsia" w:cs="宋体"/>
          <w:b/>
          <w:bCs/>
          <w:color w:val="333333"/>
          <w:kern w:val="0"/>
          <w:sz w:val="27"/>
          <w:szCs w:val="27"/>
        </w:rPr>
      </w:pPr>
      <w:r w:rsidRPr="00B22524">
        <w:rPr>
          <w:rFonts w:asciiTheme="minorEastAsia" w:hAnsiTheme="minorEastAsia" w:cs="宋体" w:hint="eastAsia"/>
          <w:b/>
          <w:bCs/>
          <w:color w:val="333333"/>
          <w:kern w:val="0"/>
          <w:sz w:val="27"/>
          <w:szCs w:val="27"/>
        </w:rPr>
        <w:lastRenderedPageBreak/>
        <w:t>3.1 申购金额限制</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投资人通过非直销销售机构首次申购的单笔最低限额为人民币1元，追加申购单笔最低限额为人民币</w:t>
      </w:r>
      <w:r w:rsidR="00940577">
        <w:rPr>
          <w:rFonts w:asciiTheme="minorEastAsia" w:hAnsiTheme="minorEastAsia" w:cs="宋体" w:hint="eastAsia"/>
          <w:color w:val="333333"/>
          <w:kern w:val="0"/>
          <w:sz w:val="24"/>
          <w:szCs w:val="24"/>
        </w:rPr>
        <w:t>1</w:t>
      </w:r>
      <w:r w:rsidRPr="00B22524">
        <w:rPr>
          <w:rFonts w:asciiTheme="minorEastAsia" w:hAnsiTheme="minorEastAsia" w:cs="宋体" w:hint="eastAsia"/>
          <w:color w:val="333333"/>
          <w:kern w:val="0"/>
          <w:sz w:val="24"/>
          <w:szCs w:val="24"/>
        </w:rPr>
        <w:t>元</w:t>
      </w:r>
      <w:r w:rsidR="004A6567">
        <w:rPr>
          <w:rFonts w:asciiTheme="minorEastAsia" w:hAnsiTheme="minorEastAsia" w:cs="宋体" w:hint="eastAsia"/>
          <w:color w:val="333333"/>
          <w:kern w:val="0"/>
          <w:sz w:val="24"/>
          <w:szCs w:val="24"/>
        </w:rPr>
        <w:t>（如各</w:t>
      </w:r>
      <w:r w:rsidR="004A6567">
        <w:rPr>
          <w:rFonts w:asciiTheme="minorEastAsia" w:hAnsiTheme="minorEastAsia" w:cs="宋体"/>
          <w:color w:val="333333"/>
          <w:kern w:val="0"/>
          <w:sz w:val="24"/>
          <w:szCs w:val="24"/>
        </w:rPr>
        <w:t>销售机构对</w:t>
      </w:r>
      <w:r w:rsidR="0024150E">
        <w:rPr>
          <w:rFonts w:asciiTheme="minorEastAsia" w:hAnsiTheme="minorEastAsia" w:cs="宋体" w:hint="eastAsia"/>
          <w:color w:val="333333"/>
          <w:kern w:val="0"/>
          <w:sz w:val="24"/>
          <w:szCs w:val="24"/>
        </w:rPr>
        <w:t>申购</w:t>
      </w:r>
      <w:r w:rsidR="0024150E">
        <w:rPr>
          <w:rFonts w:asciiTheme="minorEastAsia" w:hAnsiTheme="minorEastAsia" w:cs="宋体"/>
          <w:color w:val="333333"/>
          <w:kern w:val="0"/>
          <w:sz w:val="24"/>
          <w:szCs w:val="24"/>
        </w:rPr>
        <w:t>的</w:t>
      </w:r>
      <w:r w:rsidR="004A6567">
        <w:rPr>
          <w:rFonts w:asciiTheme="minorEastAsia" w:hAnsiTheme="minorEastAsia" w:cs="宋体"/>
          <w:color w:val="333333"/>
          <w:kern w:val="0"/>
          <w:sz w:val="24"/>
          <w:szCs w:val="24"/>
        </w:rPr>
        <w:t>单笔最低限额另有规定的，以各</w:t>
      </w:r>
      <w:r w:rsidR="004A6567">
        <w:rPr>
          <w:rFonts w:asciiTheme="minorEastAsia" w:hAnsiTheme="minorEastAsia" w:cs="宋体" w:hint="eastAsia"/>
          <w:color w:val="333333"/>
          <w:kern w:val="0"/>
          <w:sz w:val="24"/>
          <w:szCs w:val="24"/>
        </w:rPr>
        <w:t>销售</w:t>
      </w:r>
      <w:r w:rsidR="004A6567">
        <w:rPr>
          <w:rFonts w:asciiTheme="minorEastAsia" w:hAnsiTheme="minorEastAsia" w:cs="宋体"/>
          <w:color w:val="333333"/>
          <w:kern w:val="0"/>
          <w:sz w:val="24"/>
          <w:szCs w:val="24"/>
        </w:rPr>
        <w:t>机构的规定为准</w:t>
      </w:r>
      <w:r w:rsidR="004A6567">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；投资人通过基金管理人直销中心柜台（目前仅对机构投资人开通）首次申购的单笔最低限额为人民币50,000元，追加申购单笔最低限额是人民币1,000元。</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各销售机构对申购限额及交易级差有其他规定的，需同时遵循该销售机构的相关规定。（以上金额均含申购费）。</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投资人将当期分配的基金收益转购基金份额或采用定期定额投资计划时，不受最低申购金额的限制。</w:t>
      </w:r>
    </w:p>
    <w:p w:rsidR="00CD2784" w:rsidRDefault="00B22524" w:rsidP="00A106A8">
      <w:pPr>
        <w:widowControl/>
        <w:shd w:val="clear" w:color="auto" w:fill="FFFFFF"/>
        <w:spacing w:before="60" w:after="60" w:line="360" w:lineRule="auto"/>
        <w:outlineLvl w:val="3"/>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基金管理人可根据市场情况，在法律法规允许的情况下，调整上述对申购金额的数量限制</w:t>
      </w:r>
      <w:r w:rsidR="00CD2784">
        <w:rPr>
          <w:rFonts w:asciiTheme="minorEastAsia" w:hAnsiTheme="minorEastAsia" w:cs="宋体" w:hint="eastAsia"/>
          <w:color w:val="333333"/>
          <w:kern w:val="0"/>
          <w:sz w:val="24"/>
          <w:szCs w:val="24"/>
        </w:rPr>
        <w:t>。</w:t>
      </w:r>
    </w:p>
    <w:p w:rsidR="00B22524" w:rsidRPr="00B22524" w:rsidRDefault="00B22524" w:rsidP="00A106A8">
      <w:pPr>
        <w:widowControl/>
        <w:shd w:val="clear" w:color="auto" w:fill="FFFFFF"/>
        <w:spacing w:before="60" w:after="60" w:line="360" w:lineRule="auto"/>
        <w:outlineLvl w:val="3"/>
        <w:rPr>
          <w:rFonts w:asciiTheme="minorEastAsia" w:hAnsiTheme="minorEastAsia" w:cs="宋体"/>
          <w:b/>
          <w:bCs/>
          <w:color w:val="333333"/>
          <w:kern w:val="0"/>
          <w:sz w:val="27"/>
          <w:szCs w:val="27"/>
        </w:rPr>
      </w:pPr>
      <w:r w:rsidRPr="00B22524">
        <w:rPr>
          <w:rFonts w:asciiTheme="minorEastAsia" w:hAnsiTheme="minorEastAsia" w:cs="宋体" w:hint="eastAsia"/>
          <w:b/>
          <w:bCs/>
          <w:color w:val="333333"/>
          <w:kern w:val="0"/>
          <w:sz w:val="27"/>
          <w:szCs w:val="27"/>
        </w:rPr>
        <w:t>3.2 申购费率</w:t>
      </w:r>
    </w:p>
    <w:p w:rsidR="00B22524" w:rsidRPr="00B22524" w:rsidRDefault="00B22524" w:rsidP="00A106A8">
      <w:pPr>
        <w:widowControl/>
        <w:shd w:val="clear" w:color="auto" w:fill="FFFFFF"/>
        <w:spacing w:before="60" w:after="6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3.2.1 前端收费</w:t>
      </w:r>
    </w:p>
    <w:tbl>
      <w:tblPr>
        <w:tblW w:w="8298"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544"/>
        <w:gridCol w:w="2693"/>
        <w:gridCol w:w="2061"/>
      </w:tblGrid>
      <w:tr w:rsidR="0063332B" w:rsidRPr="00B22524" w:rsidTr="008B2202">
        <w:trPr>
          <w:tblHeader/>
        </w:trPr>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63332B" w:rsidRPr="00B22524" w:rsidRDefault="0063332B" w:rsidP="00A106A8">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申购金额M（元）（含申购费）</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63332B" w:rsidRPr="00B22524" w:rsidRDefault="0063332B" w:rsidP="00A106A8">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A类基金份额申购费率</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63332B" w:rsidRPr="00B22524" w:rsidRDefault="0063332B" w:rsidP="00A106A8">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备注</w:t>
            </w:r>
          </w:p>
        </w:tc>
      </w:tr>
      <w:tr w:rsidR="0063332B"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63332B" w:rsidRPr="00B22524" w:rsidRDefault="0063332B" w:rsidP="0063332B">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M＜100万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63332B" w:rsidRPr="00B22524" w:rsidRDefault="0063332B" w:rsidP="00C65759">
            <w:pPr>
              <w:widowControl/>
              <w:spacing w:line="276" w:lineRule="auto"/>
              <w:jc w:val="center"/>
              <w:rPr>
                <w:rFonts w:asciiTheme="minorEastAsia" w:hAnsiTheme="minorEastAsia" w:cs="宋体"/>
                <w:color w:val="000000" w:themeColor="text1"/>
                <w:kern w:val="0"/>
                <w:sz w:val="24"/>
                <w:szCs w:val="24"/>
              </w:rPr>
            </w:pPr>
            <w:r w:rsidRPr="00B22524">
              <w:rPr>
                <w:rFonts w:asciiTheme="minorEastAsia" w:hAnsiTheme="minorEastAsia" w:cs="宋体" w:hint="eastAsia"/>
                <w:color w:val="000000" w:themeColor="text1"/>
                <w:kern w:val="0"/>
                <w:sz w:val="24"/>
                <w:szCs w:val="24"/>
              </w:rPr>
              <w:t>0.</w:t>
            </w:r>
            <w:r w:rsidR="007A31DA">
              <w:rPr>
                <w:rFonts w:asciiTheme="minorEastAsia" w:hAnsiTheme="minorEastAsia" w:cs="宋体"/>
                <w:color w:val="000000" w:themeColor="text1"/>
                <w:kern w:val="0"/>
                <w:sz w:val="24"/>
                <w:szCs w:val="24"/>
              </w:rPr>
              <w:t>08</w:t>
            </w:r>
            <w:r w:rsidRPr="00B22524">
              <w:rPr>
                <w:rFonts w:asciiTheme="minorEastAsia" w:hAnsiTheme="minorEastAsia" w:cs="宋体" w:hint="eastAsia"/>
                <w:color w:val="000000" w:themeColor="text1"/>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63332B" w:rsidRPr="00B22524" w:rsidRDefault="0063332B" w:rsidP="0063332B">
            <w:pPr>
              <w:widowControl/>
              <w:spacing w:line="276" w:lineRule="auto"/>
              <w:jc w:val="center"/>
              <w:rPr>
                <w:rFonts w:asciiTheme="minorEastAsia" w:hAnsiTheme="minorEastAsia" w:cs="宋体"/>
                <w:color w:val="000000" w:themeColor="text1"/>
                <w:kern w:val="0"/>
                <w:sz w:val="24"/>
                <w:szCs w:val="24"/>
              </w:rPr>
            </w:pPr>
            <w:r w:rsidRPr="00072725">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100万≤M＜300万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C65759">
            <w:pPr>
              <w:widowControl/>
              <w:spacing w:line="276" w:lineRule="auto"/>
              <w:jc w:val="center"/>
              <w:rPr>
                <w:rFonts w:asciiTheme="minorEastAsia" w:hAnsiTheme="minorEastAsia" w:cs="宋体"/>
                <w:color w:val="000000" w:themeColor="text1"/>
                <w:kern w:val="0"/>
                <w:sz w:val="24"/>
                <w:szCs w:val="24"/>
              </w:rPr>
            </w:pPr>
            <w:r w:rsidRPr="00B22524">
              <w:rPr>
                <w:rFonts w:asciiTheme="minorEastAsia" w:hAnsiTheme="minorEastAsia" w:cs="宋体" w:hint="eastAsia"/>
                <w:color w:val="000000" w:themeColor="text1"/>
                <w:kern w:val="0"/>
                <w:sz w:val="24"/>
                <w:szCs w:val="24"/>
              </w:rPr>
              <w:t>0.</w:t>
            </w:r>
            <w:r w:rsidR="007A31DA">
              <w:rPr>
                <w:rFonts w:asciiTheme="minorEastAsia" w:hAnsiTheme="minorEastAsia" w:cs="宋体"/>
                <w:color w:val="000000" w:themeColor="text1"/>
                <w:kern w:val="0"/>
                <w:sz w:val="24"/>
                <w:szCs w:val="24"/>
              </w:rPr>
              <w:t>05</w:t>
            </w:r>
            <w:r w:rsidRPr="00B22524">
              <w:rPr>
                <w:rFonts w:asciiTheme="minorEastAsia" w:hAnsiTheme="minorEastAsia" w:cs="宋体" w:hint="eastAsia"/>
                <w:color w:val="000000" w:themeColor="text1"/>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B22524" w:rsidRDefault="009A74B2" w:rsidP="009A74B2">
            <w:pPr>
              <w:widowControl/>
              <w:spacing w:line="276" w:lineRule="auto"/>
              <w:jc w:val="center"/>
              <w:rPr>
                <w:rFonts w:asciiTheme="minorEastAsia" w:hAnsiTheme="minorEastAsia" w:cs="宋体"/>
                <w:color w:val="000000" w:themeColor="text1"/>
                <w:kern w:val="0"/>
                <w:sz w:val="24"/>
                <w:szCs w:val="24"/>
              </w:rPr>
            </w:pPr>
            <w:r w:rsidRPr="00835770">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300万≤M＜500万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C65759">
            <w:pPr>
              <w:widowControl/>
              <w:spacing w:line="276" w:lineRule="auto"/>
              <w:jc w:val="center"/>
              <w:rPr>
                <w:rFonts w:asciiTheme="minorEastAsia" w:hAnsiTheme="minorEastAsia" w:cs="宋体"/>
                <w:color w:val="000000" w:themeColor="text1"/>
                <w:kern w:val="0"/>
                <w:sz w:val="24"/>
                <w:szCs w:val="24"/>
              </w:rPr>
            </w:pPr>
            <w:r w:rsidRPr="00B22524">
              <w:rPr>
                <w:rFonts w:asciiTheme="minorEastAsia" w:hAnsiTheme="minorEastAsia" w:cs="宋体" w:hint="eastAsia"/>
                <w:color w:val="000000" w:themeColor="text1"/>
                <w:kern w:val="0"/>
                <w:sz w:val="24"/>
                <w:szCs w:val="24"/>
              </w:rPr>
              <w:t>0.</w:t>
            </w:r>
            <w:r w:rsidR="007A31DA" w:rsidRPr="00B22524">
              <w:rPr>
                <w:rFonts w:asciiTheme="minorEastAsia" w:hAnsiTheme="minorEastAsia" w:cs="宋体" w:hint="eastAsia"/>
                <w:color w:val="000000" w:themeColor="text1"/>
                <w:kern w:val="0"/>
                <w:sz w:val="24"/>
                <w:szCs w:val="24"/>
              </w:rPr>
              <w:t>0</w:t>
            </w:r>
            <w:r w:rsidR="007A31DA">
              <w:rPr>
                <w:rFonts w:asciiTheme="minorEastAsia" w:hAnsiTheme="minorEastAsia" w:cs="宋体"/>
                <w:color w:val="000000" w:themeColor="text1"/>
                <w:kern w:val="0"/>
                <w:sz w:val="24"/>
                <w:szCs w:val="24"/>
              </w:rPr>
              <w:t>3</w:t>
            </w:r>
            <w:r w:rsidRPr="00B22524">
              <w:rPr>
                <w:rFonts w:asciiTheme="minorEastAsia" w:hAnsiTheme="minorEastAsia" w:cs="宋体" w:hint="eastAsia"/>
                <w:color w:val="000000" w:themeColor="text1"/>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B22524" w:rsidRDefault="009A74B2" w:rsidP="009A74B2">
            <w:pPr>
              <w:widowControl/>
              <w:spacing w:line="276" w:lineRule="auto"/>
              <w:jc w:val="center"/>
              <w:rPr>
                <w:rFonts w:asciiTheme="minorEastAsia" w:hAnsiTheme="minorEastAsia" w:cs="宋体"/>
                <w:color w:val="000000" w:themeColor="text1"/>
                <w:kern w:val="0"/>
                <w:sz w:val="24"/>
                <w:szCs w:val="24"/>
              </w:rPr>
            </w:pPr>
            <w:r w:rsidRPr="00835770">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M≥500万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1,000元/笔</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835770">
              <w:rPr>
                <w:rFonts w:ascii="宋体" w:hAnsi="宋体"/>
                <w:szCs w:val="21"/>
              </w:rPr>
              <w:t>特定投资群体</w:t>
            </w:r>
          </w:p>
        </w:tc>
      </w:tr>
      <w:tr w:rsidR="00C6368C"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C6368C" w:rsidRPr="00B22524" w:rsidRDefault="00C6368C" w:rsidP="00C6368C">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M＜100万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C6368C" w:rsidRPr="00B22524" w:rsidRDefault="007A31DA"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0</w:t>
            </w:r>
            <w:r w:rsidR="00C6368C">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80</w:t>
            </w:r>
            <w:r w:rsidR="00C6368C" w:rsidRPr="00B22524">
              <w:rPr>
                <w:rFonts w:asciiTheme="minorEastAsia" w:hAnsiTheme="minorEastAsia" w:cs="宋体" w:hint="eastAsia"/>
                <w:color w:val="333333"/>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C6368C" w:rsidRPr="00072725" w:rsidRDefault="009A74B2" w:rsidP="00C6368C">
            <w:pPr>
              <w:widowControl/>
              <w:spacing w:line="276" w:lineRule="auto"/>
              <w:jc w:val="center"/>
              <w:rPr>
                <w:rFonts w:ascii="宋体" w:hAnsi="宋体"/>
                <w:szCs w:val="21"/>
              </w:rPr>
            </w:pPr>
            <w:r>
              <w:rPr>
                <w:rFonts w:ascii="宋体" w:hAnsi="宋体" w:hint="eastAsia"/>
                <w:szCs w:val="21"/>
              </w:rPr>
              <w:t>非</w:t>
            </w:r>
            <w:r w:rsidR="00C6368C" w:rsidRPr="00835770">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100万≤M＜300万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4C1CF1"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0.</w:t>
            </w:r>
            <w:r w:rsidR="007A31DA">
              <w:rPr>
                <w:rFonts w:asciiTheme="minorEastAsia" w:hAnsiTheme="minorEastAsia" w:cs="宋体"/>
                <w:color w:val="333333"/>
                <w:kern w:val="0"/>
                <w:sz w:val="24"/>
                <w:szCs w:val="24"/>
              </w:rPr>
              <w:t>50</w:t>
            </w:r>
            <w:r w:rsidR="009A74B2" w:rsidRPr="00B22524">
              <w:rPr>
                <w:rFonts w:asciiTheme="minorEastAsia" w:hAnsiTheme="minorEastAsia" w:cs="宋体" w:hint="eastAsia"/>
                <w:color w:val="333333"/>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072725" w:rsidRDefault="009A74B2" w:rsidP="009A74B2">
            <w:pPr>
              <w:widowControl/>
              <w:spacing w:line="276" w:lineRule="auto"/>
              <w:jc w:val="center"/>
              <w:rPr>
                <w:rFonts w:ascii="宋体" w:hAnsi="宋体"/>
                <w:szCs w:val="21"/>
              </w:rPr>
            </w:pPr>
            <w:r w:rsidRPr="00FE2FC5">
              <w:rPr>
                <w:rFonts w:ascii="宋体" w:hAnsi="宋体" w:hint="eastAsia"/>
                <w:szCs w:val="21"/>
              </w:rPr>
              <w:t>非</w:t>
            </w:r>
            <w:r w:rsidRPr="00FE2FC5">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300万≤M＜500万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9A74B2" w:rsidP="00C65759">
            <w:pPr>
              <w:widowControl/>
              <w:spacing w:line="276" w:lineRule="auto"/>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0.</w:t>
            </w:r>
            <w:r w:rsidR="007A31DA">
              <w:rPr>
                <w:rFonts w:asciiTheme="minorEastAsia" w:hAnsiTheme="minorEastAsia" w:cs="宋体"/>
                <w:color w:val="333333"/>
                <w:kern w:val="0"/>
                <w:sz w:val="24"/>
                <w:szCs w:val="24"/>
              </w:rPr>
              <w:t>30</w:t>
            </w:r>
            <w:r w:rsidRPr="00B22524">
              <w:rPr>
                <w:rFonts w:asciiTheme="minorEastAsia" w:hAnsiTheme="minorEastAsia" w:cs="宋体" w:hint="eastAsia"/>
                <w:color w:val="333333"/>
                <w:kern w:val="0"/>
                <w:sz w:val="24"/>
                <w:szCs w:val="24"/>
              </w:rPr>
              <w:t>%</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072725" w:rsidRDefault="009A74B2" w:rsidP="009A74B2">
            <w:pPr>
              <w:widowControl/>
              <w:spacing w:line="276" w:lineRule="auto"/>
              <w:jc w:val="center"/>
              <w:rPr>
                <w:rFonts w:ascii="宋体" w:hAnsi="宋体"/>
                <w:szCs w:val="21"/>
              </w:rPr>
            </w:pPr>
            <w:r w:rsidRPr="00FE2FC5">
              <w:rPr>
                <w:rFonts w:ascii="宋体" w:hAnsi="宋体" w:hint="eastAsia"/>
                <w:szCs w:val="21"/>
              </w:rPr>
              <w:t>非</w:t>
            </w:r>
            <w:r w:rsidRPr="00FE2FC5">
              <w:rPr>
                <w:rFonts w:ascii="宋体" w:hAnsi="宋体"/>
                <w:szCs w:val="21"/>
              </w:rPr>
              <w:t>特定投资群体</w:t>
            </w:r>
          </w:p>
        </w:tc>
      </w:tr>
      <w:tr w:rsidR="009A74B2" w:rsidRPr="00B22524" w:rsidTr="008B2202">
        <w:tc>
          <w:tcPr>
            <w:tcW w:w="3544"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M≥500万</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tcPr>
          <w:p w:rsidR="009A74B2" w:rsidRPr="00B22524" w:rsidRDefault="009A74B2" w:rsidP="009A74B2">
            <w:pPr>
              <w:widowControl/>
              <w:spacing w:line="276" w:lineRule="auto"/>
              <w:jc w:val="center"/>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1,000元/笔</w:t>
            </w:r>
          </w:p>
        </w:tc>
        <w:tc>
          <w:tcPr>
            <w:tcW w:w="2061" w:type="dxa"/>
            <w:tcBorders>
              <w:top w:val="single" w:sz="6" w:space="0" w:color="CCCCCC"/>
              <w:left w:val="single" w:sz="6" w:space="0" w:color="CCCCCC"/>
              <w:bottom w:val="single" w:sz="6" w:space="0" w:color="CCCCCC"/>
              <w:right w:val="single" w:sz="6" w:space="0" w:color="CCCCCC"/>
            </w:tcBorders>
            <w:shd w:val="clear" w:color="auto" w:fill="FFFFFF"/>
          </w:tcPr>
          <w:p w:rsidR="009A74B2" w:rsidRPr="00072725" w:rsidRDefault="009A74B2" w:rsidP="009A74B2">
            <w:pPr>
              <w:widowControl/>
              <w:spacing w:line="276" w:lineRule="auto"/>
              <w:jc w:val="center"/>
              <w:rPr>
                <w:rFonts w:ascii="宋体" w:hAnsi="宋体"/>
                <w:szCs w:val="21"/>
              </w:rPr>
            </w:pPr>
            <w:r w:rsidRPr="00FE2FC5">
              <w:rPr>
                <w:rFonts w:ascii="宋体" w:hAnsi="宋体" w:hint="eastAsia"/>
                <w:szCs w:val="21"/>
              </w:rPr>
              <w:t>非</w:t>
            </w:r>
            <w:r w:rsidRPr="00FE2FC5">
              <w:rPr>
                <w:rFonts w:ascii="宋体" w:hAnsi="宋体"/>
                <w:szCs w:val="21"/>
              </w:rPr>
              <w:t>特定投资群体</w:t>
            </w:r>
          </w:p>
        </w:tc>
      </w:tr>
    </w:tbl>
    <w:p w:rsidR="00B22524" w:rsidRPr="00B22524" w:rsidRDefault="00C6368C" w:rsidP="00A106A8">
      <w:pPr>
        <w:widowControl/>
        <w:shd w:val="clear" w:color="auto" w:fill="FFFFFF"/>
        <w:spacing w:before="240" w:line="420" w:lineRule="atLeas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上述</w:t>
      </w:r>
      <w:r w:rsidR="004C0645">
        <w:rPr>
          <w:rFonts w:asciiTheme="minorEastAsia" w:hAnsiTheme="minorEastAsia" w:cs="宋体" w:hint="eastAsia"/>
          <w:color w:val="333333"/>
          <w:kern w:val="0"/>
          <w:sz w:val="24"/>
          <w:szCs w:val="24"/>
        </w:rPr>
        <w:t>特定投资群体</w:t>
      </w:r>
      <w:r>
        <w:rPr>
          <w:rFonts w:asciiTheme="minorEastAsia" w:hAnsiTheme="minorEastAsia" w:cs="宋体" w:hint="eastAsia"/>
          <w:color w:val="333333"/>
          <w:kern w:val="0"/>
          <w:sz w:val="24"/>
          <w:szCs w:val="24"/>
        </w:rPr>
        <w:t>费率</w:t>
      </w:r>
      <w:r>
        <w:rPr>
          <w:rFonts w:asciiTheme="minorEastAsia" w:hAnsiTheme="minorEastAsia" w:cs="宋体"/>
          <w:color w:val="333333"/>
          <w:kern w:val="0"/>
          <w:sz w:val="24"/>
          <w:szCs w:val="24"/>
        </w:rPr>
        <w:t>仅适用</w:t>
      </w:r>
      <w:r w:rsidRPr="00B22524">
        <w:rPr>
          <w:rFonts w:asciiTheme="minorEastAsia" w:hAnsiTheme="minorEastAsia" w:cs="宋体" w:hint="eastAsia"/>
          <w:color w:val="333333"/>
          <w:kern w:val="0"/>
          <w:sz w:val="24"/>
          <w:szCs w:val="24"/>
        </w:rPr>
        <w:t>通过基金管理人的直销中心柜台申购本基金A类基金份额</w:t>
      </w:r>
      <w:r>
        <w:rPr>
          <w:rFonts w:asciiTheme="minorEastAsia" w:hAnsiTheme="minorEastAsia" w:cs="宋体" w:hint="eastAsia"/>
          <w:color w:val="333333"/>
          <w:kern w:val="0"/>
          <w:sz w:val="24"/>
          <w:szCs w:val="24"/>
        </w:rPr>
        <w:t>。</w:t>
      </w:r>
      <w:r w:rsidR="00B22524" w:rsidRPr="00B22524">
        <w:rPr>
          <w:rFonts w:asciiTheme="minorEastAsia" w:hAnsiTheme="minorEastAsia" w:cs="宋体" w:hint="eastAsia"/>
          <w:color w:val="333333"/>
          <w:kern w:val="0"/>
          <w:sz w:val="24"/>
          <w:szCs w:val="24"/>
        </w:rPr>
        <w:t>在申购费按金额分档的情况下，如果投资者多次申购，申购费适用单笔申购金额所对应的费率。本基金C类基金份额不收取申购费用。</w:t>
      </w:r>
    </w:p>
    <w:p w:rsidR="00B22524" w:rsidRPr="00B22524" w:rsidRDefault="00B22524" w:rsidP="00A106A8">
      <w:pPr>
        <w:widowControl/>
        <w:shd w:val="clear" w:color="auto" w:fill="FFFFFF"/>
        <w:spacing w:before="120" w:after="12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3.2.2 后端收费</w:t>
      </w:r>
    </w:p>
    <w:p w:rsidR="00B22524" w:rsidRPr="00B22524" w:rsidRDefault="00B22524" w:rsidP="00A106A8">
      <w:pPr>
        <w:widowControl/>
        <w:shd w:val="clear" w:color="auto" w:fill="FFFFFF"/>
        <w:spacing w:before="12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本基金尚未开通后端收费模式。</w:t>
      </w:r>
    </w:p>
    <w:p w:rsidR="00B22524" w:rsidRPr="00B22524" w:rsidRDefault="00B22524" w:rsidP="005434E0">
      <w:pPr>
        <w:widowControl/>
        <w:shd w:val="clear" w:color="auto" w:fill="FFFFFF"/>
        <w:spacing w:beforeLines="50" w:after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lastRenderedPageBreak/>
        <w:t>3.3 其他与申购相关的事项</w:t>
      </w:r>
    </w:p>
    <w:p w:rsidR="00B22524" w:rsidRPr="00B22524" w:rsidRDefault="00B22524" w:rsidP="00A106A8">
      <w:pPr>
        <w:widowControl/>
        <w:shd w:val="clear" w:color="auto" w:fill="FFFFFF"/>
        <w:spacing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基金管理人可以在基金合同规定的范围内调整申购费率或变更收费方式，并最迟应于新的费率或收费方式实施日前依照《信息披露办法》的有关规定在指定媒介上公告。</w:t>
      </w:r>
    </w:p>
    <w:p w:rsidR="00B22524" w:rsidRPr="00B22524" w:rsidRDefault="00B22524" w:rsidP="006E1235">
      <w:pPr>
        <w:widowControl/>
        <w:shd w:val="clear" w:color="auto" w:fill="FFFFFF"/>
        <w:spacing w:before="240" w:after="24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4 日常赎回业务</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4.1 赎回份额限制</w:t>
      </w:r>
    </w:p>
    <w:p w:rsidR="00B22524" w:rsidRPr="00B22524" w:rsidRDefault="00B22524" w:rsidP="00A106A8">
      <w:pPr>
        <w:widowControl/>
        <w:shd w:val="clear" w:color="auto" w:fill="FFFFFF"/>
        <w:spacing w:before="150" w:after="150" w:line="360" w:lineRule="auto"/>
        <w:outlineLvl w:val="3"/>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投资人可将其全部或部分基金份额赎回。基金份额单笔赎回或转换不得少于1份（如该账户在该销售机构托管的本基金余额不足1份，则必须一次性赎回或转出基金全部份额）；若某笔赎回将导致投资人在销售机构托管的基金余额不足1份时，基金管理人有权将投资人在该销售机构托管的基金剩余份额一次性全部赎回。各销售机构对赎回份额限制有其他规定的，需同时遵循该销售机构的相关规定。</w:t>
      </w:r>
    </w:p>
    <w:p w:rsidR="00B22524" w:rsidRPr="00B22524" w:rsidRDefault="00B22524" w:rsidP="00A106A8">
      <w:pPr>
        <w:widowControl/>
        <w:shd w:val="clear" w:color="auto" w:fill="FFFFFF"/>
        <w:spacing w:before="24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基金管理人可根据市场情况，在法律法规允许的情况下，调整上述对赎回份额的数量限制，基金管理人必须在调整实施前依照《信息披露办法》的有关规定在指定媒介上公告并报中国证监会备案。</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4.2 赎回费率</w:t>
      </w:r>
    </w:p>
    <w:p w:rsidR="00B22524" w:rsidRPr="00B22524" w:rsidRDefault="00B22524" w:rsidP="005434E0">
      <w:pPr>
        <w:widowControl/>
        <w:shd w:val="clear" w:color="auto" w:fill="FFFFFF"/>
        <w:spacing w:beforeLines="50" w:line="360" w:lineRule="auto"/>
        <w:outlineLvl w:val="4"/>
        <w:rPr>
          <w:rFonts w:asciiTheme="minorEastAsia" w:hAnsiTheme="minorEastAsia" w:cs="宋体"/>
          <w:bCs/>
          <w:color w:val="333333"/>
          <w:kern w:val="0"/>
          <w:sz w:val="24"/>
          <w:szCs w:val="24"/>
        </w:rPr>
      </w:pPr>
      <w:r w:rsidRPr="00B22524">
        <w:rPr>
          <w:rFonts w:asciiTheme="minorEastAsia" w:hAnsiTheme="minorEastAsia" w:cs="宋体" w:hint="eastAsia"/>
          <w:bCs/>
          <w:color w:val="333333"/>
          <w:kern w:val="0"/>
          <w:sz w:val="24"/>
          <w:szCs w:val="24"/>
        </w:rPr>
        <w:t>（1）本基金赎回费率见下表：</w:t>
      </w:r>
    </w:p>
    <w:tbl>
      <w:tblPr>
        <w:tblW w:w="8222" w:type="dxa"/>
        <w:tblInd w:w="-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268"/>
        <w:gridCol w:w="2835"/>
        <w:gridCol w:w="3119"/>
      </w:tblGrid>
      <w:tr w:rsidR="00B22524" w:rsidRPr="00B22524" w:rsidTr="00940577">
        <w:trPr>
          <w:tblHead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jc w:val="center"/>
              <w:rPr>
                <w:rFonts w:ascii="宋体" w:eastAsia="宋体" w:hAnsi="宋体" w:cs="宋体"/>
                <w:b/>
                <w:bCs/>
                <w:kern w:val="0"/>
                <w:sz w:val="24"/>
                <w:szCs w:val="24"/>
              </w:rPr>
            </w:pPr>
            <w:r w:rsidRPr="00B22524">
              <w:rPr>
                <w:rFonts w:ascii="宋体" w:eastAsia="宋体" w:hAnsi="宋体" w:cs="宋体"/>
                <w:b/>
                <w:bCs/>
                <w:kern w:val="0"/>
                <w:sz w:val="24"/>
                <w:szCs w:val="24"/>
              </w:rPr>
              <w:t>持有时间（N）</w:t>
            </w:r>
          </w:p>
        </w:tc>
        <w:tc>
          <w:tcPr>
            <w:tcW w:w="2835"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jc w:val="center"/>
              <w:rPr>
                <w:rFonts w:ascii="宋体" w:eastAsia="宋体" w:hAnsi="宋体" w:cs="宋体"/>
                <w:b/>
                <w:bCs/>
                <w:kern w:val="0"/>
                <w:sz w:val="24"/>
                <w:szCs w:val="24"/>
              </w:rPr>
            </w:pPr>
            <w:r w:rsidRPr="00B22524">
              <w:rPr>
                <w:rFonts w:ascii="宋体" w:eastAsia="宋体" w:hAnsi="宋体" w:cs="宋体"/>
                <w:b/>
                <w:bCs/>
                <w:kern w:val="0"/>
                <w:sz w:val="24"/>
                <w:szCs w:val="24"/>
              </w:rPr>
              <w:t>A类基金份额赎回费率</w:t>
            </w:r>
          </w:p>
        </w:tc>
        <w:tc>
          <w:tcPr>
            <w:tcW w:w="311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jc w:val="center"/>
              <w:rPr>
                <w:rFonts w:ascii="宋体" w:eastAsia="宋体" w:hAnsi="宋体" w:cs="宋体"/>
                <w:b/>
                <w:bCs/>
                <w:kern w:val="0"/>
                <w:sz w:val="24"/>
                <w:szCs w:val="24"/>
              </w:rPr>
            </w:pPr>
            <w:r w:rsidRPr="00B22524">
              <w:rPr>
                <w:rFonts w:ascii="宋体" w:eastAsia="宋体" w:hAnsi="宋体" w:cs="宋体"/>
                <w:b/>
                <w:bCs/>
                <w:kern w:val="0"/>
                <w:sz w:val="24"/>
                <w:szCs w:val="24"/>
              </w:rPr>
              <w:t>C类基金份额赎回费率</w:t>
            </w:r>
          </w:p>
        </w:tc>
      </w:tr>
      <w:tr w:rsidR="00B22524" w:rsidRPr="00B22524" w:rsidTr="00940577">
        <w:tc>
          <w:tcPr>
            <w:tcW w:w="2268"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N＜7日</w:t>
            </w:r>
          </w:p>
        </w:tc>
        <w:tc>
          <w:tcPr>
            <w:tcW w:w="2835"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1.50%</w:t>
            </w:r>
          </w:p>
        </w:tc>
        <w:tc>
          <w:tcPr>
            <w:tcW w:w="311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940577">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1.50%</w:t>
            </w:r>
          </w:p>
        </w:tc>
      </w:tr>
      <w:tr w:rsidR="00B22524" w:rsidRPr="00B22524" w:rsidTr="00940577">
        <w:tc>
          <w:tcPr>
            <w:tcW w:w="2268"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940577">
            <w:pPr>
              <w:widowControl/>
              <w:spacing w:line="330" w:lineRule="atLeast"/>
              <w:jc w:val="center"/>
              <w:rPr>
                <w:rFonts w:ascii="宋体" w:eastAsia="宋体" w:hAnsi="宋体" w:cs="宋体"/>
                <w:kern w:val="0"/>
                <w:sz w:val="24"/>
                <w:szCs w:val="24"/>
              </w:rPr>
            </w:pPr>
            <w:r>
              <w:rPr>
                <w:rFonts w:ascii="宋体" w:eastAsia="宋体" w:hAnsi="宋体" w:cs="宋体"/>
                <w:kern w:val="0"/>
                <w:sz w:val="24"/>
                <w:szCs w:val="24"/>
              </w:rPr>
              <w:t>7</w:t>
            </w:r>
            <w:r w:rsidR="00B22524" w:rsidRPr="00B22524">
              <w:rPr>
                <w:rFonts w:ascii="宋体" w:eastAsia="宋体" w:hAnsi="宋体" w:cs="宋体"/>
                <w:kern w:val="0"/>
                <w:sz w:val="24"/>
                <w:szCs w:val="24"/>
              </w:rPr>
              <w:t>日≤N＜</w:t>
            </w:r>
            <w:r w:rsidR="00D27A99">
              <w:rPr>
                <w:rFonts w:ascii="宋体" w:eastAsia="宋体" w:hAnsi="宋体" w:cs="宋体"/>
                <w:kern w:val="0"/>
                <w:sz w:val="24"/>
                <w:szCs w:val="24"/>
              </w:rPr>
              <w:t>3</w:t>
            </w:r>
            <w:r w:rsidR="00D27A99" w:rsidRPr="00B22524">
              <w:rPr>
                <w:rFonts w:ascii="宋体" w:eastAsia="宋体" w:hAnsi="宋体" w:cs="宋体"/>
                <w:kern w:val="0"/>
                <w:sz w:val="24"/>
                <w:szCs w:val="24"/>
              </w:rPr>
              <w:t>0</w:t>
            </w:r>
            <w:r w:rsidR="00B22524" w:rsidRPr="00B22524">
              <w:rPr>
                <w:rFonts w:ascii="宋体" w:eastAsia="宋体" w:hAnsi="宋体" w:cs="宋体"/>
                <w:kern w:val="0"/>
                <w:sz w:val="24"/>
                <w:szCs w:val="24"/>
              </w:rPr>
              <w:t>日</w:t>
            </w:r>
          </w:p>
        </w:tc>
        <w:tc>
          <w:tcPr>
            <w:tcW w:w="2835"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B22524" w:rsidP="00C65759">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0.</w:t>
            </w:r>
            <w:r w:rsidR="007A31DA">
              <w:rPr>
                <w:rFonts w:ascii="宋体" w:eastAsia="宋体" w:hAnsi="宋体" w:cs="宋体"/>
                <w:kern w:val="0"/>
                <w:sz w:val="24"/>
                <w:szCs w:val="24"/>
              </w:rPr>
              <w:t>10</w:t>
            </w:r>
            <w:r w:rsidRPr="00B22524">
              <w:rPr>
                <w:rFonts w:ascii="宋体" w:eastAsia="宋体" w:hAnsi="宋体" w:cs="宋体"/>
                <w:kern w:val="0"/>
                <w:sz w:val="24"/>
                <w:szCs w:val="24"/>
              </w:rPr>
              <w:t>%</w:t>
            </w:r>
          </w:p>
        </w:tc>
        <w:tc>
          <w:tcPr>
            <w:tcW w:w="311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B22524" w:rsidRPr="00B22524" w:rsidRDefault="007A31DA" w:rsidP="00537F91">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0.00%</w:t>
            </w:r>
          </w:p>
        </w:tc>
      </w:tr>
      <w:tr w:rsidR="00537F91" w:rsidRPr="00B22524" w:rsidTr="00940577">
        <w:tc>
          <w:tcPr>
            <w:tcW w:w="2268"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537F91" w:rsidRPr="00B22524" w:rsidRDefault="00537F91" w:rsidP="00C65759">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N≥</w:t>
            </w:r>
            <w:r w:rsidR="007A31DA">
              <w:rPr>
                <w:rFonts w:ascii="宋体" w:eastAsia="宋体" w:hAnsi="宋体" w:cs="宋体"/>
                <w:kern w:val="0"/>
                <w:sz w:val="24"/>
                <w:szCs w:val="24"/>
              </w:rPr>
              <w:t>3</w:t>
            </w:r>
            <w:r w:rsidR="007A31DA" w:rsidRPr="00B22524">
              <w:rPr>
                <w:rFonts w:ascii="宋体" w:eastAsia="宋体" w:hAnsi="宋体" w:cs="宋体"/>
                <w:kern w:val="0"/>
                <w:sz w:val="24"/>
                <w:szCs w:val="24"/>
              </w:rPr>
              <w:t>0</w:t>
            </w:r>
            <w:r w:rsidRPr="00B22524">
              <w:rPr>
                <w:rFonts w:ascii="宋体" w:eastAsia="宋体" w:hAnsi="宋体" w:cs="宋体"/>
                <w:kern w:val="0"/>
                <w:sz w:val="24"/>
                <w:szCs w:val="24"/>
              </w:rPr>
              <w:t>日</w:t>
            </w:r>
          </w:p>
        </w:tc>
        <w:tc>
          <w:tcPr>
            <w:tcW w:w="2835"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537F91" w:rsidRPr="00B22524" w:rsidRDefault="00537F91" w:rsidP="00537F91">
            <w:pPr>
              <w:widowControl/>
              <w:spacing w:line="330" w:lineRule="atLeast"/>
              <w:jc w:val="center"/>
              <w:rPr>
                <w:rFonts w:ascii="宋体" w:eastAsia="宋体" w:hAnsi="宋体" w:cs="宋体"/>
                <w:kern w:val="0"/>
                <w:sz w:val="24"/>
                <w:szCs w:val="24"/>
              </w:rPr>
            </w:pPr>
            <w:r w:rsidRPr="00B22524">
              <w:rPr>
                <w:rFonts w:ascii="宋体" w:eastAsia="宋体" w:hAnsi="宋体" w:cs="宋体"/>
                <w:kern w:val="0"/>
                <w:sz w:val="24"/>
                <w:szCs w:val="24"/>
              </w:rPr>
              <w:t>0.00%</w:t>
            </w:r>
          </w:p>
        </w:tc>
        <w:tc>
          <w:tcPr>
            <w:tcW w:w="311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537F91" w:rsidRPr="00B22524" w:rsidRDefault="00537F91" w:rsidP="00537F91">
            <w:pPr>
              <w:widowControl/>
              <w:spacing w:line="330" w:lineRule="atLeast"/>
              <w:jc w:val="center"/>
              <w:rPr>
                <w:rFonts w:ascii="宋体" w:eastAsia="宋体" w:hAnsi="宋体" w:cs="宋体"/>
                <w:kern w:val="0"/>
                <w:sz w:val="24"/>
                <w:szCs w:val="24"/>
              </w:rPr>
            </w:pPr>
            <w:bookmarkStart w:id="1" w:name="OLE_LINK1"/>
            <w:bookmarkStart w:id="2" w:name="OLE_LINK2"/>
            <w:r w:rsidRPr="00B22524">
              <w:rPr>
                <w:rFonts w:ascii="宋体" w:eastAsia="宋体" w:hAnsi="宋体" w:cs="宋体"/>
                <w:kern w:val="0"/>
                <w:sz w:val="24"/>
                <w:szCs w:val="24"/>
              </w:rPr>
              <w:t>0.00%</w:t>
            </w:r>
            <w:bookmarkEnd w:id="1"/>
            <w:bookmarkEnd w:id="2"/>
          </w:p>
        </w:tc>
      </w:tr>
    </w:tbl>
    <w:p w:rsidR="0070488C" w:rsidRPr="004C0645" w:rsidRDefault="0070488C" w:rsidP="005434E0">
      <w:pPr>
        <w:snapToGrid w:val="0"/>
        <w:spacing w:beforeLines="50" w:line="360" w:lineRule="auto"/>
        <w:rPr>
          <w:rFonts w:asciiTheme="minorEastAsia" w:hAnsiTheme="minorEastAsia" w:cs="宋体"/>
          <w:color w:val="333333"/>
          <w:kern w:val="0"/>
          <w:sz w:val="24"/>
          <w:szCs w:val="24"/>
        </w:rPr>
      </w:pPr>
      <w:r w:rsidRPr="004C0645">
        <w:rPr>
          <w:rFonts w:asciiTheme="minorEastAsia" w:hAnsiTheme="minorEastAsia" w:cs="宋体" w:hint="eastAsia"/>
          <w:color w:val="333333"/>
          <w:kern w:val="0"/>
          <w:sz w:val="24"/>
          <w:szCs w:val="24"/>
        </w:rPr>
        <w:t>基金份额持有人可将其持有的全部或部分基金份额赎回。赎回费用由赎回基金份额的基金份额持有人承担，在基金份额持有人赎回基金份额时收取。</w:t>
      </w:r>
    </w:p>
    <w:p w:rsidR="00B22524" w:rsidRDefault="00B22524" w:rsidP="006E1235">
      <w:pPr>
        <w:widowControl/>
        <w:shd w:val="clear" w:color="auto" w:fill="FFFFFF"/>
        <w:spacing w:before="150" w:after="150"/>
        <w:outlineLvl w:val="3"/>
        <w:rPr>
          <w:rFonts w:asciiTheme="minorEastAsia" w:hAnsiTheme="minorEastAsia" w:cs="宋体"/>
          <w:b/>
          <w:bCs/>
          <w:color w:val="333333"/>
          <w:kern w:val="0"/>
          <w:sz w:val="27"/>
          <w:szCs w:val="27"/>
        </w:rPr>
      </w:pPr>
      <w:r w:rsidRPr="00B22524">
        <w:rPr>
          <w:rFonts w:asciiTheme="minorEastAsia" w:hAnsiTheme="minorEastAsia" w:cs="宋体" w:hint="eastAsia"/>
          <w:b/>
          <w:bCs/>
          <w:color w:val="333333"/>
          <w:kern w:val="0"/>
          <w:sz w:val="27"/>
          <w:szCs w:val="27"/>
        </w:rPr>
        <w:t>4.3 其他与赎回相关的事项</w:t>
      </w:r>
    </w:p>
    <w:p w:rsidR="00B22524" w:rsidRPr="00B22524" w:rsidRDefault="0054771A" w:rsidP="00B20C37">
      <w:pPr>
        <w:widowControl/>
        <w:shd w:val="clear" w:color="auto" w:fill="FFFFFF"/>
        <w:spacing w:before="150" w:after="150" w:line="360" w:lineRule="auto"/>
        <w:outlineLvl w:val="3"/>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基金管理人可以在基金合同规定的范围内调整赎回费率或变更收费方式，并最迟应于新的费率或收费方式实施日前依照《信息披露办法》的有关规定在指定媒介</w:t>
      </w:r>
      <w:r w:rsidR="00B22524" w:rsidRPr="00B22524">
        <w:rPr>
          <w:rFonts w:asciiTheme="minorEastAsia" w:hAnsiTheme="minorEastAsia" w:cs="宋体" w:hint="eastAsia"/>
          <w:color w:val="333333"/>
          <w:kern w:val="0"/>
          <w:sz w:val="24"/>
          <w:szCs w:val="24"/>
        </w:rPr>
        <w:t>上公告。</w:t>
      </w:r>
    </w:p>
    <w:p w:rsidR="00B22524" w:rsidRPr="00B22524" w:rsidRDefault="00B22524" w:rsidP="00A106A8">
      <w:pPr>
        <w:widowControl/>
        <w:shd w:val="clear" w:color="auto" w:fill="FFFFFF"/>
        <w:spacing w:before="240" w:after="24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5 日常转换业务</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5.1 转换费率</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5.1.1基金转换费用构成</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基金转换费由转出基金的赎回费以及相应的申购费补差两部分构成，具体收取情况视每次转换时两只基金的申购费率差异情况和赎回费率而定。基金转换费用由基金持有人承担，具体计算如下：</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（1）基金转换申购补差费：当转入基金的适用申购费率高于转出基金的适用申购费率时，将收取申购费补差，当转入基金的适用申购费率等于或低于转出基金的适用申购费率时, 不收取申购费补差。</w:t>
      </w:r>
    </w:p>
    <w:p w:rsidR="00B22524" w:rsidRPr="00B22524" w:rsidRDefault="00B22524" w:rsidP="00A106A8">
      <w:pPr>
        <w:widowControl/>
        <w:shd w:val="clear" w:color="auto" w:fill="FFFFFF"/>
        <w:spacing w:before="240" w:line="420" w:lineRule="atLeas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（2）转出基金赎回费：按转出基金正常赎回时的赎回费率收取费用，具体各基金的赎回费率请参见各基金的招募说明书或登录本公司网站（www.hsqhfunds.com）查询。</w:t>
      </w:r>
    </w:p>
    <w:p w:rsidR="00B22524" w:rsidRPr="00B22524" w:rsidRDefault="00B22524" w:rsidP="005434E0">
      <w:pPr>
        <w:widowControl/>
        <w:shd w:val="clear" w:color="auto" w:fill="FFFFFF"/>
        <w:spacing w:beforeLines="50" w:after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5.1.2转换份额计算公式</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基金转换计算公式如下：</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转出金额=转出基金份额×转出基金当日基金份额净值</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转出基金赎回费用=转出金额×转出基金赎回费率</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转入金额=转出金额–转出基金赎回费用</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补差费用=转入基金申购费-转出基金申购费（如计算所得补差费用小于0，则补差费用为0）</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其中：</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转入基金申购费=转入金额/</w:t>
      </w:r>
      <w:r w:rsidR="00354832">
        <w:rPr>
          <w:rFonts w:asciiTheme="minorEastAsia" w:hAnsiTheme="minorEastAsia" w:cs="宋体"/>
          <w:color w:val="333333"/>
          <w:kern w:val="0"/>
          <w:sz w:val="24"/>
          <w:szCs w:val="24"/>
        </w:rPr>
        <w:t>(</w:t>
      </w:r>
      <w:r w:rsidRPr="00B22524">
        <w:rPr>
          <w:rFonts w:asciiTheme="minorEastAsia" w:hAnsiTheme="minorEastAsia" w:cs="宋体" w:hint="eastAsia"/>
          <w:color w:val="333333"/>
          <w:kern w:val="0"/>
          <w:sz w:val="24"/>
          <w:szCs w:val="24"/>
        </w:rPr>
        <w:t>1+转入基金申购费率</w:t>
      </w:r>
      <w:r w:rsidR="00354832">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×转入基金申购费率（若转入基金申购费适用固定费用时，则转入基金申购费=转入基金固定申购费）</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转出基金申购费=转入金额/</w:t>
      </w:r>
      <w:r w:rsidR="00354832">
        <w:rPr>
          <w:rFonts w:asciiTheme="minorEastAsia" w:hAnsiTheme="minorEastAsia" w:cs="宋体"/>
          <w:color w:val="333333"/>
          <w:kern w:val="0"/>
          <w:sz w:val="24"/>
          <w:szCs w:val="24"/>
        </w:rPr>
        <w:t>(</w:t>
      </w:r>
      <w:r w:rsidRPr="00B22524">
        <w:rPr>
          <w:rFonts w:asciiTheme="minorEastAsia" w:hAnsiTheme="minorEastAsia" w:cs="宋体" w:hint="eastAsia"/>
          <w:color w:val="333333"/>
          <w:kern w:val="0"/>
          <w:sz w:val="24"/>
          <w:szCs w:val="24"/>
        </w:rPr>
        <w:t>1+</w:t>
      </w:r>
      <w:r w:rsidR="00354832">
        <w:rPr>
          <w:rFonts w:asciiTheme="minorEastAsia" w:hAnsiTheme="minorEastAsia" w:cs="宋体" w:hint="eastAsia"/>
          <w:color w:val="333333"/>
          <w:kern w:val="0"/>
          <w:sz w:val="24"/>
          <w:szCs w:val="24"/>
        </w:rPr>
        <w:t>转出基金申购费率)</w:t>
      </w:r>
      <w:r w:rsidRPr="00B22524">
        <w:rPr>
          <w:rFonts w:asciiTheme="minorEastAsia" w:hAnsiTheme="minorEastAsia" w:cs="宋体" w:hint="eastAsia"/>
          <w:color w:val="333333"/>
          <w:kern w:val="0"/>
          <w:sz w:val="24"/>
          <w:szCs w:val="24"/>
        </w:rPr>
        <w:t>×转出基金申购费率（若转出基金申购费适用固定费用时，则转出基金申购费=转出基金固定申购费）</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净转入金额=转入金额–补差费用</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净转入份额=净转入金额/转入基金当日基金份额净值</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例1：恒生前海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证券投资基金A类份额5</w:t>
      </w:r>
      <w:r w:rsidR="005F6527">
        <w:rPr>
          <w:rFonts w:asciiTheme="minorEastAsia" w:hAnsiTheme="minorEastAsia" w:cs="宋体" w:hint="eastAsia"/>
          <w:color w:val="333333"/>
          <w:kern w:val="0"/>
          <w:sz w:val="24"/>
          <w:szCs w:val="24"/>
        </w:rPr>
        <w:t>万</w:t>
      </w:r>
      <w:r w:rsidRPr="00B22524">
        <w:rPr>
          <w:rFonts w:asciiTheme="minorEastAsia" w:hAnsiTheme="minorEastAsia" w:cs="宋体" w:hint="eastAsia"/>
          <w:color w:val="333333"/>
          <w:kern w:val="0"/>
          <w:sz w:val="24"/>
          <w:szCs w:val="24"/>
        </w:rPr>
        <w:t>份转换为恒生前海</w:t>
      </w:r>
      <w:r w:rsidR="00F2005B">
        <w:rPr>
          <w:rFonts w:asciiTheme="minorEastAsia" w:hAnsiTheme="minorEastAsia" w:cs="宋体" w:hint="eastAsia"/>
          <w:color w:val="333333"/>
          <w:kern w:val="0"/>
          <w:sz w:val="24"/>
          <w:szCs w:val="24"/>
        </w:rPr>
        <w:t>短债债券</w:t>
      </w:r>
      <w:r w:rsidRPr="00B22524">
        <w:rPr>
          <w:rFonts w:asciiTheme="minorEastAsia" w:hAnsiTheme="minorEastAsia" w:cs="宋体" w:hint="eastAsia"/>
          <w:color w:val="333333"/>
          <w:kern w:val="0"/>
          <w:sz w:val="24"/>
          <w:szCs w:val="24"/>
        </w:rPr>
        <w:t>型</w:t>
      </w:r>
      <w:r w:rsidR="00F2005B">
        <w:rPr>
          <w:rFonts w:asciiTheme="minorEastAsia" w:hAnsiTheme="minorEastAsia" w:cs="宋体" w:hint="eastAsia"/>
          <w:color w:val="333333"/>
          <w:kern w:val="0"/>
          <w:sz w:val="24"/>
          <w:szCs w:val="24"/>
        </w:rPr>
        <w:t>发起式</w:t>
      </w:r>
      <w:r w:rsidRPr="00B22524">
        <w:rPr>
          <w:rFonts w:asciiTheme="minorEastAsia" w:hAnsiTheme="minorEastAsia" w:cs="宋体" w:hint="eastAsia"/>
          <w:color w:val="333333"/>
          <w:kern w:val="0"/>
          <w:sz w:val="24"/>
          <w:szCs w:val="24"/>
        </w:rPr>
        <w:t>证券投资基金</w:t>
      </w:r>
      <w:r w:rsidR="00962F7F">
        <w:rPr>
          <w:rFonts w:asciiTheme="minorEastAsia" w:hAnsiTheme="minorEastAsia" w:cs="宋体" w:hint="eastAsia"/>
          <w:color w:val="333333"/>
          <w:kern w:val="0"/>
          <w:sz w:val="24"/>
          <w:szCs w:val="24"/>
        </w:rPr>
        <w:t>A</w:t>
      </w:r>
      <w:r w:rsidR="005F6527">
        <w:rPr>
          <w:rFonts w:asciiTheme="minorEastAsia" w:hAnsiTheme="minorEastAsia" w:cs="宋体" w:hint="eastAsia"/>
          <w:color w:val="333333"/>
          <w:kern w:val="0"/>
          <w:sz w:val="24"/>
          <w:szCs w:val="24"/>
        </w:rPr>
        <w:t>类</w:t>
      </w:r>
      <w:r w:rsidR="00962F7F">
        <w:rPr>
          <w:rFonts w:asciiTheme="minorEastAsia" w:hAnsiTheme="minorEastAsia" w:cs="宋体" w:hint="eastAsia"/>
          <w:color w:val="333333"/>
          <w:kern w:val="0"/>
          <w:sz w:val="24"/>
          <w:szCs w:val="24"/>
        </w:rPr>
        <w:t>份额</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假设某投资者在某销售机构购买了5万份恒生前海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证券投资基金A</w:t>
      </w:r>
      <w:r w:rsidR="005F6527">
        <w:rPr>
          <w:rFonts w:asciiTheme="minorEastAsia" w:hAnsiTheme="minorEastAsia" w:cs="宋体" w:hint="eastAsia"/>
          <w:color w:val="333333"/>
          <w:kern w:val="0"/>
          <w:sz w:val="24"/>
          <w:szCs w:val="24"/>
        </w:rPr>
        <w:t>份额</w:t>
      </w:r>
      <w:r w:rsidRPr="00B22524">
        <w:rPr>
          <w:rFonts w:asciiTheme="minorEastAsia" w:hAnsiTheme="minorEastAsia" w:cs="宋体" w:hint="eastAsia"/>
          <w:color w:val="333333"/>
          <w:kern w:val="0"/>
          <w:sz w:val="24"/>
          <w:szCs w:val="24"/>
        </w:rPr>
        <w:t>，至T日其持有期满7天未超过</w:t>
      </w:r>
      <w:r w:rsidR="00D27A99">
        <w:rPr>
          <w:rFonts w:asciiTheme="minorEastAsia" w:hAnsiTheme="minorEastAsia" w:cs="宋体"/>
          <w:color w:val="333333"/>
          <w:kern w:val="0"/>
          <w:sz w:val="24"/>
          <w:szCs w:val="24"/>
        </w:rPr>
        <w:t>3</w:t>
      </w:r>
      <w:r w:rsidR="00D27A99" w:rsidRPr="00B22524">
        <w:rPr>
          <w:rFonts w:asciiTheme="minorEastAsia" w:hAnsiTheme="minorEastAsia" w:cs="宋体" w:hint="eastAsia"/>
          <w:color w:val="333333"/>
          <w:kern w:val="0"/>
          <w:sz w:val="24"/>
          <w:szCs w:val="24"/>
        </w:rPr>
        <w:t>0</w:t>
      </w:r>
      <w:r w:rsidRPr="00B22524">
        <w:rPr>
          <w:rFonts w:asciiTheme="minorEastAsia" w:hAnsiTheme="minorEastAsia" w:cs="宋体" w:hint="eastAsia"/>
          <w:color w:val="333333"/>
          <w:kern w:val="0"/>
          <w:sz w:val="24"/>
          <w:szCs w:val="24"/>
        </w:rPr>
        <w:t>天，现拟在T日全部转换为恒生前海</w:t>
      </w:r>
      <w:r w:rsidR="00962F7F">
        <w:rPr>
          <w:rFonts w:asciiTheme="minorEastAsia" w:hAnsiTheme="minorEastAsia" w:cs="宋体" w:hint="eastAsia"/>
          <w:color w:val="333333"/>
          <w:kern w:val="0"/>
          <w:sz w:val="24"/>
          <w:szCs w:val="24"/>
        </w:rPr>
        <w:t>短债债券</w:t>
      </w:r>
      <w:r w:rsidRPr="00B22524">
        <w:rPr>
          <w:rFonts w:asciiTheme="minorEastAsia" w:hAnsiTheme="minorEastAsia" w:cs="宋体" w:hint="eastAsia"/>
          <w:color w:val="333333"/>
          <w:kern w:val="0"/>
          <w:sz w:val="24"/>
          <w:szCs w:val="24"/>
        </w:rPr>
        <w:t>型</w:t>
      </w:r>
      <w:r w:rsidR="00962F7F">
        <w:rPr>
          <w:rFonts w:asciiTheme="minorEastAsia" w:hAnsiTheme="minorEastAsia" w:cs="宋体" w:hint="eastAsia"/>
          <w:color w:val="333333"/>
          <w:kern w:val="0"/>
          <w:sz w:val="24"/>
          <w:szCs w:val="24"/>
        </w:rPr>
        <w:t>发起式</w:t>
      </w:r>
      <w:r w:rsidRPr="00B22524">
        <w:rPr>
          <w:rFonts w:asciiTheme="minorEastAsia" w:hAnsiTheme="minorEastAsia" w:cs="宋体" w:hint="eastAsia"/>
          <w:color w:val="333333"/>
          <w:kern w:val="0"/>
          <w:sz w:val="24"/>
          <w:szCs w:val="24"/>
        </w:rPr>
        <w:t>证券投资基金</w:t>
      </w:r>
      <w:r w:rsidR="005F6527">
        <w:rPr>
          <w:rFonts w:asciiTheme="minorEastAsia" w:hAnsiTheme="minorEastAsia" w:cs="宋体" w:hint="eastAsia"/>
          <w:color w:val="333333"/>
          <w:kern w:val="0"/>
          <w:sz w:val="24"/>
          <w:szCs w:val="24"/>
        </w:rPr>
        <w:t>A份额</w:t>
      </w:r>
      <w:r w:rsidRPr="00B22524">
        <w:rPr>
          <w:rFonts w:asciiTheme="minorEastAsia" w:hAnsiTheme="minorEastAsia" w:cs="宋体" w:hint="eastAsia"/>
          <w:color w:val="333333"/>
          <w:kern w:val="0"/>
          <w:sz w:val="24"/>
          <w:szCs w:val="24"/>
        </w:rPr>
        <w:t>。</w:t>
      </w:r>
    </w:p>
    <w:p w:rsidR="00B22524" w:rsidRPr="00B22524" w:rsidRDefault="00B22524" w:rsidP="00A106A8">
      <w:pPr>
        <w:widowControl/>
        <w:shd w:val="clear" w:color="auto" w:fill="FFFFFF"/>
        <w:spacing w:before="60" w:after="60" w:line="360" w:lineRule="auto"/>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T日，恒生前海</w:t>
      </w:r>
      <w:r w:rsidR="007A31DA">
        <w:rPr>
          <w:rFonts w:asciiTheme="minorEastAsia" w:hAnsiTheme="minorEastAsia" w:cs="宋体" w:hint="eastAsia"/>
          <w:color w:val="333333"/>
          <w:kern w:val="0"/>
          <w:sz w:val="24"/>
          <w:szCs w:val="24"/>
        </w:rPr>
        <w:t>恒源丰利债券</w:t>
      </w:r>
      <w:r w:rsidR="00537F91">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证券投资基金A</w:t>
      </w:r>
      <w:r w:rsidR="005F6527">
        <w:rPr>
          <w:rFonts w:asciiTheme="minorEastAsia" w:hAnsiTheme="minorEastAsia" w:cs="宋体" w:hint="eastAsia"/>
          <w:color w:val="333333"/>
          <w:kern w:val="0"/>
          <w:sz w:val="24"/>
          <w:szCs w:val="24"/>
        </w:rPr>
        <w:t>份额</w:t>
      </w:r>
      <w:r w:rsidRPr="00B22524">
        <w:rPr>
          <w:rFonts w:asciiTheme="minorEastAsia" w:hAnsiTheme="minorEastAsia" w:cs="宋体" w:hint="eastAsia"/>
          <w:color w:val="333333"/>
          <w:kern w:val="0"/>
          <w:sz w:val="24"/>
          <w:szCs w:val="24"/>
        </w:rPr>
        <w:t>的净值为1.1000，赎回费率为0.</w:t>
      </w:r>
      <w:r w:rsidR="00E24E5A">
        <w:rPr>
          <w:rFonts w:asciiTheme="minorEastAsia" w:hAnsiTheme="minorEastAsia" w:cs="宋体"/>
          <w:color w:val="333333"/>
          <w:kern w:val="0"/>
          <w:sz w:val="24"/>
          <w:szCs w:val="24"/>
        </w:rPr>
        <w:t>10</w:t>
      </w:r>
      <w:r w:rsidRPr="00B22524">
        <w:rPr>
          <w:rFonts w:asciiTheme="minorEastAsia" w:hAnsiTheme="minorEastAsia" w:cs="宋体" w:hint="eastAsia"/>
          <w:color w:val="333333"/>
          <w:kern w:val="0"/>
          <w:sz w:val="24"/>
          <w:szCs w:val="24"/>
        </w:rPr>
        <w:t>%，适用申购费率为</w:t>
      </w:r>
      <w:r w:rsidR="00E24E5A">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E24E5A">
        <w:rPr>
          <w:rFonts w:asciiTheme="minorEastAsia" w:hAnsiTheme="minorEastAsia" w:cs="宋体"/>
          <w:color w:val="333333"/>
          <w:kern w:val="0"/>
          <w:sz w:val="24"/>
          <w:szCs w:val="24"/>
        </w:rPr>
        <w:t>80</w:t>
      </w:r>
      <w:r w:rsidRPr="00B22524">
        <w:rPr>
          <w:rFonts w:asciiTheme="minorEastAsia" w:hAnsiTheme="minorEastAsia" w:cs="宋体" w:hint="eastAsia"/>
          <w:color w:val="333333"/>
          <w:kern w:val="0"/>
          <w:sz w:val="24"/>
          <w:szCs w:val="24"/>
        </w:rPr>
        <w:t>%；恒生前海</w:t>
      </w:r>
      <w:r w:rsidR="00962F7F">
        <w:rPr>
          <w:rFonts w:asciiTheme="minorEastAsia" w:hAnsiTheme="minorEastAsia" w:cs="宋体" w:hint="eastAsia"/>
          <w:color w:val="333333"/>
          <w:kern w:val="0"/>
          <w:sz w:val="24"/>
          <w:szCs w:val="24"/>
        </w:rPr>
        <w:t>短债债券</w:t>
      </w:r>
      <w:r w:rsidRPr="00B22524">
        <w:rPr>
          <w:rFonts w:asciiTheme="minorEastAsia" w:hAnsiTheme="minorEastAsia" w:cs="宋体" w:hint="eastAsia"/>
          <w:color w:val="333333"/>
          <w:kern w:val="0"/>
          <w:sz w:val="24"/>
          <w:szCs w:val="24"/>
        </w:rPr>
        <w:t>型</w:t>
      </w:r>
      <w:r w:rsidR="00962F7F">
        <w:rPr>
          <w:rFonts w:asciiTheme="minorEastAsia" w:hAnsiTheme="minorEastAsia" w:cs="宋体" w:hint="eastAsia"/>
          <w:color w:val="333333"/>
          <w:kern w:val="0"/>
          <w:sz w:val="24"/>
          <w:szCs w:val="24"/>
        </w:rPr>
        <w:t>发起式</w:t>
      </w:r>
      <w:r w:rsidRPr="00B22524">
        <w:rPr>
          <w:rFonts w:asciiTheme="minorEastAsia" w:hAnsiTheme="minorEastAsia" w:cs="宋体" w:hint="eastAsia"/>
          <w:color w:val="333333"/>
          <w:kern w:val="0"/>
          <w:sz w:val="24"/>
          <w:szCs w:val="24"/>
        </w:rPr>
        <w:t>证券投资基金</w:t>
      </w:r>
      <w:r w:rsidR="00962F7F">
        <w:rPr>
          <w:rFonts w:asciiTheme="minorEastAsia" w:hAnsiTheme="minorEastAsia" w:cs="宋体" w:hint="eastAsia"/>
          <w:color w:val="333333"/>
          <w:kern w:val="0"/>
          <w:sz w:val="24"/>
          <w:szCs w:val="24"/>
        </w:rPr>
        <w:t>A</w:t>
      </w:r>
      <w:r w:rsidR="005F6527">
        <w:rPr>
          <w:rFonts w:asciiTheme="minorEastAsia" w:hAnsiTheme="minorEastAsia" w:cs="宋体" w:hint="eastAsia"/>
          <w:color w:val="333333"/>
          <w:kern w:val="0"/>
          <w:sz w:val="24"/>
          <w:szCs w:val="24"/>
        </w:rPr>
        <w:t>份额</w:t>
      </w:r>
      <w:r w:rsidRPr="00B22524">
        <w:rPr>
          <w:rFonts w:asciiTheme="minorEastAsia" w:hAnsiTheme="minorEastAsia" w:cs="宋体" w:hint="eastAsia"/>
          <w:color w:val="333333"/>
          <w:kern w:val="0"/>
          <w:sz w:val="24"/>
          <w:szCs w:val="24"/>
        </w:rPr>
        <w:t>的净值为1.2000，T日该销售机构的适用申购费率为</w:t>
      </w:r>
      <w:r w:rsidR="00962F7F">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962F7F">
        <w:rPr>
          <w:rFonts w:asciiTheme="minorEastAsia" w:hAnsiTheme="minorEastAsia" w:cs="宋体"/>
          <w:color w:val="333333"/>
          <w:kern w:val="0"/>
          <w:sz w:val="24"/>
          <w:szCs w:val="24"/>
        </w:rPr>
        <w:t>4</w:t>
      </w:r>
      <w:r w:rsidR="00F2005B">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%。则计算如下：</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转出金额=50,000×1.1000=55,000元</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转出基金赎回费用=55,000×0.</w:t>
      </w:r>
      <w:r w:rsidR="00E24E5A">
        <w:rPr>
          <w:rFonts w:asciiTheme="minorEastAsia" w:hAnsiTheme="minorEastAsia" w:cs="宋体"/>
          <w:color w:val="333333"/>
          <w:kern w:val="0"/>
          <w:sz w:val="24"/>
          <w:szCs w:val="24"/>
        </w:rPr>
        <w:t>10</w:t>
      </w:r>
      <w:r w:rsidRPr="00B22524">
        <w:rPr>
          <w:rFonts w:asciiTheme="minorEastAsia" w:hAnsiTheme="minorEastAsia" w:cs="宋体" w:hint="eastAsia"/>
          <w:color w:val="333333"/>
          <w:kern w:val="0"/>
          <w:sz w:val="24"/>
          <w:szCs w:val="24"/>
        </w:rPr>
        <w:t>%=</w:t>
      </w:r>
      <w:r w:rsidR="00E24E5A">
        <w:rPr>
          <w:rFonts w:asciiTheme="minorEastAsia" w:hAnsiTheme="minorEastAsia" w:cs="宋体"/>
          <w:color w:val="333333"/>
          <w:kern w:val="0"/>
          <w:sz w:val="24"/>
          <w:szCs w:val="24"/>
        </w:rPr>
        <w:t>55</w:t>
      </w:r>
      <w:r w:rsidRPr="00B22524">
        <w:rPr>
          <w:rFonts w:asciiTheme="minorEastAsia" w:hAnsiTheme="minorEastAsia" w:cs="宋体" w:hint="eastAsia"/>
          <w:color w:val="333333"/>
          <w:kern w:val="0"/>
          <w:sz w:val="24"/>
          <w:szCs w:val="24"/>
        </w:rPr>
        <w:t>元</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转入金额=55,000–</w:t>
      </w:r>
      <w:r w:rsidR="00E24E5A">
        <w:rPr>
          <w:rFonts w:asciiTheme="minorEastAsia" w:hAnsiTheme="minorEastAsia" w:cs="宋体"/>
          <w:color w:val="333333"/>
          <w:kern w:val="0"/>
          <w:sz w:val="24"/>
          <w:szCs w:val="24"/>
        </w:rPr>
        <w:t>55</w:t>
      </w:r>
      <w:r w:rsidRPr="00B22524">
        <w:rPr>
          <w:rFonts w:asciiTheme="minorEastAsia" w:hAnsiTheme="minorEastAsia" w:cs="宋体" w:hint="eastAsia"/>
          <w:color w:val="333333"/>
          <w:kern w:val="0"/>
          <w:sz w:val="24"/>
          <w:szCs w:val="24"/>
        </w:rPr>
        <w:t>=54,</w:t>
      </w:r>
      <w:r w:rsidR="00E24E5A">
        <w:rPr>
          <w:rFonts w:asciiTheme="minorEastAsia" w:hAnsiTheme="minorEastAsia" w:cs="宋体"/>
          <w:color w:val="333333"/>
          <w:kern w:val="0"/>
          <w:sz w:val="24"/>
          <w:szCs w:val="24"/>
        </w:rPr>
        <w:t>945</w:t>
      </w:r>
      <w:r w:rsidRPr="00B22524">
        <w:rPr>
          <w:rFonts w:asciiTheme="minorEastAsia" w:hAnsiTheme="minorEastAsia" w:cs="宋体" w:hint="eastAsia"/>
          <w:color w:val="333333"/>
          <w:kern w:val="0"/>
          <w:sz w:val="24"/>
          <w:szCs w:val="24"/>
        </w:rPr>
        <w:t>元</w:t>
      </w:r>
    </w:p>
    <w:p w:rsidR="00770CE8" w:rsidRPr="00B22524" w:rsidRDefault="00770CE8" w:rsidP="00770CE8">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w:t>
      </w:r>
      <w:r>
        <w:rPr>
          <w:rFonts w:asciiTheme="minorEastAsia" w:hAnsiTheme="minorEastAsia" w:cs="宋体" w:hint="eastAsia"/>
          <w:color w:val="333333"/>
          <w:kern w:val="0"/>
          <w:sz w:val="24"/>
          <w:szCs w:val="24"/>
        </w:rPr>
        <w:t>入</w:t>
      </w:r>
      <w:r w:rsidRPr="00B22524">
        <w:rPr>
          <w:rFonts w:asciiTheme="minorEastAsia" w:hAnsiTheme="minorEastAsia" w:cs="宋体" w:hint="eastAsia"/>
          <w:color w:val="333333"/>
          <w:kern w:val="0"/>
          <w:sz w:val="24"/>
          <w:szCs w:val="24"/>
        </w:rPr>
        <w:t>基金申购费=5</w:t>
      </w:r>
      <w:r w:rsidR="00E24E5A">
        <w:rPr>
          <w:rFonts w:asciiTheme="minorEastAsia" w:hAnsiTheme="minorEastAsia" w:cs="宋体"/>
          <w:color w:val="333333"/>
          <w:kern w:val="0"/>
          <w:sz w:val="24"/>
          <w:szCs w:val="24"/>
        </w:rPr>
        <w:t>4,945</w:t>
      </w:r>
      <w:r w:rsidRPr="00B22524">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1+0.</w:t>
      </w:r>
      <w:r>
        <w:rPr>
          <w:rFonts w:asciiTheme="minorEastAsia" w:hAnsiTheme="minorEastAsia" w:cs="宋体"/>
          <w:color w:val="333333"/>
          <w:kern w:val="0"/>
          <w:sz w:val="24"/>
          <w:szCs w:val="24"/>
        </w:rPr>
        <w:t>40</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w:t>
      </w:r>
      <w:r w:rsidRPr="00B22524">
        <w:rPr>
          <w:rFonts w:asciiTheme="minorEastAsia" w:hAnsiTheme="minorEastAsia" w:cs="宋体" w:hint="eastAsia"/>
          <w:color w:val="333333"/>
          <w:kern w:val="0"/>
          <w:sz w:val="24"/>
          <w:szCs w:val="24"/>
        </w:rPr>
        <w:t>×0.</w:t>
      </w:r>
      <w:r>
        <w:rPr>
          <w:rFonts w:asciiTheme="minorEastAsia" w:hAnsiTheme="minorEastAsia" w:cs="宋体"/>
          <w:color w:val="333333"/>
          <w:kern w:val="0"/>
          <w:sz w:val="24"/>
          <w:szCs w:val="24"/>
        </w:rPr>
        <w:t>40</w:t>
      </w:r>
      <w:r w:rsidRPr="00B22524">
        <w:rPr>
          <w:rFonts w:asciiTheme="minorEastAsia" w:hAnsiTheme="minorEastAsia" w:cs="宋体" w:hint="eastAsia"/>
          <w:color w:val="333333"/>
          <w:kern w:val="0"/>
          <w:sz w:val="24"/>
          <w:szCs w:val="24"/>
        </w:rPr>
        <w:t>%=</w:t>
      </w:r>
      <w:r w:rsidR="00AE75FF">
        <w:rPr>
          <w:rFonts w:asciiTheme="minorEastAsia" w:hAnsiTheme="minorEastAsia" w:cs="宋体"/>
          <w:color w:val="333333"/>
          <w:kern w:val="0"/>
          <w:sz w:val="24"/>
          <w:szCs w:val="24"/>
        </w:rPr>
        <w:t>218</w:t>
      </w:r>
      <w:r>
        <w:rPr>
          <w:rFonts w:asciiTheme="minorEastAsia" w:hAnsiTheme="minorEastAsia" w:cs="宋体"/>
          <w:color w:val="333333"/>
          <w:kern w:val="0"/>
          <w:sz w:val="24"/>
          <w:szCs w:val="24"/>
        </w:rPr>
        <w:t>.</w:t>
      </w:r>
      <w:r w:rsidR="00AE75FF">
        <w:rPr>
          <w:rFonts w:asciiTheme="minorEastAsia" w:hAnsiTheme="minorEastAsia" w:cs="宋体"/>
          <w:color w:val="333333"/>
          <w:kern w:val="0"/>
          <w:sz w:val="24"/>
          <w:szCs w:val="24"/>
        </w:rPr>
        <w:t>90</w:t>
      </w:r>
      <w:r w:rsidRPr="00B22524">
        <w:rPr>
          <w:rFonts w:asciiTheme="minorEastAsia" w:hAnsiTheme="minorEastAsia" w:cs="宋体" w:hint="eastAsia"/>
          <w:color w:val="333333"/>
          <w:kern w:val="0"/>
          <w:sz w:val="24"/>
          <w:szCs w:val="24"/>
        </w:rPr>
        <w:t>元</w:t>
      </w:r>
    </w:p>
    <w:p w:rsidR="00B22524" w:rsidRPr="001776FF"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1776FF">
        <w:rPr>
          <w:rFonts w:asciiTheme="minorEastAsia" w:hAnsiTheme="minorEastAsia" w:cs="宋体" w:hint="eastAsia"/>
          <w:color w:val="333333"/>
          <w:kern w:val="0"/>
          <w:sz w:val="24"/>
          <w:szCs w:val="24"/>
        </w:rPr>
        <w:t>转</w:t>
      </w:r>
      <w:r w:rsidR="00770CE8" w:rsidRPr="001776FF">
        <w:rPr>
          <w:rFonts w:asciiTheme="minorEastAsia" w:hAnsiTheme="minorEastAsia" w:cs="宋体" w:hint="eastAsia"/>
          <w:color w:val="333333"/>
          <w:kern w:val="0"/>
          <w:sz w:val="24"/>
          <w:szCs w:val="24"/>
        </w:rPr>
        <w:t>出</w:t>
      </w:r>
      <w:r w:rsidRPr="001776FF">
        <w:rPr>
          <w:rFonts w:asciiTheme="minorEastAsia" w:hAnsiTheme="minorEastAsia" w:cs="宋体" w:hint="eastAsia"/>
          <w:color w:val="333333"/>
          <w:kern w:val="0"/>
          <w:sz w:val="24"/>
          <w:szCs w:val="24"/>
        </w:rPr>
        <w:t>基金申购费</w:t>
      </w:r>
      <w:r w:rsidRPr="001776FF">
        <w:rPr>
          <w:rFonts w:asciiTheme="minorEastAsia" w:hAnsiTheme="minorEastAsia" w:cs="宋体"/>
          <w:color w:val="333333"/>
          <w:kern w:val="0"/>
          <w:sz w:val="24"/>
          <w:szCs w:val="24"/>
        </w:rPr>
        <w:t>=54,</w:t>
      </w:r>
      <w:r w:rsidR="00E24E5A">
        <w:rPr>
          <w:rFonts w:asciiTheme="minorEastAsia" w:hAnsiTheme="minorEastAsia" w:cs="宋体"/>
          <w:color w:val="333333"/>
          <w:kern w:val="0"/>
          <w:sz w:val="24"/>
          <w:szCs w:val="24"/>
        </w:rPr>
        <w:t>945</w:t>
      </w:r>
      <w:r w:rsidRPr="001776FF">
        <w:rPr>
          <w:rFonts w:asciiTheme="minorEastAsia" w:hAnsiTheme="minorEastAsia" w:cs="宋体"/>
          <w:color w:val="333333"/>
          <w:kern w:val="0"/>
          <w:sz w:val="24"/>
          <w:szCs w:val="24"/>
        </w:rPr>
        <w:t>/</w:t>
      </w:r>
      <w:r w:rsidR="00195738" w:rsidRPr="001776FF">
        <w:rPr>
          <w:rFonts w:asciiTheme="minorEastAsia" w:hAnsiTheme="minorEastAsia" w:cs="宋体"/>
          <w:color w:val="333333"/>
          <w:kern w:val="0"/>
          <w:sz w:val="24"/>
          <w:szCs w:val="24"/>
        </w:rPr>
        <w:t>(</w:t>
      </w:r>
      <w:r w:rsidRPr="001776FF">
        <w:rPr>
          <w:rFonts w:asciiTheme="minorEastAsia" w:hAnsiTheme="minorEastAsia" w:cs="宋体"/>
          <w:color w:val="333333"/>
          <w:kern w:val="0"/>
          <w:sz w:val="24"/>
          <w:szCs w:val="24"/>
        </w:rPr>
        <w:t>1+</w:t>
      </w:r>
      <w:r w:rsidR="00E24E5A">
        <w:rPr>
          <w:rFonts w:asciiTheme="minorEastAsia" w:hAnsiTheme="minorEastAsia" w:cs="宋体"/>
          <w:color w:val="333333"/>
          <w:kern w:val="0"/>
          <w:sz w:val="24"/>
          <w:szCs w:val="24"/>
        </w:rPr>
        <w:t>0.8</w:t>
      </w:r>
      <w:r w:rsidR="004C1CF1" w:rsidRPr="001776FF">
        <w:rPr>
          <w:rFonts w:asciiTheme="minorEastAsia" w:hAnsiTheme="minorEastAsia" w:cs="宋体"/>
          <w:color w:val="333333"/>
          <w:kern w:val="0"/>
          <w:sz w:val="24"/>
          <w:szCs w:val="24"/>
        </w:rPr>
        <w:t>0</w:t>
      </w:r>
      <w:r w:rsidRPr="001776FF">
        <w:rPr>
          <w:rFonts w:asciiTheme="minorEastAsia" w:hAnsiTheme="minorEastAsia" w:cs="宋体"/>
          <w:color w:val="333333"/>
          <w:kern w:val="0"/>
          <w:sz w:val="24"/>
          <w:szCs w:val="24"/>
        </w:rPr>
        <w:t>%</w:t>
      </w:r>
      <w:r w:rsidR="00195738" w:rsidRPr="001776FF">
        <w:rPr>
          <w:rFonts w:asciiTheme="minorEastAsia" w:hAnsiTheme="minorEastAsia" w:cs="宋体"/>
          <w:color w:val="333333"/>
          <w:kern w:val="0"/>
          <w:sz w:val="24"/>
          <w:szCs w:val="24"/>
        </w:rPr>
        <w:t>)</w:t>
      </w:r>
      <w:r w:rsidRPr="001776FF">
        <w:rPr>
          <w:rFonts w:asciiTheme="minorEastAsia" w:hAnsiTheme="minorEastAsia" w:cs="宋体" w:hint="eastAsia"/>
          <w:color w:val="333333"/>
          <w:kern w:val="0"/>
          <w:sz w:val="24"/>
          <w:szCs w:val="24"/>
        </w:rPr>
        <w:t>×</w:t>
      </w:r>
      <w:r w:rsidR="00E24E5A">
        <w:rPr>
          <w:rFonts w:asciiTheme="minorEastAsia" w:hAnsiTheme="minorEastAsia" w:cs="宋体"/>
          <w:color w:val="333333"/>
          <w:kern w:val="0"/>
          <w:sz w:val="24"/>
          <w:szCs w:val="24"/>
        </w:rPr>
        <w:t>0.80</w:t>
      </w:r>
      <w:r w:rsidRPr="001776FF">
        <w:rPr>
          <w:rFonts w:asciiTheme="minorEastAsia" w:hAnsiTheme="minorEastAsia" w:cs="宋体"/>
          <w:color w:val="333333"/>
          <w:kern w:val="0"/>
          <w:sz w:val="24"/>
          <w:szCs w:val="24"/>
        </w:rPr>
        <w:t>%=</w:t>
      </w:r>
      <w:r w:rsidR="00E24E5A">
        <w:rPr>
          <w:rFonts w:asciiTheme="minorEastAsia" w:hAnsiTheme="minorEastAsia" w:cs="宋体"/>
          <w:color w:val="333333"/>
          <w:kern w:val="0"/>
          <w:sz w:val="24"/>
          <w:szCs w:val="24"/>
        </w:rPr>
        <w:t>436.07</w:t>
      </w:r>
      <w:r w:rsidRPr="001776FF">
        <w:rPr>
          <w:rFonts w:asciiTheme="minorEastAsia" w:hAnsiTheme="minorEastAsia" w:cs="宋体" w:hint="eastAsia"/>
          <w:color w:val="333333"/>
          <w:kern w:val="0"/>
          <w:sz w:val="24"/>
          <w:szCs w:val="24"/>
        </w:rPr>
        <w:t>元</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1776FF">
        <w:rPr>
          <w:rFonts w:asciiTheme="minorEastAsia" w:hAnsiTheme="minorEastAsia" w:cs="宋体" w:hint="eastAsia"/>
          <w:color w:val="333333"/>
          <w:kern w:val="0"/>
          <w:sz w:val="24"/>
          <w:szCs w:val="24"/>
        </w:rPr>
        <w:t>补差费用</w:t>
      </w:r>
      <w:r w:rsidRPr="001776FF">
        <w:rPr>
          <w:rFonts w:asciiTheme="minorEastAsia" w:hAnsiTheme="minorEastAsia" w:cs="宋体"/>
          <w:color w:val="333333"/>
          <w:kern w:val="0"/>
          <w:sz w:val="24"/>
          <w:szCs w:val="24"/>
        </w:rPr>
        <w:t>=</w:t>
      </w:r>
      <w:r w:rsidR="00AE75FF" w:rsidRPr="001776FF">
        <w:rPr>
          <w:rFonts w:asciiTheme="minorEastAsia" w:hAnsiTheme="minorEastAsia" w:cs="宋体"/>
          <w:color w:val="333333"/>
          <w:kern w:val="0"/>
          <w:sz w:val="24"/>
          <w:szCs w:val="24"/>
        </w:rPr>
        <w:t>21</w:t>
      </w:r>
      <w:r w:rsidR="00AE75FF">
        <w:rPr>
          <w:rFonts w:asciiTheme="minorEastAsia" w:hAnsiTheme="minorEastAsia" w:cs="宋体"/>
          <w:color w:val="333333"/>
          <w:kern w:val="0"/>
          <w:sz w:val="24"/>
          <w:szCs w:val="24"/>
        </w:rPr>
        <w:t>8</w:t>
      </w:r>
      <w:r w:rsidR="00770CE8" w:rsidRPr="001776FF">
        <w:rPr>
          <w:rFonts w:asciiTheme="minorEastAsia" w:hAnsiTheme="minorEastAsia" w:cs="宋体"/>
          <w:color w:val="333333"/>
          <w:kern w:val="0"/>
          <w:sz w:val="24"/>
          <w:szCs w:val="24"/>
        </w:rPr>
        <w:t>.</w:t>
      </w:r>
      <w:r w:rsidR="00AE75FF">
        <w:rPr>
          <w:rFonts w:asciiTheme="minorEastAsia" w:hAnsiTheme="minorEastAsia" w:cs="宋体"/>
          <w:color w:val="333333"/>
          <w:kern w:val="0"/>
          <w:sz w:val="24"/>
          <w:szCs w:val="24"/>
        </w:rPr>
        <w:t>9</w:t>
      </w:r>
      <w:r w:rsidR="00C65759">
        <w:rPr>
          <w:rFonts w:asciiTheme="minorEastAsia" w:hAnsiTheme="minorEastAsia" w:cs="宋体"/>
          <w:color w:val="333333"/>
          <w:kern w:val="0"/>
          <w:sz w:val="24"/>
          <w:szCs w:val="24"/>
        </w:rPr>
        <w:t>0</w:t>
      </w:r>
      <w:r w:rsidR="00770CE8" w:rsidRPr="001776FF">
        <w:rPr>
          <w:rFonts w:asciiTheme="minorEastAsia" w:hAnsiTheme="minorEastAsia" w:cs="宋体"/>
          <w:color w:val="333333"/>
          <w:kern w:val="0"/>
          <w:sz w:val="24"/>
          <w:szCs w:val="24"/>
        </w:rPr>
        <w:t>-</w:t>
      </w:r>
      <w:r w:rsidR="00C65759">
        <w:rPr>
          <w:rFonts w:asciiTheme="minorEastAsia" w:hAnsiTheme="minorEastAsia" w:cs="宋体"/>
          <w:color w:val="333333"/>
          <w:kern w:val="0"/>
          <w:sz w:val="24"/>
          <w:szCs w:val="24"/>
        </w:rPr>
        <w:t>436.07</w:t>
      </w:r>
      <w:r w:rsidRPr="001776FF">
        <w:rPr>
          <w:rFonts w:asciiTheme="minorEastAsia" w:hAnsiTheme="minorEastAsia" w:cs="宋体"/>
          <w:color w:val="333333"/>
          <w:kern w:val="0"/>
          <w:sz w:val="24"/>
          <w:szCs w:val="24"/>
        </w:rPr>
        <w:t>=</w:t>
      </w:r>
      <w:r w:rsidR="00770CE8" w:rsidRPr="001776FF">
        <w:rPr>
          <w:rFonts w:asciiTheme="minorEastAsia" w:hAnsiTheme="minorEastAsia" w:cs="宋体"/>
          <w:color w:val="333333"/>
          <w:kern w:val="0"/>
          <w:sz w:val="24"/>
          <w:szCs w:val="24"/>
        </w:rPr>
        <w:t>-</w:t>
      </w:r>
      <w:r w:rsidR="00C65759">
        <w:rPr>
          <w:rFonts w:asciiTheme="minorEastAsia" w:hAnsiTheme="minorEastAsia" w:cs="宋体"/>
          <w:color w:val="333333"/>
          <w:kern w:val="0"/>
          <w:sz w:val="24"/>
          <w:szCs w:val="24"/>
        </w:rPr>
        <w:t>21</w:t>
      </w:r>
      <w:r w:rsidR="00AE75FF">
        <w:rPr>
          <w:rFonts w:asciiTheme="minorEastAsia" w:hAnsiTheme="minorEastAsia" w:cs="宋体"/>
          <w:color w:val="333333"/>
          <w:kern w:val="0"/>
          <w:sz w:val="24"/>
          <w:szCs w:val="24"/>
        </w:rPr>
        <w:t>7</w:t>
      </w:r>
      <w:r w:rsidR="00DC0DDE" w:rsidRPr="001776FF">
        <w:rPr>
          <w:rFonts w:asciiTheme="minorEastAsia" w:hAnsiTheme="minorEastAsia" w:cs="宋体"/>
          <w:color w:val="333333"/>
          <w:kern w:val="0"/>
          <w:sz w:val="24"/>
          <w:szCs w:val="24"/>
        </w:rPr>
        <w:t>.</w:t>
      </w:r>
      <w:r w:rsidR="00AE75FF">
        <w:rPr>
          <w:rFonts w:asciiTheme="minorEastAsia" w:hAnsiTheme="minorEastAsia" w:cs="宋体"/>
          <w:color w:val="333333"/>
          <w:kern w:val="0"/>
          <w:sz w:val="24"/>
          <w:szCs w:val="24"/>
        </w:rPr>
        <w:t>1</w:t>
      </w:r>
      <w:r w:rsidR="00C65759">
        <w:rPr>
          <w:rFonts w:asciiTheme="minorEastAsia" w:hAnsiTheme="minorEastAsia" w:cs="宋体"/>
          <w:color w:val="333333"/>
          <w:kern w:val="0"/>
          <w:sz w:val="24"/>
          <w:szCs w:val="24"/>
        </w:rPr>
        <w:t>7</w:t>
      </w:r>
      <w:r w:rsidRPr="001776FF">
        <w:rPr>
          <w:rFonts w:asciiTheme="minorEastAsia" w:hAnsiTheme="minorEastAsia" w:cs="宋体" w:hint="eastAsia"/>
          <w:color w:val="333333"/>
          <w:kern w:val="0"/>
          <w:sz w:val="24"/>
          <w:szCs w:val="24"/>
        </w:rPr>
        <w:t>（</w:t>
      </w:r>
      <w:r w:rsidR="00770CE8" w:rsidRPr="001776FF">
        <w:rPr>
          <w:rFonts w:asciiTheme="minorEastAsia" w:hAnsiTheme="minorEastAsia" w:cs="宋体" w:hint="eastAsia"/>
          <w:color w:val="333333"/>
          <w:kern w:val="0"/>
          <w:sz w:val="24"/>
          <w:szCs w:val="24"/>
        </w:rPr>
        <w:t>不收取</w:t>
      </w:r>
      <w:r w:rsidRPr="001776FF">
        <w:rPr>
          <w:rFonts w:asciiTheme="minorEastAsia" w:hAnsiTheme="minorEastAsia" w:cs="宋体" w:hint="eastAsia"/>
          <w:color w:val="333333"/>
          <w:kern w:val="0"/>
          <w:sz w:val="24"/>
          <w:szCs w:val="24"/>
        </w:rPr>
        <w:t>补差费用）</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净转入金额=54</w:t>
      </w:r>
      <w:r w:rsidR="00AE75FF">
        <w:rPr>
          <w:rFonts w:asciiTheme="minorEastAsia" w:hAnsiTheme="minorEastAsia" w:cs="宋体"/>
          <w:color w:val="333333"/>
          <w:kern w:val="0"/>
          <w:sz w:val="24"/>
          <w:szCs w:val="24"/>
        </w:rPr>
        <w:t>,</w:t>
      </w:r>
      <w:r w:rsidR="00C65759">
        <w:rPr>
          <w:rFonts w:asciiTheme="minorEastAsia" w:hAnsiTheme="minorEastAsia" w:cs="宋体"/>
          <w:color w:val="333333"/>
          <w:kern w:val="0"/>
          <w:sz w:val="24"/>
          <w:szCs w:val="24"/>
        </w:rPr>
        <w:t>945</w:t>
      </w:r>
      <w:r w:rsidRPr="00B22524">
        <w:rPr>
          <w:rFonts w:asciiTheme="minorEastAsia" w:hAnsiTheme="minorEastAsia" w:cs="宋体" w:hint="eastAsia"/>
          <w:color w:val="333333"/>
          <w:kern w:val="0"/>
          <w:sz w:val="24"/>
          <w:szCs w:val="24"/>
        </w:rPr>
        <w:t>–</w:t>
      </w:r>
      <w:r w:rsidR="00770CE8">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5F6527" w:rsidRPr="00B22524">
        <w:rPr>
          <w:rFonts w:asciiTheme="minorEastAsia" w:hAnsiTheme="minorEastAsia" w:cs="宋体" w:hint="eastAsia"/>
          <w:color w:val="333333"/>
          <w:kern w:val="0"/>
          <w:sz w:val="24"/>
          <w:szCs w:val="24"/>
        </w:rPr>
        <w:t>5</w:t>
      </w:r>
      <w:r w:rsidR="005F6527">
        <w:rPr>
          <w:rFonts w:asciiTheme="minorEastAsia" w:hAnsiTheme="minorEastAsia" w:cs="宋体"/>
          <w:color w:val="333333"/>
          <w:kern w:val="0"/>
          <w:sz w:val="24"/>
          <w:szCs w:val="24"/>
        </w:rPr>
        <w:t>4</w:t>
      </w:r>
      <w:r w:rsidRPr="00B22524">
        <w:rPr>
          <w:rFonts w:asciiTheme="minorEastAsia" w:hAnsiTheme="minorEastAsia" w:cs="宋体" w:hint="eastAsia"/>
          <w:color w:val="333333"/>
          <w:kern w:val="0"/>
          <w:sz w:val="24"/>
          <w:szCs w:val="24"/>
        </w:rPr>
        <w:t>,</w:t>
      </w:r>
      <w:r w:rsidR="00442A61">
        <w:rPr>
          <w:rFonts w:asciiTheme="minorEastAsia" w:hAnsiTheme="minorEastAsia" w:cs="宋体"/>
          <w:color w:val="333333"/>
          <w:kern w:val="0"/>
          <w:sz w:val="24"/>
          <w:szCs w:val="24"/>
        </w:rPr>
        <w:t>945</w:t>
      </w:r>
      <w:r w:rsidRPr="00B22524">
        <w:rPr>
          <w:rFonts w:asciiTheme="minorEastAsia" w:hAnsiTheme="minorEastAsia" w:cs="宋体" w:hint="eastAsia"/>
          <w:color w:val="333333"/>
          <w:kern w:val="0"/>
          <w:sz w:val="24"/>
          <w:szCs w:val="24"/>
        </w:rPr>
        <w:t>元</w:t>
      </w:r>
    </w:p>
    <w:p w:rsidR="00B22524" w:rsidRPr="00B22524" w:rsidRDefault="00B22524" w:rsidP="00354832">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净转入份额=</w:t>
      </w:r>
      <w:r w:rsidR="00962F7F" w:rsidRPr="00B22524">
        <w:rPr>
          <w:rFonts w:asciiTheme="minorEastAsia" w:hAnsiTheme="minorEastAsia" w:cs="宋体" w:hint="eastAsia"/>
          <w:color w:val="333333"/>
          <w:kern w:val="0"/>
          <w:sz w:val="24"/>
          <w:szCs w:val="24"/>
        </w:rPr>
        <w:t>5</w:t>
      </w:r>
      <w:r w:rsidR="00770CE8">
        <w:rPr>
          <w:rFonts w:asciiTheme="minorEastAsia" w:hAnsiTheme="minorEastAsia" w:cs="宋体"/>
          <w:color w:val="333333"/>
          <w:kern w:val="0"/>
          <w:sz w:val="24"/>
          <w:szCs w:val="24"/>
        </w:rPr>
        <w:t>4</w:t>
      </w:r>
      <w:r w:rsidR="00CA0167" w:rsidRPr="00B22524">
        <w:rPr>
          <w:rFonts w:asciiTheme="minorEastAsia" w:hAnsiTheme="minorEastAsia" w:cs="宋体" w:hint="eastAsia"/>
          <w:color w:val="333333"/>
          <w:kern w:val="0"/>
          <w:sz w:val="24"/>
          <w:szCs w:val="24"/>
        </w:rPr>
        <w:t>,</w:t>
      </w:r>
      <w:r w:rsidR="00442A61">
        <w:rPr>
          <w:rFonts w:asciiTheme="minorEastAsia" w:hAnsiTheme="minorEastAsia" w:cs="宋体"/>
          <w:color w:val="333333"/>
          <w:kern w:val="0"/>
          <w:sz w:val="24"/>
          <w:szCs w:val="24"/>
        </w:rPr>
        <w:t>945</w:t>
      </w:r>
      <w:r w:rsidRPr="00B22524">
        <w:rPr>
          <w:rFonts w:asciiTheme="minorEastAsia" w:hAnsiTheme="minorEastAsia" w:cs="宋体" w:hint="eastAsia"/>
          <w:color w:val="333333"/>
          <w:kern w:val="0"/>
          <w:sz w:val="24"/>
          <w:szCs w:val="24"/>
        </w:rPr>
        <w:t>/1.2000=</w:t>
      </w:r>
      <w:r w:rsidR="00770CE8" w:rsidRPr="00B22524">
        <w:rPr>
          <w:rFonts w:asciiTheme="minorEastAsia" w:hAnsiTheme="minorEastAsia" w:cs="宋体" w:hint="eastAsia"/>
          <w:color w:val="333333"/>
          <w:kern w:val="0"/>
          <w:sz w:val="24"/>
          <w:szCs w:val="24"/>
        </w:rPr>
        <w:t>4</w:t>
      </w:r>
      <w:r w:rsidR="00770CE8">
        <w:rPr>
          <w:rFonts w:asciiTheme="minorEastAsia" w:hAnsiTheme="minorEastAsia" w:cs="宋体"/>
          <w:color w:val="333333"/>
          <w:kern w:val="0"/>
          <w:sz w:val="24"/>
          <w:szCs w:val="24"/>
        </w:rPr>
        <w:t>5</w:t>
      </w:r>
      <w:r w:rsidR="00CA0167">
        <w:rPr>
          <w:rFonts w:asciiTheme="minorEastAsia" w:hAnsiTheme="minorEastAsia" w:cs="宋体" w:hint="eastAsia"/>
          <w:color w:val="333333"/>
          <w:kern w:val="0"/>
          <w:sz w:val="24"/>
          <w:szCs w:val="24"/>
        </w:rPr>
        <w:t>,</w:t>
      </w:r>
      <w:r w:rsidR="00442A61">
        <w:rPr>
          <w:rFonts w:asciiTheme="minorEastAsia" w:hAnsiTheme="minorEastAsia" w:cs="宋体"/>
          <w:color w:val="333333"/>
          <w:kern w:val="0"/>
          <w:sz w:val="24"/>
          <w:szCs w:val="24"/>
        </w:rPr>
        <w:t>787</w:t>
      </w:r>
      <w:r w:rsidR="00CA0167">
        <w:rPr>
          <w:rFonts w:asciiTheme="minorEastAsia" w:hAnsiTheme="minorEastAsia" w:cs="宋体"/>
          <w:color w:val="333333"/>
          <w:kern w:val="0"/>
          <w:sz w:val="24"/>
          <w:szCs w:val="24"/>
        </w:rPr>
        <w:t>.</w:t>
      </w:r>
      <w:r w:rsidR="00442A61">
        <w:rPr>
          <w:rFonts w:asciiTheme="minorEastAsia" w:hAnsiTheme="minorEastAsia" w:cs="宋体"/>
          <w:color w:val="333333"/>
          <w:kern w:val="0"/>
          <w:sz w:val="24"/>
          <w:szCs w:val="24"/>
        </w:rPr>
        <w:t>50</w:t>
      </w:r>
      <w:r w:rsidRPr="00B22524">
        <w:rPr>
          <w:rFonts w:asciiTheme="minorEastAsia" w:hAnsiTheme="minorEastAsia" w:cs="宋体" w:hint="eastAsia"/>
          <w:color w:val="333333"/>
          <w:kern w:val="0"/>
          <w:sz w:val="24"/>
          <w:szCs w:val="24"/>
        </w:rPr>
        <w:t>份</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例2：恒生前海</w:t>
      </w:r>
      <w:r>
        <w:rPr>
          <w:rFonts w:asciiTheme="minorEastAsia" w:hAnsiTheme="minorEastAsia" w:cs="宋体" w:hint="eastAsia"/>
          <w:color w:val="333333"/>
          <w:kern w:val="0"/>
          <w:sz w:val="24"/>
          <w:szCs w:val="24"/>
        </w:rPr>
        <w:t>恒</w:t>
      </w:r>
      <w:r w:rsidR="00DC4CDB">
        <w:rPr>
          <w:rFonts w:asciiTheme="minorEastAsia" w:hAnsiTheme="minorEastAsia" w:cs="宋体" w:hint="eastAsia"/>
          <w:color w:val="333333"/>
          <w:kern w:val="0"/>
          <w:sz w:val="24"/>
          <w:szCs w:val="24"/>
        </w:rPr>
        <w:t>裕</w:t>
      </w:r>
      <w:r>
        <w:rPr>
          <w:rFonts w:asciiTheme="minorEastAsia" w:hAnsiTheme="minorEastAsia" w:cs="宋体" w:hint="eastAsia"/>
          <w:color w:val="333333"/>
          <w:kern w:val="0"/>
          <w:sz w:val="24"/>
          <w:szCs w:val="24"/>
        </w:rPr>
        <w:t>债券型</w:t>
      </w:r>
      <w:r w:rsidRPr="00B22524">
        <w:rPr>
          <w:rFonts w:asciiTheme="minorEastAsia" w:hAnsiTheme="minorEastAsia" w:cs="宋体" w:hint="eastAsia"/>
          <w:color w:val="333333"/>
          <w:kern w:val="0"/>
          <w:sz w:val="24"/>
          <w:szCs w:val="24"/>
        </w:rPr>
        <w:t>证券投资基金A类份额5</w:t>
      </w:r>
      <w:r>
        <w:rPr>
          <w:rFonts w:asciiTheme="minorEastAsia" w:hAnsiTheme="minorEastAsia" w:cs="宋体"/>
          <w:color w:val="333333"/>
          <w:kern w:val="0"/>
          <w:sz w:val="24"/>
          <w:szCs w:val="24"/>
        </w:rPr>
        <w:t>万</w:t>
      </w:r>
      <w:r w:rsidRPr="00B22524">
        <w:rPr>
          <w:rFonts w:asciiTheme="minorEastAsia" w:hAnsiTheme="minorEastAsia" w:cs="宋体" w:hint="eastAsia"/>
          <w:color w:val="333333"/>
          <w:kern w:val="0"/>
          <w:sz w:val="24"/>
          <w:szCs w:val="24"/>
        </w:rPr>
        <w:t>份转换为恒生前海</w:t>
      </w:r>
      <w:r w:rsidR="007A31DA">
        <w:rPr>
          <w:rFonts w:asciiTheme="minorEastAsia" w:hAnsiTheme="minorEastAsia" w:cs="宋体" w:hint="eastAsia"/>
          <w:color w:val="333333"/>
          <w:kern w:val="0"/>
          <w:sz w:val="24"/>
          <w:szCs w:val="24"/>
        </w:rPr>
        <w:t>恒源丰利债券</w:t>
      </w:r>
      <w:r>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w:t>
      </w:r>
      <w:r>
        <w:rPr>
          <w:rFonts w:asciiTheme="minorEastAsia" w:hAnsiTheme="minorEastAsia" w:cs="宋体" w:hint="eastAsia"/>
          <w:color w:val="333333"/>
          <w:kern w:val="0"/>
          <w:sz w:val="24"/>
          <w:szCs w:val="24"/>
        </w:rPr>
        <w:t>A类份额</w:t>
      </w:r>
    </w:p>
    <w:p w:rsidR="00DC0DDE"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假设某投资者在某销售机构购买了5万份恒生前海</w:t>
      </w:r>
      <w:r>
        <w:rPr>
          <w:rFonts w:asciiTheme="minorEastAsia" w:hAnsiTheme="minorEastAsia" w:cs="宋体" w:hint="eastAsia"/>
          <w:color w:val="333333"/>
          <w:kern w:val="0"/>
          <w:sz w:val="24"/>
          <w:szCs w:val="24"/>
        </w:rPr>
        <w:t>恒</w:t>
      </w:r>
      <w:r w:rsidR="00DC4CDB">
        <w:rPr>
          <w:rFonts w:asciiTheme="minorEastAsia" w:hAnsiTheme="minorEastAsia" w:cs="宋体" w:hint="eastAsia"/>
          <w:color w:val="333333"/>
          <w:kern w:val="0"/>
          <w:sz w:val="24"/>
          <w:szCs w:val="24"/>
        </w:rPr>
        <w:t>裕</w:t>
      </w:r>
      <w:r>
        <w:rPr>
          <w:rFonts w:asciiTheme="minorEastAsia" w:hAnsiTheme="minorEastAsia" w:cs="宋体" w:hint="eastAsia"/>
          <w:color w:val="333333"/>
          <w:kern w:val="0"/>
          <w:sz w:val="24"/>
          <w:szCs w:val="24"/>
        </w:rPr>
        <w:t>债券型</w:t>
      </w:r>
      <w:r w:rsidRPr="00B22524">
        <w:rPr>
          <w:rFonts w:asciiTheme="minorEastAsia" w:hAnsiTheme="minorEastAsia" w:cs="宋体" w:hint="eastAsia"/>
          <w:color w:val="333333"/>
          <w:kern w:val="0"/>
          <w:sz w:val="24"/>
          <w:szCs w:val="24"/>
        </w:rPr>
        <w:t>证券投资基金</w:t>
      </w:r>
      <w:r>
        <w:rPr>
          <w:rFonts w:asciiTheme="minorEastAsia" w:hAnsiTheme="minorEastAsia" w:cs="宋体" w:hint="eastAsia"/>
          <w:color w:val="333333"/>
          <w:kern w:val="0"/>
          <w:sz w:val="24"/>
          <w:szCs w:val="24"/>
        </w:rPr>
        <w:t>A份额</w:t>
      </w:r>
      <w:r w:rsidRPr="00B22524">
        <w:rPr>
          <w:rFonts w:asciiTheme="minorEastAsia" w:hAnsiTheme="minorEastAsia" w:cs="宋体" w:hint="eastAsia"/>
          <w:color w:val="333333"/>
          <w:kern w:val="0"/>
          <w:sz w:val="24"/>
          <w:szCs w:val="24"/>
        </w:rPr>
        <w:t>，至T日其持有期未满</w:t>
      </w:r>
      <w:r>
        <w:rPr>
          <w:rFonts w:asciiTheme="minorEastAsia" w:hAnsiTheme="minorEastAsia" w:cs="宋体" w:hint="eastAsia"/>
          <w:color w:val="333333"/>
          <w:kern w:val="0"/>
          <w:sz w:val="24"/>
          <w:szCs w:val="24"/>
        </w:rPr>
        <w:t>7</w:t>
      </w:r>
      <w:r w:rsidRPr="00B22524">
        <w:rPr>
          <w:rFonts w:asciiTheme="minorEastAsia" w:hAnsiTheme="minorEastAsia" w:cs="宋体" w:hint="eastAsia"/>
          <w:color w:val="333333"/>
          <w:kern w:val="0"/>
          <w:sz w:val="24"/>
          <w:szCs w:val="24"/>
        </w:rPr>
        <w:t>天，现拟在T日全部转换为恒生前海</w:t>
      </w:r>
      <w:r w:rsidR="007A31DA">
        <w:rPr>
          <w:rFonts w:asciiTheme="minorEastAsia" w:hAnsiTheme="minorEastAsia" w:cs="宋体" w:hint="eastAsia"/>
          <w:color w:val="333333"/>
          <w:kern w:val="0"/>
          <w:sz w:val="24"/>
          <w:szCs w:val="24"/>
        </w:rPr>
        <w:t>恒源丰利债券</w:t>
      </w:r>
      <w:r>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证券投资基金A</w:t>
      </w:r>
      <w:r>
        <w:rPr>
          <w:rFonts w:asciiTheme="minorEastAsia" w:hAnsiTheme="minorEastAsia" w:cs="宋体" w:hint="eastAsia"/>
          <w:color w:val="333333"/>
          <w:kern w:val="0"/>
          <w:sz w:val="24"/>
          <w:szCs w:val="24"/>
        </w:rPr>
        <w:t>份额</w:t>
      </w:r>
      <w:r w:rsidRPr="00B22524">
        <w:rPr>
          <w:rFonts w:asciiTheme="minorEastAsia" w:hAnsiTheme="minorEastAsia" w:cs="宋体" w:hint="eastAsia"/>
          <w:color w:val="333333"/>
          <w:kern w:val="0"/>
          <w:sz w:val="24"/>
          <w:szCs w:val="24"/>
        </w:rPr>
        <w:t>。</w:t>
      </w:r>
    </w:p>
    <w:p w:rsidR="00DC0DDE"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T日，恒生前海</w:t>
      </w:r>
      <w:r>
        <w:rPr>
          <w:rFonts w:asciiTheme="minorEastAsia" w:hAnsiTheme="minorEastAsia" w:cs="宋体" w:hint="eastAsia"/>
          <w:color w:val="333333"/>
          <w:kern w:val="0"/>
          <w:sz w:val="24"/>
          <w:szCs w:val="24"/>
        </w:rPr>
        <w:t>恒</w:t>
      </w:r>
      <w:r w:rsidR="00DC4CDB">
        <w:rPr>
          <w:rFonts w:asciiTheme="minorEastAsia" w:hAnsiTheme="minorEastAsia" w:cs="宋体" w:hint="eastAsia"/>
          <w:color w:val="333333"/>
          <w:kern w:val="0"/>
          <w:sz w:val="24"/>
          <w:szCs w:val="24"/>
        </w:rPr>
        <w:t>裕</w:t>
      </w:r>
      <w:r>
        <w:rPr>
          <w:rFonts w:asciiTheme="minorEastAsia" w:hAnsiTheme="minorEastAsia" w:cs="宋体" w:hint="eastAsia"/>
          <w:color w:val="333333"/>
          <w:kern w:val="0"/>
          <w:sz w:val="24"/>
          <w:szCs w:val="24"/>
        </w:rPr>
        <w:t>债券型</w:t>
      </w:r>
      <w:r w:rsidRPr="00B22524">
        <w:rPr>
          <w:rFonts w:asciiTheme="minorEastAsia" w:hAnsiTheme="minorEastAsia" w:cs="宋体" w:hint="eastAsia"/>
          <w:color w:val="333333"/>
          <w:kern w:val="0"/>
          <w:sz w:val="24"/>
          <w:szCs w:val="24"/>
        </w:rPr>
        <w:t>证券投资基金</w:t>
      </w:r>
      <w:r>
        <w:rPr>
          <w:rFonts w:asciiTheme="minorEastAsia" w:hAnsiTheme="minorEastAsia" w:cs="宋体" w:hint="eastAsia"/>
          <w:color w:val="333333"/>
          <w:kern w:val="0"/>
          <w:sz w:val="24"/>
          <w:szCs w:val="24"/>
        </w:rPr>
        <w:t>A份额</w:t>
      </w:r>
      <w:r w:rsidRPr="00B22524">
        <w:rPr>
          <w:rFonts w:asciiTheme="minorEastAsia" w:hAnsiTheme="minorEastAsia" w:cs="宋体" w:hint="eastAsia"/>
          <w:color w:val="333333"/>
          <w:kern w:val="0"/>
          <w:sz w:val="24"/>
          <w:szCs w:val="24"/>
        </w:rPr>
        <w:t>的净值为1.</w:t>
      </w:r>
      <w:r>
        <w:rPr>
          <w:rFonts w:asciiTheme="minorEastAsia" w:hAnsiTheme="minorEastAsia" w:cs="宋体"/>
          <w:color w:val="333333"/>
          <w:kern w:val="0"/>
          <w:sz w:val="24"/>
          <w:szCs w:val="24"/>
        </w:rPr>
        <w:t>1</w:t>
      </w:r>
      <w:r w:rsidRPr="00B22524">
        <w:rPr>
          <w:rFonts w:asciiTheme="minorEastAsia" w:hAnsiTheme="minorEastAsia" w:cs="宋体" w:hint="eastAsia"/>
          <w:color w:val="333333"/>
          <w:kern w:val="0"/>
          <w:sz w:val="24"/>
          <w:szCs w:val="24"/>
        </w:rPr>
        <w:t>0</w:t>
      </w:r>
      <w:r>
        <w:rPr>
          <w:rFonts w:asciiTheme="minorEastAsia" w:hAnsiTheme="minorEastAsia" w:cs="宋体" w:hint="eastAsia"/>
          <w:color w:val="333333"/>
          <w:kern w:val="0"/>
          <w:sz w:val="24"/>
          <w:szCs w:val="24"/>
        </w:rPr>
        <w:t>0</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，赎回费率为</w:t>
      </w:r>
      <w:r>
        <w:rPr>
          <w:rFonts w:asciiTheme="minorEastAsia" w:hAnsiTheme="minorEastAsia" w:cs="宋体"/>
          <w:color w:val="333333"/>
          <w:kern w:val="0"/>
          <w:sz w:val="24"/>
          <w:szCs w:val="24"/>
        </w:rPr>
        <w:t>1</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50</w:t>
      </w:r>
      <w:r w:rsidRPr="00B22524">
        <w:rPr>
          <w:rFonts w:asciiTheme="minorEastAsia" w:hAnsiTheme="minorEastAsia" w:cs="宋体" w:hint="eastAsia"/>
          <w:color w:val="333333"/>
          <w:kern w:val="0"/>
          <w:sz w:val="24"/>
          <w:szCs w:val="24"/>
        </w:rPr>
        <w:t>%，适用申购费</w:t>
      </w:r>
      <w:r>
        <w:rPr>
          <w:rFonts w:asciiTheme="minorEastAsia" w:hAnsiTheme="minorEastAsia" w:cs="宋体" w:hint="eastAsia"/>
          <w:color w:val="333333"/>
          <w:kern w:val="0"/>
          <w:sz w:val="24"/>
          <w:szCs w:val="24"/>
        </w:rPr>
        <w:t>率0</w:t>
      </w:r>
      <w:r>
        <w:rPr>
          <w:rFonts w:asciiTheme="minorEastAsia" w:hAnsiTheme="minorEastAsia" w:cs="宋体"/>
          <w:color w:val="333333"/>
          <w:kern w:val="0"/>
          <w:sz w:val="24"/>
          <w:szCs w:val="24"/>
        </w:rPr>
        <w:t>.</w:t>
      </w:r>
      <w:r w:rsidR="00DC4CDB">
        <w:rPr>
          <w:rFonts w:asciiTheme="minorEastAsia" w:hAnsiTheme="minorEastAsia" w:cs="宋体"/>
          <w:color w:val="333333"/>
          <w:kern w:val="0"/>
          <w:sz w:val="24"/>
          <w:szCs w:val="24"/>
        </w:rPr>
        <w:t>60</w:t>
      </w:r>
      <w:r>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；恒生前海</w:t>
      </w:r>
      <w:r w:rsidR="007A31DA">
        <w:rPr>
          <w:rFonts w:asciiTheme="minorEastAsia" w:hAnsiTheme="minorEastAsia" w:cs="宋体" w:hint="eastAsia"/>
          <w:color w:val="333333"/>
          <w:kern w:val="0"/>
          <w:sz w:val="24"/>
          <w:szCs w:val="24"/>
        </w:rPr>
        <w:t>恒源丰利债券</w:t>
      </w:r>
      <w:r>
        <w:rPr>
          <w:rFonts w:asciiTheme="minorEastAsia" w:hAnsiTheme="minorEastAsia" w:cs="宋体" w:hint="eastAsia"/>
          <w:color w:val="333333"/>
          <w:kern w:val="0"/>
          <w:sz w:val="24"/>
          <w:szCs w:val="24"/>
        </w:rPr>
        <w:t>型</w:t>
      </w:r>
      <w:r w:rsidRPr="00B22524">
        <w:rPr>
          <w:rFonts w:asciiTheme="minorEastAsia" w:hAnsiTheme="minorEastAsia" w:cs="宋体" w:hint="eastAsia"/>
          <w:color w:val="333333"/>
          <w:kern w:val="0"/>
          <w:sz w:val="24"/>
          <w:szCs w:val="24"/>
        </w:rPr>
        <w:t>证券投资基金A</w:t>
      </w:r>
      <w:r>
        <w:rPr>
          <w:rFonts w:asciiTheme="minorEastAsia" w:hAnsiTheme="minorEastAsia" w:cs="宋体" w:hint="eastAsia"/>
          <w:color w:val="333333"/>
          <w:kern w:val="0"/>
          <w:sz w:val="24"/>
          <w:szCs w:val="24"/>
        </w:rPr>
        <w:t>份</w:t>
      </w:r>
      <w:r>
        <w:rPr>
          <w:rFonts w:asciiTheme="minorEastAsia" w:hAnsiTheme="minorEastAsia" w:cs="宋体"/>
          <w:color w:val="333333"/>
          <w:kern w:val="0"/>
          <w:sz w:val="24"/>
          <w:szCs w:val="24"/>
        </w:rPr>
        <w:t>额</w:t>
      </w:r>
      <w:r>
        <w:rPr>
          <w:rFonts w:asciiTheme="minorEastAsia" w:hAnsiTheme="minorEastAsia" w:cs="宋体" w:hint="eastAsia"/>
          <w:color w:val="333333"/>
          <w:kern w:val="0"/>
          <w:sz w:val="24"/>
          <w:szCs w:val="24"/>
        </w:rPr>
        <w:t>的</w:t>
      </w:r>
      <w:r w:rsidRPr="00B22524">
        <w:rPr>
          <w:rFonts w:asciiTheme="minorEastAsia" w:hAnsiTheme="minorEastAsia" w:cs="宋体" w:hint="eastAsia"/>
          <w:color w:val="333333"/>
          <w:kern w:val="0"/>
          <w:sz w:val="24"/>
          <w:szCs w:val="24"/>
        </w:rPr>
        <w:t>净值为1.</w:t>
      </w:r>
      <w:r>
        <w:rPr>
          <w:rFonts w:asciiTheme="minorEastAsia" w:hAnsiTheme="minorEastAsia" w:cs="宋体"/>
          <w:color w:val="333333"/>
          <w:kern w:val="0"/>
          <w:sz w:val="24"/>
          <w:szCs w:val="24"/>
        </w:rPr>
        <w:t>0002</w:t>
      </w:r>
      <w:r w:rsidRPr="00B22524">
        <w:rPr>
          <w:rFonts w:asciiTheme="minorEastAsia" w:hAnsiTheme="minorEastAsia" w:cs="宋体" w:hint="eastAsia"/>
          <w:color w:val="333333"/>
          <w:kern w:val="0"/>
          <w:sz w:val="24"/>
          <w:szCs w:val="24"/>
        </w:rPr>
        <w:t>，T日该销售机构的适用申购费率为</w:t>
      </w:r>
      <w:r w:rsidR="00DC4CDB">
        <w:rPr>
          <w:rFonts w:asciiTheme="minorEastAsia" w:hAnsiTheme="minorEastAsia" w:cs="宋体"/>
          <w:color w:val="333333"/>
          <w:kern w:val="0"/>
          <w:sz w:val="24"/>
          <w:szCs w:val="24"/>
        </w:rPr>
        <w:t>0.80</w:t>
      </w:r>
      <w:r w:rsidRPr="00B22524">
        <w:rPr>
          <w:rFonts w:asciiTheme="minorEastAsia" w:hAnsiTheme="minorEastAsia" w:cs="宋体" w:hint="eastAsia"/>
          <w:color w:val="333333"/>
          <w:kern w:val="0"/>
          <w:sz w:val="24"/>
          <w:szCs w:val="24"/>
        </w:rPr>
        <w:t>%。则计算如下：</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转出金额=5</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,000×1.</w:t>
      </w:r>
      <w:r>
        <w:rPr>
          <w:rFonts w:asciiTheme="minorEastAsia" w:hAnsiTheme="minorEastAsia" w:cs="宋体"/>
          <w:color w:val="333333"/>
          <w:kern w:val="0"/>
          <w:sz w:val="24"/>
          <w:szCs w:val="24"/>
        </w:rPr>
        <w:t>1</w:t>
      </w:r>
      <w:r w:rsidRPr="00B22524">
        <w:rPr>
          <w:rFonts w:asciiTheme="minorEastAsia" w:hAnsiTheme="minorEastAsia" w:cs="宋体" w:hint="eastAsia"/>
          <w:color w:val="333333"/>
          <w:kern w:val="0"/>
          <w:sz w:val="24"/>
          <w:szCs w:val="24"/>
        </w:rPr>
        <w:t>000=5</w:t>
      </w:r>
      <w:r>
        <w:rPr>
          <w:rFonts w:asciiTheme="minorEastAsia" w:hAnsiTheme="minorEastAsia" w:cs="宋体"/>
          <w:color w:val="333333"/>
          <w:kern w:val="0"/>
          <w:sz w:val="24"/>
          <w:szCs w:val="24"/>
        </w:rPr>
        <w:t>5</w:t>
      </w:r>
      <w:r>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00元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转出基金赎回费用=5</w:t>
      </w:r>
      <w:r>
        <w:rPr>
          <w:rFonts w:asciiTheme="minorEastAsia" w:hAnsiTheme="minorEastAsia" w:cs="宋体"/>
          <w:color w:val="333333"/>
          <w:kern w:val="0"/>
          <w:sz w:val="24"/>
          <w:szCs w:val="24"/>
        </w:rPr>
        <w:t>5,000</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1</w:t>
      </w:r>
      <w:r w:rsidRPr="00B22524">
        <w:rPr>
          <w:rFonts w:asciiTheme="minorEastAsia" w:hAnsiTheme="minorEastAsia" w:cs="宋体" w:hint="eastAsia"/>
          <w:color w:val="333333"/>
          <w:kern w:val="0"/>
          <w:sz w:val="24"/>
          <w:szCs w:val="24"/>
        </w:rPr>
        <w:t>.5%=</w:t>
      </w:r>
      <w:r>
        <w:rPr>
          <w:rFonts w:asciiTheme="minorEastAsia" w:hAnsiTheme="minorEastAsia" w:cs="宋体"/>
          <w:color w:val="333333"/>
          <w:kern w:val="0"/>
          <w:sz w:val="24"/>
          <w:szCs w:val="24"/>
        </w:rPr>
        <w:t>825</w:t>
      </w:r>
      <w:r w:rsidRPr="00B22524">
        <w:rPr>
          <w:rFonts w:asciiTheme="minorEastAsia" w:hAnsiTheme="minorEastAsia" w:cs="宋体" w:hint="eastAsia"/>
          <w:color w:val="333333"/>
          <w:kern w:val="0"/>
          <w:sz w:val="24"/>
          <w:szCs w:val="24"/>
        </w:rPr>
        <w:t>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转入金额=5</w:t>
      </w:r>
      <w:r>
        <w:rPr>
          <w:rFonts w:asciiTheme="minorEastAsia" w:hAnsiTheme="minorEastAsia" w:cs="宋体"/>
          <w:color w:val="333333"/>
          <w:kern w:val="0"/>
          <w:sz w:val="24"/>
          <w:szCs w:val="24"/>
        </w:rPr>
        <w:t>5,000</w:t>
      </w:r>
      <w:r w:rsidRPr="00B22524">
        <w:rPr>
          <w:rFonts w:asciiTheme="minorEastAsia" w:hAnsiTheme="minorEastAsia" w:cs="宋体" w:hint="eastAsia"/>
          <w:color w:val="333333"/>
          <w:kern w:val="0"/>
          <w:sz w:val="24"/>
          <w:szCs w:val="24"/>
        </w:rPr>
        <w:t>–</w:t>
      </w:r>
      <w:r w:rsidR="00950403">
        <w:rPr>
          <w:rFonts w:asciiTheme="minorEastAsia" w:hAnsiTheme="minorEastAsia" w:cs="宋体" w:hint="eastAsia"/>
          <w:color w:val="333333"/>
          <w:kern w:val="0"/>
          <w:sz w:val="24"/>
          <w:szCs w:val="24"/>
        </w:rPr>
        <w:t>825</w:t>
      </w:r>
      <w:r w:rsidRPr="00B22524">
        <w:rPr>
          <w:rFonts w:asciiTheme="minorEastAsia" w:hAnsiTheme="minorEastAsia" w:cs="宋体" w:hint="eastAsia"/>
          <w:color w:val="333333"/>
          <w:kern w:val="0"/>
          <w:sz w:val="24"/>
          <w:szCs w:val="24"/>
        </w:rPr>
        <w:t>=5</w:t>
      </w:r>
      <w:r>
        <w:rPr>
          <w:rFonts w:asciiTheme="minorEastAsia" w:hAnsiTheme="minorEastAsia" w:cs="宋体"/>
          <w:color w:val="333333"/>
          <w:kern w:val="0"/>
          <w:sz w:val="24"/>
          <w:szCs w:val="24"/>
        </w:rPr>
        <w:t>4,</w:t>
      </w:r>
      <w:r>
        <w:rPr>
          <w:rFonts w:asciiTheme="minorEastAsia" w:hAnsiTheme="minorEastAsia" w:cs="宋体" w:hint="eastAsia"/>
          <w:color w:val="333333"/>
          <w:kern w:val="0"/>
          <w:sz w:val="24"/>
          <w:szCs w:val="24"/>
        </w:rPr>
        <w:t>1</w:t>
      </w:r>
      <w:r>
        <w:rPr>
          <w:rFonts w:asciiTheme="minorEastAsia" w:hAnsiTheme="minorEastAsia" w:cs="宋体"/>
          <w:color w:val="333333"/>
          <w:kern w:val="0"/>
          <w:sz w:val="24"/>
          <w:szCs w:val="24"/>
        </w:rPr>
        <w:t>75</w:t>
      </w:r>
      <w:r w:rsidRPr="00B22524">
        <w:rPr>
          <w:rFonts w:asciiTheme="minorEastAsia" w:hAnsiTheme="minorEastAsia" w:cs="宋体" w:hint="eastAsia"/>
          <w:color w:val="333333"/>
          <w:kern w:val="0"/>
          <w:sz w:val="24"/>
          <w:szCs w:val="24"/>
        </w:rPr>
        <w:t>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转入基金申购费=5</w:t>
      </w:r>
      <w:r>
        <w:rPr>
          <w:rFonts w:asciiTheme="minorEastAsia" w:hAnsiTheme="minorEastAsia" w:cs="宋体"/>
          <w:color w:val="333333"/>
          <w:kern w:val="0"/>
          <w:sz w:val="24"/>
          <w:szCs w:val="24"/>
        </w:rPr>
        <w:t>4,</w:t>
      </w:r>
      <w:r>
        <w:rPr>
          <w:rFonts w:asciiTheme="minorEastAsia" w:hAnsiTheme="minorEastAsia" w:cs="宋体" w:hint="eastAsia"/>
          <w:color w:val="333333"/>
          <w:kern w:val="0"/>
          <w:sz w:val="24"/>
          <w:szCs w:val="24"/>
        </w:rPr>
        <w:t>1</w:t>
      </w:r>
      <w:r>
        <w:rPr>
          <w:rFonts w:asciiTheme="minorEastAsia" w:hAnsiTheme="minorEastAsia" w:cs="宋体"/>
          <w:color w:val="333333"/>
          <w:kern w:val="0"/>
          <w:sz w:val="24"/>
          <w:szCs w:val="24"/>
        </w:rPr>
        <w:t>75</w:t>
      </w:r>
      <w:r w:rsidRPr="00B22524">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1+</w:t>
      </w:r>
      <w:r w:rsidR="00DC4CDB">
        <w:rPr>
          <w:rFonts w:asciiTheme="minorEastAsia" w:hAnsiTheme="minorEastAsia" w:cs="宋体"/>
          <w:color w:val="333333"/>
          <w:kern w:val="0"/>
          <w:sz w:val="24"/>
          <w:szCs w:val="24"/>
        </w:rPr>
        <w:t>0.8</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0.8</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429.96</w:t>
      </w:r>
      <w:r w:rsidRPr="00B22524">
        <w:rPr>
          <w:rFonts w:asciiTheme="minorEastAsia" w:hAnsiTheme="minorEastAsia" w:cs="宋体" w:hint="eastAsia"/>
          <w:color w:val="333333"/>
          <w:kern w:val="0"/>
          <w:sz w:val="24"/>
          <w:szCs w:val="24"/>
        </w:rPr>
        <w:t>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转出基金申购费=5</w:t>
      </w:r>
      <w:r>
        <w:rPr>
          <w:rFonts w:asciiTheme="minorEastAsia" w:hAnsiTheme="minorEastAsia" w:cs="宋体"/>
          <w:color w:val="333333"/>
          <w:kern w:val="0"/>
          <w:sz w:val="24"/>
          <w:szCs w:val="24"/>
        </w:rPr>
        <w:t>4,</w:t>
      </w:r>
      <w:r>
        <w:rPr>
          <w:rFonts w:asciiTheme="minorEastAsia" w:hAnsiTheme="minorEastAsia" w:cs="宋体" w:hint="eastAsia"/>
          <w:color w:val="333333"/>
          <w:kern w:val="0"/>
          <w:sz w:val="24"/>
          <w:szCs w:val="24"/>
        </w:rPr>
        <w:t>1</w:t>
      </w:r>
      <w:r>
        <w:rPr>
          <w:rFonts w:asciiTheme="minorEastAsia" w:hAnsiTheme="minorEastAsia" w:cs="宋体"/>
          <w:color w:val="333333"/>
          <w:kern w:val="0"/>
          <w:sz w:val="24"/>
          <w:szCs w:val="24"/>
        </w:rPr>
        <w:t>75</w:t>
      </w:r>
      <w:r w:rsidRPr="00B22524">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w:t>
      </w:r>
      <w:r w:rsidRPr="00B22524">
        <w:rPr>
          <w:rFonts w:asciiTheme="minorEastAsia" w:hAnsiTheme="minorEastAsia" w:cs="宋体" w:hint="eastAsia"/>
          <w:color w:val="333333"/>
          <w:kern w:val="0"/>
          <w:sz w:val="24"/>
          <w:szCs w:val="24"/>
        </w:rPr>
        <w:t>1+</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60</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0</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60</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323.11</w:t>
      </w:r>
      <w:r>
        <w:rPr>
          <w:rFonts w:asciiTheme="minorEastAsia" w:hAnsiTheme="minorEastAsia" w:cs="宋体"/>
          <w:color w:val="333333"/>
          <w:kern w:val="0"/>
          <w:sz w:val="24"/>
          <w:szCs w:val="24"/>
        </w:rPr>
        <w:t>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补差费用</w:t>
      </w:r>
      <w:r w:rsidR="00C52FCE">
        <w:rPr>
          <w:rFonts w:asciiTheme="minorEastAsia" w:hAnsiTheme="minorEastAsia" w:cs="宋体"/>
          <w:color w:val="333333"/>
          <w:kern w:val="0"/>
          <w:sz w:val="24"/>
          <w:szCs w:val="24"/>
        </w:rPr>
        <w:t>429.96</w:t>
      </w:r>
      <w:r w:rsidRPr="00B22524">
        <w:rPr>
          <w:rFonts w:asciiTheme="minorEastAsia" w:hAnsiTheme="minorEastAsia" w:cs="宋体" w:hint="eastAsia"/>
          <w:color w:val="333333"/>
          <w:kern w:val="0"/>
          <w:sz w:val="24"/>
          <w:szCs w:val="24"/>
        </w:rPr>
        <w:t>–</w:t>
      </w:r>
      <w:r w:rsidR="00DC4CDB">
        <w:rPr>
          <w:rFonts w:asciiTheme="minorEastAsia" w:hAnsiTheme="minorEastAsia" w:cs="宋体"/>
          <w:color w:val="333333"/>
          <w:kern w:val="0"/>
          <w:sz w:val="24"/>
          <w:szCs w:val="24"/>
        </w:rPr>
        <w:t>323</w:t>
      </w:r>
      <w:r>
        <w:rPr>
          <w:rFonts w:asciiTheme="minorEastAsia" w:hAnsiTheme="minorEastAsia" w:cs="宋体"/>
          <w:color w:val="333333"/>
          <w:kern w:val="0"/>
          <w:sz w:val="24"/>
          <w:szCs w:val="24"/>
        </w:rPr>
        <w:t>.</w:t>
      </w:r>
      <w:r w:rsidR="00DC4CDB">
        <w:rPr>
          <w:rFonts w:asciiTheme="minorEastAsia" w:hAnsiTheme="minorEastAsia" w:cs="宋体"/>
          <w:color w:val="333333"/>
          <w:kern w:val="0"/>
          <w:sz w:val="24"/>
          <w:szCs w:val="24"/>
        </w:rPr>
        <w:t>11</w:t>
      </w:r>
      <w:r w:rsidRPr="00B22524">
        <w:rPr>
          <w:rFonts w:asciiTheme="minorEastAsia" w:hAnsiTheme="minorEastAsia" w:cs="宋体" w:hint="eastAsia"/>
          <w:color w:val="333333"/>
          <w:kern w:val="0"/>
          <w:sz w:val="24"/>
          <w:szCs w:val="24"/>
        </w:rPr>
        <w:t>=</w:t>
      </w:r>
      <w:r>
        <w:rPr>
          <w:rFonts w:asciiTheme="minorEastAsia" w:hAnsiTheme="minorEastAsia" w:cs="宋体"/>
          <w:color w:val="333333"/>
          <w:kern w:val="0"/>
          <w:sz w:val="24"/>
          <w:szCs w:val="24"/>
        </w:rPr>
        <w:t>106.</w:t>
      </w:r>
      <w:r w:rsidR="00C52FCE">
        <w:rPr>
          <w:rFonts w:asciiTheme="minorEastAsia" w:hAnsiTheme="minorEastAsia" w:cs="宋体"/>
          <w:color w:val="333333"/>
          <w:kern w:val="0"/>
          <w:sz w:val="24"/>
          <w:szCs w:val="24"/>
        </w:rPr>
        <w:t>85</w:t>
      </w:r>
      <w:r w:rsidRPr="00B22524">
        <w:rPr>
          <w:rFonts w:asciiTheme="minorEastAsia" w:hAnsiTheme="minorEastAsia" w:cs="宋体" w:hint="eastAsia"/>
          <w:color w:val="333333"/>
          <w:kern w:val="0"/>
          <w:sz w:val="24"/>
          <w:szCs w:val="24"/>
        </w:rPr>
        <w:t>元（补差费用大于0）</w:t>
      </w:r>
    </w:p>
    <w:p w:rsidR="00DC0DDE" w:rsidRPr="002F771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2F7714">
        <w:rPr>
          <w:rFonts w:asciiTheme="minorEastAsia" w:hAnsiTheme="minorEastAsia" w:cs="宋体" w:hint="eastAsia"/>
          <w:color w:val="333333"/>
          <w:kern w:val="0"/>
          <w:sz w:val="24"/>
          <w:szCs w:val="24"/>
        </w:rPr>
        <w:t>净转入金额</w:t>
      </w:r>
      <w:r w:rsidRPr="002F7714">
        <w:rPr>
          <w:rFonts w:asciiTheme="minorEastAsia" w:hAnsiTheme="minorEastAsia" w:cs="宋体"/>
          <w:color w:val="333333"/>
          <w:kern w:val="0"/>
          <w:sz w:val="24"/>
          <w:szCs w:val="24"/>
        </w:rPr>
        <w:t>=</w:t>
      </w:r>
      <w:r w:rsidRPr="001776FF">
        <w:rPr>
          <w:rFonts w:asciiTheme="minorEastAsia" w:hAnsiTheme="minorEastAsia" w:cs="宋体"/>
          <w:color w:val="333333"/>
          <w:kern w:val="0"/>
          <w:sz w:val="24"/>
          <w:szCs w:val="24"/>
        </w:rPr>
        <w:t>54,175</w:t>
      </w:r>
      <w:r w:rsidRPr="002F7714">
        <w:rPr>
          <w:rFonts w:asciiTheme="minorEastAsia" w:hAnsiTheme="minorEastAsia" w:cs="宋体"/>
          <w:color w:val="333333"/>
          <w:kern w:val="0"/>
          <w:sz w:val="24"/>
          <w:szCs w:val="24"/>
        </w:rPr>
        <w:t>–</w:t>
      </w:r>
      <w:r w:rsidRPr="001776FF">
        <w:rPr>
          <w:rFonts w:asciiTheme="minorEastAsia" w:hAnsiTheme="minorEastAsia" w:cs="宋体"/>
          <w:color w:val="333333"/>
          <w:kern w:val="0"/>
          <w:sz w:val="24"/>
          <w:szCs w:val="24"/>
        </w:rPr>
        <w:t>106.</w:t>
      </w:r>
      <w:r w:rsidR="00C52FCE">
        <w:rPr>
          <w:rFonts w:asciiTheme="minorEastAsia" w:hAnsiTheme="minorEastAsia" w:cs="宋体"/>
          <w:color w:val="333333"/>
          <w:kern w:val="0"/>
          <w:sz w:val="24"/>
          <w:szCs w:val="24"/>
        </w:rPr>
        <w:t>85</w:t>
      </w:r>
      <w:r w:rsidRPr="002F7714">
        <w:rPr>
          <w:rFonts w:asciiTheme="minorEastAsia" w:hAnsiTheme="minorEastAsia" w:cs="宋体"/>
          <w:color w:val="333333"/>
          <w:kern w:val="0"/>
          <w:sz w:val="24"/>
          <w:szCs w:val="24"/>
        </w:rPr>
        <w:t>=54,068.</w:t>
      </w:r>
      <w:r w:rsidR="00C52FCE">
        <w:rPr>
          <w:rFonts w:asciiTheme="minorEastAsia" w:hAnsiTheme="minorEastAsia" w:cs="宋体"/>
          <w:color w:val="333333"/>
          <w:kern w:val="0"/>
          <w:sz w:val="24"/>
          <w:szCs w:val="24"/>
        </w:rPr>
        <w:t>15</w:t>
      </w:r>
      <w:r w:rsidRPr="002F7714">
        <w:rPr>
          <w:rFonts w:asciiTheme="minorEastAsia" w:hAnsiTheme="minorEastAsia" w:cs="宋体" w:hint="eastAsia"/>
          <w:color w:val="333333"/>
          <w:kern w:val="0"/>
          <w:sz w:val="24"/>
          <w:szCs w:val="24"/>
        </w:rPr>
        <w:t>元</w:t>
      </w:r>
    </w:p>
    <w:p w:rsidR="00DC0DDE" w:rsidRPr="00B22524" w:rsidRDefault="00DC0DDE" w:rsidP="00DC0DDE">
      <w:pPr>
        <w:widowControl/>
        <w:shd w:val="clear" w:color="auto" w:fill="FFFFFF"/>
        <w:spacing w:before="60" w:after="60" w:line="360" w:lineRule="auto"/>
        <w:jc w:val="left"/>
        <w:rPr>
          <w:rFonts w:asciiTheme="minorEastAsia" w:hAnsiTheme="minorEastAsia" w:cs="宋体"/>
          <w:color w:val="333333"/>
          <w:kern w:val="0"/>
          <w:sz w:val="24"/>
          <w:szCs w:val="24"/>
        </w:rPr>
      </w:pPr>
      <w:r w:rsidRPr="002F7714">
        <w:rPr>
          <w:rFonts w:asciiTheme="minorEastAsia" w:hAnsiTheme="minorEastAsia" w:cs="宋体" w:hint="eastAsia"/>
          <w:color w:val="333333"/>
          <w:kern w:val="0"/>
          <w:sz w:val="24"/>
          <w:szCs w:val="24"/>
        </w:rPr>
        <w:t>净转入份额</w:t>
      </w:r>
      <w:r w:rsidRPr="002F7714">
        <w:rPr>
          <w:rFonts w:asciiTheme="minorEastAsia" w:hAnsiTheme="minorEastAsia" w:cs="宋体"/>
          <w:color w:val="333333"/>
          <w:kern w:val="0"/>
          <w:sz w:val="24"/>
          <w:szCs w:val="24"/>
        </w:rPr>
        <w:t>= 54,068.</w:t>
      </w:r>
      <w:r w:rsidR="00C52FCE">
        <w:rPr>
          <w:rFonts w:asciiTheme="minorEastAsia" w:hAnsiTheme="minorEastAsia" w:cs="宋体"/>
          <w:color w:val="333333"/>
          <w:kern w:val="0"/>
          <w:sz w:val="24"/>
          <w:szCs w:val="24"/>
        </w:rPr>
        <w:t>15</w:t>
      </w:r>
      <w:r w:rsidRPr="002F7714">
        <w:rPr>
          <w:rFonts w:asciiTheme="minorEastAsia" w:hAnsiTheme="minorEastAsia" w:cs="宋体"/>
          <w:color w:val="333333"/>
          <w:kern w:val="0"/>
          <w:sz w:val="24"/>
          <w:szCs w:val="24"/>
        </w:rPr>
        <w:t>/1.0002=54,057.</w:t>
      </w:r>
      <w:r w:rsidR="00C52FCE">
        <w:rPr>
          <w:rFonts w:asciiTheme="minorEastAsia" w:hAnsiTheme="minorEastAsia" w:cs="宋体"/>
          <w:color w:val="333333"/>
          <w:kern w:val="0"/>
          <w:sz w:val="24"/>
          <w:szCs w:val="24"/>
        </w:rPr>
        <w:t>34</w:t>
      </w:r>
      <w:r w:rsidRPr="002F7714">
        <w:rPr>
          <w:rFonts w:asciiTheme="minorEastAsia" w:hAnsiTheme="minorEastAsia" w:cs="宋体" w:hint="eastAsia"/>
          <w:color w:val="333333"/>
          <w:kern w:val="0"/>
          <w:sz w:val="24"/>
          <w:szCs w:val="24"/>
        </w:rPr>
        <w:t>份</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5.2 其他与转换相关的事项</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（1）转换业务规则</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基金转换只能在同一销售机构办理，且该销售机构同时代理转出基金及转入基金的销售。</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基金转换，以申请当日基金份额净值为基础计算。投资者采用“份额转换”的原则提交申请，基金转换遵循“先进先出”的原则。</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投资者办理基金转换业务时，转出的基金必须处于可赎回状态，转入的基金必须处于可申购状态，已经冻结的基金份额不得申请基金转换。</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对于基金分红，权益登记日申请转换转入的基金份额不享有该次分红权益，权益登记日申请转换转出的基金份额享有该次分红权益。</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（2）可转换的基金</w:t>
      </w:r>
    </w:p>
    <w:p w:rsidR="001E079C" w:rsidRDefault="001E079C" w:rsidP="00497AC2">
      <w:pPr>
        <w:widowControl/>
        <w:shd w:val="clear" w:color="auto" w:fill="FFFFFF"/>
        <w:spacing w:before="240" w:line="360" w:lineRule="auto"/>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自</w:t>
      </w:r>
      <w:r w:rsidR="003327F0">
        <w:rPr>
          <w:rFonts w:asciiTheme="minorEastAsia" w:hAnsiTheme="minorEastAsia" w:cs="宋体" w:hint="eastAsia"/>
          <w:color w:val="333333"/>
          <w:kern w:val="0"/>
          <w:sz w:val="24"/>
          <w:szCs w:val="24"/>
        </w:rPr>
        <w:t>2</w:t>
      </w:r>
      <w:r w:rsidR="003327F0">
        <w:rPr>
          <w:rFonts w:asciiTheme="minorEastAsia" w:hAnsiTheme="minorEastAsia" w:cs="宋体"/>
          <w:color w:val="333333"/>
          <w:kern w:val="0"/>
          <w:sz w:val="24"/>
          <w:szCs w:val="24"/>
        </w:rPr>
        <w:t>022</w:t>
      </w:r>
      <w:r w:rsidR="003327F0">
        <w:rPr>
          <w:rFonts w:asciiTheme="minorEastAsia" w:hAnsiTheme="minorEastAsia" w:cs="宋体" w:hint="eastAsia"/>
          <w:color w:val="333333"/>
          <w:kern w:val="0"/>
          <w:sz w:val="24"/>
          <w:szCs w:val="24"/>
        </w:rPr>
        <w:t>年</w:t>
      </w:r>
      <w:r w:rsidR="003327F0">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3327F0">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r w:rsidR="0063332B">
        <w:rPr>
          <w:rFonts w:asciiTheme="minorEastAsia" w:hAnsiTheme="minorEastAsia" w:cs="宋体" w:hint="eastAsia"/>
          <w:color w:val="333333"/>
          <w:kern w:val="0"/>
          <w:sz w:val="24"/>
          <w:szCs w:val="24"/>
        </w:rPr>
        <w:t>起</w:t>
      </w:r>
      <w:r>
        <w:rPr>
          <w:rFonts w:asciiTheme="minorEastAsia" w:hAnsiTheme="minorEastAsia" w:cs="宋体" w:hint="eastAsia"/>
          <w:color w:val="333333"/>
          <w:kern w:val="0"/>
          <w:sz w:val="24"/>
          <w:szCs w:val="24"/>
        </w:rPr>
        <w:t>，投资者可通过</w:t>
      </w:r>
      <w:r w:rsidR="00B22524" w:rsidRPr="00B22524">
        <w:rPr>
          <w:rFonts w:asciiTheme="minorEastAsia" w:hAnsiTheme="minorEastAsia" w:cs="宋体" w:hint="eastAsia"/>
          <w:color w:val="333333"/>
          <w:kern w:val="0"/>
          <w:sz w:val="24"/>
          <w:szCs w:val="24"/>
        </w:rPr>
        <w:t>本公司</w:t>
      </w:r>
      <w:r>
        <w:rPr>
          <w:rFonts w:asciiTheme="minorEastAsia" w:hAnsiTheme="minorEastAsia" w:cs="宋体" w:hint="eastAsia"/>
          <w:color w:val="333333"/>
          <w:kern w:val="0"/>
          <w:sz w:val="24"/>
          <w:szCs w:val="24"/>
        </w:rPr>
        <w:t>直销柜台办理</w:t>
      </w:r>
      <w:r w:rsidR="00B22524" w:rsidRPr="00B22524">
        <w:rPr>
          <w:rFonts w:asciiTheme="minorEastAsia" w:hAnsiTheme="minorEastAsia" w:cs="宋体" w:hint="eastAsia"/>
          <w:color w:val="333333"/>
          <w:kern w:val="0"/>
          <w:sz w:val="24"/>
          <w:szCs w:val="24"/>
        </w:rPr>
        <w:t>本基金与旗下恒生前海沪港深新兴产业精选混合型证券投资基金（基金代码004332）、恒生前海港股通高股息低波动指数证券投资基金（基金代码005702）、恒生前海恒锦裕利混合型证券投资基金A类份额（基金代码006535）和C类份额（基金代码006536）、恒生前海中证质量成长低波动指数证券投资基金A类份额（基金代码006143）和C类份额（基金代码006144）、恒生前海港股通精选混合型证券投资基金（基金代码006537）</w:t>
      </w:r>
      <w:r w:rsidR="009A4AE3">
        <w:rPr>
          <w:rFonts w:asciiTheme="minorEastAsia" w:hAnsiTheme="minorEastAsia" w:cs="宋体" w:hint="eastAsia"/>
          <w:color w:val="333333"/>
          <w:kern w:val="0"/>
          <w:sz w:val="24"/>
          <w:szCs w:val="24"/>
        </w:rPr>
        <w:t>、</w:t>
      </w:r>
      <w:r w:rsidR="009A4AE3" w:rsidRPr="00B22524">
        <w:rPr>
          <w:rFonts w:asciiTheme="minorEastAsia" w:hAnsiTheme="minorEastAsia" w:cs="宋体" w:hint="eastAsia"/>
          <w:color w:val="333333"/>
          <w:kern w:val="0"/>
          <w:sz w:val="24"/>
          <w:szCs w:val="24"/>
        </w:rPr>
        <w:t>恒生前海</w:t>
      </w:r>
      <w:r w:rsidR="009A4AE3">
        <w:rPr>
          <w:rFonts w:asciiTheme="minorEastAsia" w:hAnsiTheme="minorEastAsia" w:cs="宋体" w:hint="eastAsia"/>
          <w:color w:val="333333"/>
          <w:kern w:val="0"/>
          <w:sz w:val="24"/>
          <w:szCs w:val="24"/>
        </w:rPr>
        <w:t>恒扬纯债债券型</w:t>
      </w:r>
      <w:r w:rsidR="009A4AE3" w:rsidRPr="00B22524">
        <w:rPr>
          <w:rFonts w:asciiTheme="minorEastAsia" w:hAnsiTheme="minorEastAsia" w:cs="宋体" w:hint="eastAsia"/>
          <w:color w:val="333333"/>
          <w:kern w:val="0"/>
          <w:sz w:val="24"/>
          <w:szCs w:val="24"/>
        </w:rPr>
        <w:t>证券投资基金</w:t>
      </w:r>
      <w:r w:rsidR="009A4AE3">
        <w:rPr>
          <w:rFonts w:asciiTheme="minorEastAsia" w:hAnsiTheme="minorEastAsia" w:cs="宋体" w:hint="eastAsia"/>
          <w:color w:val="333333"/>
          <w:kern w:val="0"/>
          <w:sz w:val="24"/>
          <w:szCs w:val="24"/>
        </w:rPr>
        <w:t>A</w:t>
      </w:r>
      <w:r w:rsidR="009A4AE3">
        <w:rPr>
          <w:rFonts w:asciiTheme="minorEastAsia" w:hAnsiTheme="minorEastAsia" w:cs="宋体"/>
          <w:color w:val="333333"/>
          <w:kern w:val="0"/>
          <w:sz w:val="24"/>
          <w:szCs w:val="24"/>
        </w:rPr>
        <w:t>类份额</w:t>
      </w:r>
      <w:r w:rsidR="009A4AE3" w:rsidRPr="00B22524">
        <w:rPr>
          <w:rFonts w:asciiTheme="minorEastAsia" w:hAnsiTheme="minorEastAsia" w:cs="宋体" w:hint="eastAsia"/>
          <w:color w:val="333333"/>
          <w:kern w:val="0"/>
          <w:sz w:val="24"/>
          <w:szCs w:val="24"/>
        </w:rPr>
        <w:t>（基金代码00</w:t>
      </w:r>
      <w:r w:rsidR="009A4AE3">
        <w:rPr>
          <w:rFonts w:asciiTheme="minorEastAsia" w:hAnsiTheme="minorEastAsia" w:cs="宋体"/>
          <w:color w:val="333333"/>
          <w:kern w:val="0"/>
          <w:sz w:val="24"/>
          <w:szCs w:val="24"/>
        </w:rPr>
        <w:t>7941</w:t>
      </w:r>
      <w:r w:rsidR="009A4AE3" w:rsidRPr="00B22524">
        <w:rPr>
          <w:rFonts w:asciiTheme="minorEastAsia" w:hAnsiTheme="minorEastAsia" w:cs="宋体" w:hint="eastAsia"/>
          <w:color w:val="333333"/>
          <w:kern w:val="0"/>
          <w:sz w:val="24"/>
          <w:szCs w:val="24"/>
        </w:rPr>
        <w:t>）</w:t>
      </w:r>
      <w:r w:rsidR="009A4AE3">
        <w:rPr>
          <w:rFonts w:asciiTheme="minorEastAsia" w:hAnsiTheme="minorEastAsia" w:cs="宋体" w:hint="eastAsia"/>
          <w:color w:val="333333"/>
          <w:kern w:val="0"/>
          <w:sz w:val="24"/>
          <w:szCs w:val="24"/>
        </w:rPr>
        <w:t>和C类份额（基金代码0</w:t>
      </w:r>
      <w:r w:rsidR="009A4AE3">
        <w:rPr>
          <w:rFonts w:asciiTheme="minorEastAsia" w:hAnsiTheme="minorEastAsia" w:cs="宋体"/>
          <w:color w:val="333333"/>
          <w:kern w:val="0"/>
          <w:sz w:val="24"/>
          <w:szCs w:val="24"/>
        </w:rPr>
        <w:t>07942</w:t>
      </w:r>
      <w:r w:rsidR="009A4AE3">
        <w:rPr>
          <w:rFonts w:asciiTheme="minorEastAsia" w:hAnsiTheme="minorEastAsia" w:cs="宋体" w:hint="eastAsia"/>
          <w:color w:val="333333"/>
          <w:kern w:val="0"/>
          <w:sz w:val="24"/>
          <w:szCs w:val="24"/>
        </w:rPr>
        <w:t>）、</w:t>
      </w:r>
      <w:r w:rsidR="00FF01FE" w:rsidRPr="008B2202">
        <w:rPr>
          <w:rFonts w:asciiTheme="minorEastAsia" w:hAnsiTheme="minorEastAsia" w:cs="宋体" w:hint="eastAsia"/>
          <w:color w:val="333333"/>
          <w:kern w:val="0"/>
          <w:sz w:val="24"/>
          <w:szCs w:val="24"/>
        </w:rPr>
        <w:t>恒生前海消费升级混合型证券投资基金</w:t>
      </w:r>
      <w:r w:rsidR="009A4AE3" w:rsidRPr="008B2202">
        <w:rPr>
          <w:rFonts w:asciiTheme="minorEastAsia" w:hAnsiTheme="minorEastAsia" w:cs="宋体" w:hint="eastAsia"/>
          <w:color w:val="333333"/>
          <w:kern w:val="0"/>
          <w:sz w:val="24"/>
          <w:szCs w:val="24"/>
        </w:rPr>
        <w:t>（基金代码</w:t>
      </w:r>
      <w:r w:rsidR="009A4AE3" w:rsidRPr="008B2202">
        <w:rPr>
          <w:rFonts w:asciiTheme="minorEastAsia" w:hAnsiTheme="minorEastAsia" w:cs="宋体"/>
          <w:color w:val="333333"/>
          <w:kern w:val="0"/>
          <w:sz w:val="24"/>
          <w:szCs w:val="24"/>
        </w:rPr>
        <w:t>007277</w:t>
      </w:r>
      <w:r w:rsidR="009A4AE3" w:rsidRPr="008B2202">
        <w:rPr>
          <w:rFonts w:asciiTheme="minorEastAsia" w:hAnsiTheme="minorEastAsia" w:cs="宋体" w:hint="eastAsia"/>
          <w:color w:val="333333"/>
          <w:kern w:val="0"/>
          <w:sz w:val="24"/>
          <w:szCs w:val="24"/>
        </w:rPr>
        <w:t>）</w:t>
      </w:r>
      <w:r w:rsidR="009A4AE3">
        <w:rPr>
          <w:rFonts w:asciiTheme="minorEastAsia" w:hAnsiTheme="minorEastAsia" w:cs="宋体" w:hint="eastAsia"/>
          <w:color w:val="333333"/>
          <w:kern w:val="0"/>
          <w:sz w:val="24"/>
          <w:szCs w:val="24"/>
        </w:rPr>
        <w:t>、</w:t>
      </w:r>
      <w:r w:rsidR="006053E3" w:rsidRPr="00C97A5E">
        <w:rPr>
          <w:rFonts w:asciiTheme="minorEastAsia" w:hAnsiTheme="minorEastAsia" w:cs="宋体" w:hint="eastAsia"/>
          <w:color w:val="333333"/>
          <w:kern w:val="0"/>
          <w:sz w:val="24"/>
          <w:szCs w:val="24"/>
        </w:rPr>
        <w:t>恒生前海恒生沪深港通细分行业龙头指数证券投资基金</w:t>
      </w:r>
      <w:r w:rsidR="006053E3" w:rsidRPr="00C97A5E">
        <w:rPr>
          <w:rFonts w:asciiTheme="minorEastAsia" w:hAnsiTheme="minorEastAsia" w:cs="宋体"/>
          <w:color w:val="333333"/>
          <w:kern w:val="0"/>
          <w:sz w:val="24"/>
          <w:szCs w:val="24"/>
        </w:rPr>
        <w:t>A类份额</w:t>
      </w:r>
      <w:r w:rsidR="006053E3" w:rsidRPr="00C97A5E">
        <w:rPr>
          <w:rFonts w:asciiTheme="minorEastAsia" w:hAnsiTheme="minorEastAsia" w:cs="宋体" w:hint="eastAsia"/>
          <w:color w:val="333333"/>
          <w:kern w:val="0"/>
          <w:sz w:val="24"/>
          <w:szCs w:val="24"/>
        </w:rPr>
        <w:t>（基金</w:t>
      </w:r>
      <w:r w:rsidR="006053E3" w:rsidRPr="00C97A5E">
        <w:rPr>
          <w:rFonts w:asciiTheme="minorEastAsia" w:hAnsiTheme="minorEastAsia" w:cs="宋体"/>
          <w:color w:val="333333"/>
          <w:kern w:val="0"/>
          <w:sz w:val="24"/>
          <w:szCs w:val="24"/>
        </w:rPr>
        <w:t>代码：008407</w:t>
      </w:r>
      <w:r w:rsidR="006053E3" w:rsidRPr="00C97A5E">
        <w:rPr>
          <w:rFonts w:asciiTheme="minorEastAsia" w:hAnsiTheme="minorEastAsia" w:cs="宋体" w:hint="eastAsia"/>
          <w:color w:val="333333"/>
          <w:kern w:val="0"/>
          <w:sz w:val="24"/>
          <w:szCs w:val="24"/>
        </w:rPr>
        <w:t>）</w:t>
      </w:r>
      <w:r w:rsidR="006053E3" w:rsidRPr="00C97A5E">
        <w:rPr>
          <w:rFonts w:asciiTheme="minorEastAsia" w:hAnsiTheme="minorEastAsia" w:cs="宋体"/>
          <w:color w:val="333333"/>
          <w:kern w:val="0"/>
          <w:sz w:val="24"/>
          <w:szCs w:val="24"/>
        </w:rPr>
        <w:t>和C类份额（</w:t>
      </w:r>
      <w:r w:rsidR="006053E3" w:rsidRPr="00C97A5E">
        <w:rPr>
          <w:rFonts w:asciiTheme="minorEastAsia" w:hAnsiTheme="minorEastAsia" w:cs="宋体" w:hint="eastAsia"/>
          <w:color w:val="333333"/>
          <w:kern w:val="0"/>
          <w:sz w:val="24"/>
          <w:szCs w:val="24"/>
        </w:rPr>
        <w:t>基金</w:t>
      </w:r>
      <w:r w:rsidR="006053E3" w:rsidRPr="00C97A5E">
        <w:rPr>
          <w:rFonts w:asciiTheme="minorEastAsia" w:hAnsiTheme="minorEastAsia" w:cs="宋体"/>
          <w:color w:val="333333"/>
          <w:kern w:val="0"/>
          <w:sz w:val="24"/>
          <w:szCs w:val="24"/>
        </w:rPr>
        <w:t>代码</w:t>
      </w:r>
      <w:r w:rsidR="006053E3" w:rsidRPr="00C97A5E">
        <w:rPr>
          <w:rFonts w:asciiTheme="minorEastAsia" w:hAnsiTheme="minorEastAsia" w:cs="宋体" w:hint="eastAsia"/>
          <w:color w:val="333333"/>
          <w:kern w:val="0"/>
          <w:sz w:val="24"/>
          <w:szCs w:val="24"/>
        </w:rPr>
        <w:t>：</w:t>
      </w:r>
      <w:r w:rsidR="006053E3" w:rsidRPr="00C97A5E">
        <w:rPr>
          <w:rFonts w:asciiTheme="minorEastAsia" w:hAnsiTheme="minorEastAsia" w:cs="宋体"/>
          <w:color w:val="333333"/>
          <w:kern w:val="0"/>
          <w:sz w:val="24"/>
          <w:szCs w:val="24"/>
        </w:rPr>
        <w:t>008408）</w:t>
      </w:r>
      <w:r w:rsidR="006053E3" w:rsidRPr="00C97A5E">
        <w:rPr>
          <w:rFonts w:asciiTheme="minorEastAsia" w:hAnsiTheme="minorEastAsia" w:cs="宋体" w:hint="eastAsia"/>
          <w:color w:val="333333"/>
          <w:kern w:val="0"/>
          <w:sz w:val="24"/>
          <w:szCs w:val="24"/>
        </w:rPr>
        <w:t>、</w:t>
      </w:r>
      <w:r w:rsidR="009A4AE3" w:rsidRPr="00B22524">
        <w:rPr>
          <w:rFonts w:asciiTheme="minorEastAsia" w:hAnsiTheme="minorEastAsia" w:cs="宋体" w:hint="eastAsia"/>
          <w:color w:val="333333"/>
          <w:kern w:val="0"/>
          <w:sz w:val="24"/>
          <w:szCs w:val="24"/>
        </w:rPr>
        <w:t>恒生前海</w:t>
      </w:r>
      <w:r w:rsidR="009A4AE3">
        <w:rPr>
          <w:rFonts w:asciiTheme="minorEastAsia" w:hAnsiTheme="minorEastAsia" w:cs="宋体" w:hint="eastAsia"/>
          <w:color w:val="333333"/>
          <w:kern w:val="0"/>
          <w:sz w:val="24"/>
          <w:szCs w:val="24"/>
        </w:rPr>
        <w:t>短债债券型发起式</w:t>
      </w:r>
      <w:r w:rsidR="009A4AE3" w:rsidRPr="00B22524">
        <w:rPr>
          <w:rFonts w:asciiTheme="minorEastAsia" w:hAnsiTheme="minorEastAsia" w:cs="宋体" w:hint="eastAsia"/>
          <w:color w:val="333333"/>
          <w:kern w:val="0"/>
          <w:sz w:val="24"/>
          <w:szCs w:val="24"/>
        </w:rPr>
        <w:t>证券投资基金</w:t>
      </w:r>
      <w:r w:rsidR="009A4AE3">
        <w:rPr>
          <w:rFonts w:asciiTheme="minorEastAsia" w:hAnsiTheme="minorEastAsia" w:cs="宋体" w:hint="eastAsia"/>
          <w:color w:val="333333"/>
          <w:kern w:val="0"/>
          <w:sz w:val="24"/>
          <w:szCs w:val="24"/>
        </w:rPr>
        <w:t>A</w:t>
      </w:r>
      <w:r w:rsidR="009A4AE3">
        <w:rPr>
          <w:rFonts w:asciiTheme="minorEastAsia" w:hAnsiTheme="minorEastAsia" w:cs="宋体"/>
          <w:color w:val="333333"/>
          <w:kern w:val="0"/>
          <w:sz w:val="24"/>
          <w:szCs w:val="24"/>
        </w:rPr>
        <w:t>类份额</w:t>
      </w:r>
      <w:r w:rsidR="009A4AE3" w:rsidRPr="00B22524">
        <w:rPr>
          <w:rFonts w:asciiTheme="minorEastAsia" w:hAnsiTheme="minorEastAsia" w:cs="宋体" w:hint="eastAsia"/>
          <w:color w:val="333333"/>
          <w:kern w:val="0"/>
          <w:sz w:val="24"/>
          <w:szCs w:val="24"/>
        </w:rPr>
        <w:t>（基金代码00</w:t>
      </w:r>
      <w:r w:rsidR="009A4AE3">
        <w:rPr>
          <w:rFonts w:asciiTheme="minorEastAsia" w:hAnsiTheme="minorEastAsia" w:cs="宋体"/>
          <w:color w:val="333333"/>
          <w:kern w:val="0"/>
          <w:sz w:val="24"/>
          <w:szCs w:val="24"/>
        </w:rPr>
        <w:t>9301</w:t>
      </w:r>
      <w:r w:rsidR="009A4AE3" w:rsidRPr="00B22524">
        <w:rPr>
          <w:rFonts w:asciiTheme="minorEastAsia" w:hAnsiTheme="minorEastAsia" w:cs="宋体" w:hint="eastAsia"/>
          <w:color w:val="333333"/>
          <w:kern w:val="0"/>
          <w:sz w:val="24"/>
          <w:szCs w:val="24"/>
        </w:rPr>
        <w:t>）</w:t>
      </w:r>
      <w:r w:rsidR="009A4AE3">
        <w:rPr>
          <w:rFonts w:asciiTheme="minorEastAsia" w:hAnsiTheme="minorEastAsia" w:cs="宋体" w:hint="eastAsia"/>
          <w:color w:val="333333"/>
          <w:kern w:val="0"/>
          <w:sz w:val="24"/>
          <w:szCs w:val="24"/>
        </w:rPr>
        <w:t>和C类份额（基金代码0</w:t>
      </w:r>
      <w:r w:rsidR="009A4AE3">
        <w:rPr>
          <w:rFonts w:asciiTheme="minorEastAsia" w:hAnsiTheme="minorEastAsia" w:cs="宋体"/>
          <w:color w:val="333333"/>
          <w:kern w:val="0"/>
          <w:sz w:val="24"/>
          <w:szCs w:val="24"/>
        </w:rPr>
        <w:t>09302</w:t>
      </w:r>
      <w:r w:rsidR="009A4AE3">
        <w:rPr>
          <w:rFonts w:asciiTheme="minorEastAsia" w:hAnsiTheme="minorEastAsia" w:cs="宋体" w:hint="eastAsia"/>
          <w:color w:val="333333"/>
          <w:kern w:val="0"/>
          <w:sz w:val="24"/>
          <w:szCs w:val="24"/>
        </w:rPr>
        <w:t>）</w:t>
      </w:r>
      <w:r w:rsidR="004E4CE9">
        <w:rPr>
          <w:rFonts w:asciiTheme="minorEastAsia" w:hAnsiTheme="minorEastAsia" w:cs="宋体" w:hint="eastAsia"/>
          <w:color w:val="333333"/>
          <w:kern w:val="0"/>
          <w:sz w:val="24"/>
          <w:szCs w:val="24"/>
        </w:rPr>
        <w:t>、</w:t>
      </w:r>
      <w:r w:rsidR="00D94F9E" w:rsidRPr="00D94F9E">
        <w:rPr>
          <w:rFonts w:asciiTheme="minorEastAsia" w:hAnsiTheme="minorEastAsia" w:cs="宋体" w:hint="eastAsia"/>
          <w:color w:val="333333"/>
          <w:kern w:val="0"/>
          <w:sz w:val="24"/>
          <w:szCs w:val="24"/>
        </w:rPr>
        <w:t>恒生前海</w:t>
      </w:r>
      <w:r w:rsidR="00D94F9E">
        <w:rPr>
          <w:rFonts w:asciiTheme="minorEastAsia" w:hAnsiTheme="minorEastAsia" w:cs="宋体" w:hint="eastAsia"/>
          <w:color w:val="333333"/>
          <w:kern w:val="0"/>
          <w:sz w:val="24"/>
          <w:szCs w:val="24"/>
        </w:rPr>
        <w:t>恒祥</w:t>
      </w:r>
      <w:r w:rsidR="00D94F9E" w:rsidRPr="00D94F9E">
        <w:rPr>
          <w:rFonts w:asciiTheme="minorEastAsia" w:hAnsiTheme="minorEastAsia" w:cs="宋体" w:hint="eastAsia"/>
          <w:color w:val="333333"/>
          <w:kern w:val="0"/>
          <w:sz w:val="24"/>
          <w:szCs w:val="24"/>
        </w:rPr>
        <w:t>纯债债券型证券投资基金</w:t>
      </w:r>
      <w:r w:rsidR="00D94F9E" w:rsidRPr="00D94F9E">
        <w:rPr>
          <w:rFonts w:asciiTheme="minorEastAsia" w:hAnsiTheme="minorEastAsia" w:cs="宋体"/>
          <w:color w:val="333333"/>
          <w:kern w:val="0"/>
          <w:sz w:val="24"/>
          <w:szCs w:val="24"/>
        </w:rPr>
        <w:t>A类份额</w:t>
      </w:r>
      <w:r w:rsidR="00D94F9E" w:rsidRPr="00D94F9E">
        <w:rPr>
          <w:rFonts w:asciiTheme="minorEastAsia" w:hAnsiTheme="minorEastAsia" w:cs="宋体" w:hint="eastAsia"/>
          <w:color w:val="333333"/>
          <w:kern w:val="0"/>
          <w:sz w:val="24"/>
          <w:szCs w:val="24"/>
        </w:rPr>
        <w:t>（基金代码</w:t>
      </w:r>
      <w:r w:rsidR="00D94F9E" w:rsidRPr="00D94F9E">
        <w:rPr>
          <w:rFonts w:asciiTheme="minorEastAsia" w:hAnsiTheme="minorEastAsia" w:cs="宋体"/>
          <w:color w:val="333333"/>
          <w:kern w:val="0"/>
          <w:sz w:val="24"/>
          <w:szCs w:val="24"/>
        </w:rPr>
        <w:t>0</w:t>
      </w:r>
      <w:r w:rsidR="00D94F9E" w:rsidRPr="008B2202">
        <w:rPr>
          <w:rFonts w:asciiTheme="minorEastAsia" w:hAnsiTheme="minorEastAsia" w:cs="宋体"/>
          <w:color w:val="333333"/>
          <w:kern w:val="0"/>
          <w:sz w:val="24"/>
          <w:szCs w:val="24"/>
        </w:rPr>
        <w:t>13202</w:t>
      </w:r>
      <w:r w:rsidR="00D94F9E" w:rsidRPr="00D94F9E">
        <w:rPr>
          <w:rFonts w:asciiTheme="minorEastAsia" w:hAnsiTheme="minorEastAsia" w:cs="宋体" w:hint="eastAsia"/>
          <w:color w:val="333333"/>
          <w:kern w:val="0"/>
          <w:sz w:val="24"/>
          <w:szCs w:val="24"/>
        </w:rPr>
        <w:t>）和</w:t>
      </w:r>
      <w:r w:rsidR="00D94F9E" w:rsidRPr="00D94F9E">
        <w:rPr>
          <w:rFonts w:asciiTheme="minorEastAsia" w:hAnsiTheme="minorEastAsia" w:cs="宋体"/>
          <w:color w:val="333333"/>
          <w:kern w:val="0"/>
          <w:sz w:val="24"/>
          <w:szCs w:val="24"/>
        </w:rPr>
        <w:t>C类份额（基金代码0</w:t>
      </w:r>
      <w:r w:rsidR="00D94F9E" w:rsidRPr="008B2202">
        <w:rPr>
          <w:rFonts w:asciiTheme="minorEastAsia" w:hAnsiTheme="minorEastAsia" w:cs="宋体"/>
          <w:color w:val="333333"/>
          <w:kern w:val="0"/>
          <w:sz w:val="24"/>
          <w:szCs w:val="24"/>
        </w:rPr>
        <w:t>13203</w:t>
      </w:r>
      <w:r w:rsidR="00D94F9E" w:rsidRPr="00D94F9E">
        <w:rPr>
          <w:rFonts w:asciiTheme="minorEastAsia" w:hAnsiTheme="minorEastAsia" w:cs="宋体" w:hint="eastAsia"/>
          <w:color w:val="333333"/>
          <w:kern w:val="0"/>
          <w:sz w:val="24"/>
          <w:szCs w:val="24"/>
        </w:rPr>
        <w:t>）</w:t>
      </w:r>
      <w:r w:rsidR="00D94F9E" w:rsidRPr="008B2202">
        <w:rPr>
          <w:rFonts w:asciiTheme="minorEastAsia" w:hAnsiTheme="minorEastAsia" w:cs="宋体" w:hint="eastAsia"/>
          <w:color w:val="333333"/>
          <w:kern w:val="0"/>
          <w:sz w:val="24"/>
          <w:szCs w:val="24"/>
        </w:rPr>
        <w:t>、</w:t>
      </w:r>
      <w:r w:rsidR="00D94F9E" w:rsidRPr="00B22524">
        <w:rPr>
          <w:rFonts w:asciiTheme="minorEastAsia" w:hAnsiTheme="minorEastAsia" w:cs="宋体" w:hint="eastAsia"/>
          <w:color w:val="333333"/>
          <w:kern w:val="0"/>
          <w:sz w:val="24"/>
          <w:szCs w:val="24"/>
        </w:rPr>
        <w:t>恒生前海</w:t>
      </w:r>
      <w:r w:rsidR="00D94F9E">
        <w:rPr>
          <w:rFonts w:asciiTheme="minorEastAsia" w:hAnsiTheme="minorEastAsia" w:cs="宋体" w:hint="eastAsia"/>
          <w:color w:val="333333"/>
          <w:kern w:val="0"/>
          <w:sz w:val="24"/>
          <w:szCs w:val="24"/>
        </w:rPr>
        <w:t>恒源天利债券型</w:t>
      </w:r>
      <w:r w:rsidR="00D94F9E" w:rsidRPr="00B22524">
        <w:rPr>
          <w:rFonts w:asciiTheme="minorEastAsia" w:hAnsiTheme="minorEastAsia" w:cs="宋体" w:hint="eastAsia"/>
          <w:color w:val="333333"/>
          <w:kern w:val="0"/>
          <w:sz w:val="24"/>
          <w:szCs w:val="24"/>
        </w:rPr>
        <w:t>证券投资基金</w:t>
      </w:r>
      <w:r w:rsidR="00D94F9E">
        <w:rPr>
          <w:rFonts w:asciiTheme="minorEastAsia" w:hAnsiTheme="minorEastAsia" w:cs="宋体" w:hint="eastAsia"/>
          <w:color w:val="333333"/>
          <w:kern w:val="0"/>
          <w:sz w:val="24"/>
          <w:szCs w:val="24"/>
        </w:rPr>
        <w:t>A</w:t>
      </w:r>
      <w:r w:rsidR="00D94F9E">
        <w:rPr>
          <w:rFonts w:asciiTheme="minorEastAsia" w:hAnsiTheme="minorEastAsia" w:cs="宋体"/>
          <w:color w:val="333333"/>
          <w:kern w:val="0"/>
          <w:sz w:val="24"/>
          <w:szCs w:val="24"/>
        </w:rPr>
        <w:t>类份额</w:t>
      </w:r>
      <w:r w:rsidR="00D94F9E" w:rsidRPr="00B22524">
        <w:rPr>
          <w:rFonts w:asciiTheme="minorEastAsia" w:hAnsiTheme="minorEastAsia" w:cs="宋体" w:hint="eastAsia"/>
          <w:color w:val="333333"/>
          <w:kern w:val="0"/>
          <w:sz w:val="24"/>
          <w:szCs w:val="24"/>
        </w:rPr>
        <w:t>（基金代码0</w:t>
      </w:r>
      <w:r w:rsidR="00D94F9E">
        <w:rPr>
          <w:rFonts w:asciiTheme="minorEastAsia" w:hAnsiTheme="minorEastAsia" w:cs="宋体"/>
          <w:color w:val="333333"/>
          <w:kern w:val="0"/>
          <w:sz w:val="24"/>
          <w:szCs w:val="24"/>
        </w:rPr>
        <w:t>13204</w:t>
      </w:r>
      <w:r w:rsidR="00D94F9E" w:rsidRPr="00B22524">
        <w:rPr>
          <w:rFonts w:asciiTheme="minorEastAsia" w:hAnsiTheme="minorEastAsia" w:cs="宋体" w:hint="eastAsia"/>
          <w:color w:val="333333"/>
          <w:kern w:val="0"/>
          <w:sz w:val="24"/>
          <w:szCs w:val="24"/>
        </w:rPr>
        <w:t>）</w:t>
      </w:r>
      <w:r w:rsidR="00D94F9E">
        <w:rPr>
          <w:rFonts w:asciiTheme="minorEastAsia" w:hAnsiTheme="minorEastAsia" w:cs="宋体" w:hint="eastAsia"/>
          <w:color w:val="333333"/>
          <w:kern w:val="0"/>
          <w:sz w:val="24"/>
          <w:szCs w:val="24"/>
        </w:rPr>
        <w:t>和C类份额（基金代码0</w:t>
      </w:r>
      <w:r w:rsidR="00D94F9E">
        <w:rPr>
          <w:rFonts w:asciiTheme="minorEastAsia" w:hAnsiTheme="minorEastAsia" w:cs="宋体"/>
          <w:color w:val="333333"/>
          <w:kern w:val="0"/>
          <w:sz w:val="24"/>
          <w:szCs w:val="24"/>
        </w:rPr>
        <w:t>13205</w:t>
      </w:r>
      <w:r w:rsidR="00D94F9E">
        <w:rPr>
          <w:rFonts w:asciiTheme="minorEastAsia" w:hAnsiTheme="minorEastAsia" w:cs="宋体" w:hint="eastAsia"/>
          <w:color w:val="333333"/>
          <w:kern w:val="0"/>
          <w:sz w:val="24"/>
          <w:szCs w:val="24"/>
        </w:rPr>
        <w:t>）</w:t>
      </w:r>
      <w:r w:rsidR="009B4B9D">
        <w:rPr>
          <w:rFonts w:asciiTheme="minorEastAsia" w:hAnsiTheme="minorEastAsia" w:cs="宋体" w:hint="eastAsia"/>
          <w:color w:val="333333"/>
          <w:kern w:val="0"/>
          <w:sz w:val="24"/>
          <w:szCs w:val="24"/>
        </w:rPr>
        <w:t>、</w:t>
      </w:r>
      <w:r w:rsidR="009B4B9D" w:rsidRPr="00B22524">
        <w:rPr>
          <w:rFonts w:asciiTheme="minorEastAsia" w:hAnsiTheme="minorEastAsia" w:cs="宋体" w:hint="eastAsia"/>
          <w:color w:val="333333"/>
          <w:kern w:val="0"/>
          <w:sz w:val="24"/>
          <w:szCs w:val="24"/>
        </w:rPr>
        <w:t>恒生前海</w:t>
      </w:r>
      <w:r w:rsidR="009B4B9D">
        <w:rPr>
          <w:rFonts w:asciiTheme="minorEastAsia" w:hAnsiTheme="minorEastAsia" w:cs="宋体" w:hint="eastAsia"/>
          <w:color w:val="333333"/>
          <w:kern w:val="0"/>
          <w:sz w:val="24"/>
          <w:szCs w:val="24"/>
        </w:rPr>
        <w:t>恒裕债券型</w:t>
      </w:r>
      <w:r w:rsidR="009B4B9D" w:rsidRPr="00B22524">
        <w:rPr>
          <w:rFonts w:asciiTheme="minorEastAsia" w:hAnsiTheme="minorEastAsia" w:cs="宋体" w:hint="eastAsia"/>
          <w:color w:val="333333"/>
          <w:kern w:val="0"/>
          <w:sz w:val="24"/>
          <w:szCs w:val="24"/>
        </w:rPr>
        <w:t>证券投资基金</w:t>
      </w:r>
      <w:r w:rsidR="009B4B9D">
        <w:rPr>
          <w:rFonts w:asciiTheme="minorEastAsia" w:hAnsiTheme="minorEastAsia" w:cs="宋体" w:hint="eastAsia"/>
          <w:color w:val="333333"/>
          <w:kern w:val="0"/>
          <w:sz w:val="24"/>
          <w:szCs w:val="24"/>
        </w:rPr>
        <w:t>A</w:t>
      </w:r>
      <w:r w:rsidR="009B4B9D">
        <w:rPr>
          <w:rFonts w:asciiTheme="minorEastAsia" w:hAnsiTheme="minorEastAsia" w:cs="宋体"/>
          <w:color w:val="333333"/>
          <w:kern w:val="0"/>
          <w:sz w:val="24"/>
          <w:szCs w:val="24"/>
        </w:rPr>
        <w:t>类份额</w:t>
      </w:r>
      <w:r w:rsidR="009B4B9D" w:rsidRPr="00B22524">
        <w:rPr>
          <w:rFonts w:asciiTheme="minorEastAsia" w:hAnsiTheme="minorEastAsia" w:cs="宋体" w:hint="eastAsia"/>
          <w:color w:val="333333"/>
          <w:kern w:val="0"/>
          <w:sz w:val="24"/>
          <w:szCs w:val="24"/>
        </w:rPr>
        <w:t>（基金代码0</w:t>
      </w:r>
      <w:r w:rsidR="009B4B9D">
        <w:rPr>
          <w:rFonts w:asciiTheme="minorEastAsia" w:hAnsiTheme="minorEastAsia" w:cs="宋体"/>
          <w:color w:val="333333"/>
          <w:kern w:val="0"/>
          <w:sz w:val="24"/>
          <w:szCs w:val="24"/>
        </w:rPr>
        <w:t>14712</w:t>
      </w:r>
      <w:r w:rsidR="009B4B9D" w:rsidRPr="00B22524">
        <w:rPr>
          <w:rFonts w:asciiTheme="minorEastAsia" w:hAnsiTheme="minorEastAsia" w:cs="宋体" w:hint="eastAsia"/>
          <w:color w:val="333333"/>
          <w:kern w:val="0"/>
          <w:sz w:val="24"/>
          <w:szCs w:val="24"/>
        </w:rPr>
        <w:t>）</w:t>
      </w:r>
      <w:r w:rsidR="009B4B9D">
        <w:rPr>
          <w:rFonts w:asciiTheme="minorEastAsia" w:hAnsiTheme="minorEastAsia" w:cs="宋体" w:hint="eastAsia"/>
          <w:color w:val="333333"/>
          <w:kern w:val="0"/>
          <w:sz w:val="24"/>
          <w:szCs w:val="24"/>
        </w:rPr>
        <w:t>和C类份额（基金代码0</w:t>
      </w:r>
      <w:r w:rsidR="009B4B9D">
        <w:rPr>
          <w:rFonts w:asciiTheme="minorEastAsia" w:hAnsiTheme="minorEastAsia" w:cs="宋体"/>
          <w:color w:val="333333"/>
          <w:kern w:val="0"/>
          <w:sz w:val="24"/>
          <w:szCs w:val="24"/>
        </w:rPr>
        <w:t>14713</w:t>
      </w:r>
      <w:r w:rsidR="009B4B9D">
        <w:rPr>
          <w:rFonts w:asciiTheme="minorEastAsia" w:hAnsiTheme="minorEastAsia" w:cs="宋体" w:hint="eastAsia"/>
          <w:color w:val="333333"/>
          <w:kern w:val="0"/>
          <w:sz w:val="24"/>
          <w:szCs w:val="24"/>
        </w:rPr>
        <w:t>）</w:t>
      </w:r>
      <w:r w:rsidR="006B0214">
        <w:rPr>
          <w:rFonts w:asciiTheme="minorEastAsia" w:hAnsiTheme="minorEastAsia" w:cs="宋体" w:hint="eastAsia"/>
          <w:color w:val="333333"/>
          <w:kern w:val="0"/>
          <w:sz w:val="24"/>
          <w:szCs w:val="24"/>
        </w:rPr>
        <w:t>、</w:t>
      </w:r>
      <w:r w:rsidR="006B0214" w:rsidRPr="00B22524">
        <w:rPr>
          <w:rFonts w:asciiTheme="minorEastAsia" w:hAnsiTheme="minorEastAsia" w:cs="宋体" w:hint="eastAsia"/>
          <w:color w:val="333333"/>
          <w:kern w:val="0"/>
          <w:sz w:val="24"/>
          <w:szCs w:val="24"/>
        </w:rPr>
        <w:t>恒生前海</w:t>
      </w:r>
      <w:r w:rsidR="006B0214">
        <w:rPr>
          <w:rFonts w:asciiTheme="minorEastAsia" w:hAnsiTheme="minorEastAsia" w:cs="宋体" w:hint="eastAsia"/>
          <w:color w:val="333333"/>
          <w:kern w:val="0"/>
          <w:sz w:val="24"/>
          <w:szCs w:val="24"/>
        </w:rPr>
        <w:t>恒利</w:t>
      </w:r>
      <w:r w:rsidR="007F76AB">
        <w:rPr>
          <w:rFonts w:asciiTheme="minorEastAsia" w:hAnsiTheme="minorEastAsia" w:cs="宋体" w:hint="eastAsia"/>
          <w:color w:val="333333"/>
          <w:kern w:val="0"/>
          <w:sz w:val="24"/>
          <w:szCs w:val="24"/>
        </w:rPr>
        <w:t>纯债</w:t>
      </w:r>
      <w:r w:rsidR="006B0214">
        <w:rPr>
          <w:rFonts w:asciiTheme="minorEastAsia" w:hAnsiTheme="minorEastAsia" w:cs="宋体" w:hint="eastAsia"/>
          <w:color w:val="333333"/>
          <w:kern w:val="0"/>
          <w:sz w:val="24"/>
          <w:szCs w:val="24"/>
        </w:rPr>
        <w:t>债券型</w:t>
      </w:r>
      <w:r w:rsidR="006B0214" w:rsidRPr="00B22524">
        <w:rPr>
          <w:rFonts w:asciiTheme="minorEastAsia" w:hAnsiTheme="minorEastAsia" w:cs="宋体" w:hint="eastAsia"/>
          <w:color w:val="333333"/>
          <w:kern w:val="0"/>
          <w:sz w:val="24"/>
          <w:szCs w:val="24"/>
        </w:rPr>
        <w:t>证券投资基金</w:t>
      </w:r>
      <w:r w:rsidR="006B0214">
        <w:rPr>
          <w:rFonts w:asciiTheme="minorEastAsia" w:hAnsiTheme="minorEastAsia" w:cs="宋体" w:hint="eastAsia"/>
          <w:color w:val="333333"/>
          <w:kern w:val="0"/>
          <w:sz w:val="24"/>
          <w:szCs w:val="24"/>
        </w:rPr>
        <w:t>A</w:t>
      </w:r>
      <w:r w:rsidR="006B0214">
        <w:rPr>
          <w:rFonts w:asciiTheme="minorEastAsia" w:hAnsiTheme="minorEastAsia" w:cs="宋体"/>
          <w:color w:val="333333"/>
          <w:kern w:val="0"/>
          <w:sz w:val="24"/>
          <w:szCs w:val="24"/>
        </w:rPr>
        <w:t>类份额</w:t>
      </w:r>
      <w:r w:rsidR="006B0214" w:rsidRPr="00B22524">
        <w:rPr>
          <w:rFonts w:asciiTheme="minorEastAsia" w:hAnsiTheme="minorEastAsia" w:cs="宋体" w:hint="eastAsia"/>
          <w:color w:val="333333"/>
          <w:kern w:val="0"/>
          <w:sz w:val="24"/>
          <w:szCs w:val="24"/>
        </w:rPr>
        <w:t>（基金代码0</w:t>
      </w:r>
      <w:r w:rsidR="006B0214">
        <w:rPr>
          <w:rFonts w:asciiTheme="minorEastAsia" w:hAnsiTheme="minorEastAsia" w:cs="宋体"/>
          <w:color w:val="333333"/>
          <w:kern w:val="0"/>
          <w:sz w:val="24"/>
          <w:szCs w:val="24"/>
        </w:rPr>
        <w:t>1</w:t>
      </w:r>
      <w:r w:rsidR="007F76AB">
        <w:rPr>
          <w:rFonts w:asciiTheme="minorEastAsia" w:hAnsiTheme="minorEastAsia" w:cs="宋体"/>
          <w:color w:val="333333"/>
          <w:kern w:val="0"/>
          <w:sz w:val="24"/>
          <w:szCs w:val="24"/>
        </w:rPr>
        <w:t>5331</w:t>
      </w:r>
      <w:r w:rsidR="006B0214" w:rsidRPr="00B22524">
        <w:rPr>
          <w:rFonts w:asciiTheme="minorEastAsia" w:hAnsiTheme="minorEastAsia" w:cs="宋体" w:hint="eastAsia"/>
          <w:color w:val="333333"/>
          <w:kern w:val="0"/>
          <w:sz w:val="24"/>
          <w:szCs w:val="24"/>
        </w:rPr>
        <w:t>）</w:t>
      </w:r>
      <w:r w:rsidR="006B0214">
        <w:rPr>
          <w:rFonts w:asciiTheme="minorEastAsia" w:hAnsiTheme="minorEastAsia" w:cs="宋体" w:hint="eastAsia"/>
          <w:color w:val="333333"/>
          <w:kern w:val="0"/>
          <w:sz w:val="24"/>
          <w:szCs w:val="24"/>
        </w:rPr>
        <w:t>和C类份额（基金代码0</w:t>
      </w:r>
      <w:r w:rsidR="006B0214">
        <w:rPr>
          <w:rFonts w:asciiTheme="minorEastAsia" w:hAnsiTheme="minorEastAsia" w:cs="宋体"/>
          <w:color w:val="333333"/>
          <w:kern w:val="0"/>
          <w:sz w:val="24"/>
          <w:szCs w:val="24"/>
        </w:rPr>
        <w:t>1</w:t>
      </w:r>
      <w:r w:rsidR="007F76AB">
        <w:rPr>
          <w:rFonts w:asciiTheme="minorEastAsia" w:hAnsiTheme="minorEastAsia" w:cs="宋体"/>
          <w:color w:val="333333"/>
          <w:kern w:val="0"/>
          <w:sz w:val="24"/>
          <w:szCs w:val="24"/>
        </w:rPr>
        <w:t>5332</w:t>
      </w:r>
      <w:r w:rsidR="006B0214">
        <w:rPr>
          <w:rFonts w:asciiTheme="minorEastAsia" w:hAnsiTheme="minorEastAsia" w:cs="宋体" w:hint="eastAsia"/>
          <w:color w:val="333333"/>
          <w:kern w:val="0"/>
          <w:sz w:val="24"/>
          <w:szCs w:val="24"/>
        </w:rPr>
        <w:t>）、</w:t>
      </w:r>
      <w:r w:rsidR="007F76AB" w:rsidRPr="00B22524">
        <w:rPr>
          <w:rFonts w:asciiTheme="minorEastAsia" w:hAnsiTheme="minorEastAsia" w:cs="宋体" w:hint="eastAsia"/>
          <w:color w:val="333333"/>
          <w:kern w:val="0"/>
          <w:sz w:val="24"/>
          <w:szCs w:val="24"/>
        </w:rPr>
        <w:t>恒生前海</w:t>
      </w:r>
      <w:r w:rsidR="007F76AB">
        <w:rPr>
          <w:rFonts w:asciiTheme="minorEastAsia" w:hAnsiTheme="minorEastAsia" w:cs="宋体" w:hint="eastAsia"/>
          <w:color w:val="333333"/>
          <w:kern w:val="0"/>
          <w:sz w:val="24"/>
          <w:szCs w:val="24"/>
        </w:rPr>
        <w:t>恒源嘉利债券型</w:t>
      </w:r>
      <w:r w:rsidR="007F76AB" w:rsidRPr="00B22524">
        <w:rPr>
          <w:rFonts w:asciiTheme="minorEastAsia" w:hAnsiTheme="minorEastAsia" w:cs="宋体" w:hint="eastAsia"/>
          <w:color w:val="333333"/>
          <w:kern w:val="0"/>
          <w:sz w:val="24"/>
          <w:szCs w:val="24"/>
        </w:rPr>
        <w:t>证券投资基金</w:t>
      </w:r>
      <w:r w:rsidR="007F76AB">
        <w:rPr>
          <w:rFonts w:asciiTheme="minorEastAsia" w:hAnsiTheme="minorEastAsia" w:cs="宋体" w:hint="eastAsia"/>
          <w:color w:val="333333"/>
          <w:kern w:val="0"/>
          <w:sz w:val="24"/>
          <w:szCs w:val="24"/>
        </w:rPr>
        <w:t>A</w:t>
      </w:r>
      <w:r w:rsidR="007F76AB">
        <w:rPr>
          <w:rFonts w:asciiTheme="minorEastAsia" w:hAnsiTheme="minorEastAsia" w:cs="宋体"/>
          <w:color w:val="333333"/>
          <w:kern w:val="0"/>
          <w:sz w:val="24"/>
          <w:szCs w:val="24"/>
        </w:rPr>
        <w:t>类份额</w:t>
      </w:r>
      <w:r w:rsidR="007F76AB" w:rsidRPr="00B22524">
        <w:rPr>
          <w:rFonts w:asciiTheme="minorEastAsia" w:hAnsiTheme="minorEastAsia" w:cs="宋体" w:hint="eastAsia"/>
          <w:color w:val="333333"/>
          <w:kern w:val="0"/>
          <w:sz w:val="24"/>
          <w:szCs w:val="24"/>
        </w:rPr>
        <w:t>（基金代码0</w:t>
      </w:r>
      <w:r w:rsidR="007F76AB">
        <w:rPr>
          <w:rFonts w:asciiTheme="minorEastAsia" w:hAnsiTheme="minorEastAsia" w:cs="宋体"/>
          <w:color w:val="333333"/>
          <w:kern w:val="0"/>
          <w:sz w:val="24"/>
          <w:szCs w:val="24"/>
        </w:rPr>
        <w:t>14742</w:t>
      </w:r>
      <w:r w:rsidR="007F76AB" w:rsidRPr="00B22524">
        <w:rPr>
          <w:rFonts w:asciiTheme="minorEastAsia" w:hAnsiTheme="minorEastAsia" w:cs="宋体" w:hint="eastAsia"/>
          <w:color w:val="333333"/>
          <w:kern w:val="0"/>
          <w:sz w:val="24"/>
          <w:szCs w:val="24"/>
        </w:rPr>
        <w:t>）</w:t>
      </w:r>
      <w:r w:rsidR="007F76AB">
        <w:rPr>
          <w:rFonts w:asciiTheme="minorEastAsia" w:hAnsiTheme="minorEastAsia" w:cs="宋体" w:hint="eastAsia"/>
          <w:color w:val="333333"/>
          <w:kern w:val="0"/>
          <w:sz w:val="24"/>
          <w:szCs w:val="24"/>
        </w:rPr>
        <w:t>和C类份额（基金代码0</w:t>
      </w:r>
      <w:r w:rsidR="007F76AB">
        <w:rPr>
          <w:rFonts w:asciiTheme="minorEastAsia" w:hAnsiTheme="minorEastAsia" w:cs="宋体"/>
          <w:color w:val="333333"/>
          <w:kern w:val="0"/>
          <w:sz w:val="24"/>
          <w:szCs w:val="24"/>
        </w:rPr>
        <w:t>14743</w:t>
      </w:r>
      <w:r w:rsidR="007F76AB">
        <w:rPr>
          <w:rFonts w:asciiTheme="minorEastAsia" w:hAnsiTheme="minorEastAsia" w:cs="宋体" w:hint="eastAsia"/>
          <w:color w:val="333333"/>
          <w:kern w:val="0"/>
          <w:sz w:val="24"/>
          <w:szCs w:val="24"/>
        </w:rPr>
        <w:t>）、</w:t>
      </w:r>
      <w:r w:rsidR="007F0F75" w:rsidRPr="00B22524">
        <w:rPr>
          <w:rFonts w:asciiTheme="minorEastAsia" w:hAnsiTheme="minorEastAsia" w:cs="宋体" w:hint="eastAsia"/>
          <w:color w:val="333333"/>
          <w:kern w:val="0"/>
          <w:sz w:val="24"/>
          <w:szCs w:val="24"/>
        </w:rPr>
        <w:t>恒生前海</w:t>
      </w:r>
      <w:r w:rsidR="007F0F75">
        <w:rPr>
          <w:rFonts w:asciiTheme="minorEastAsia" w:hAnsiTheme="minorEastAsia" w:cs="宋体" w:hint="eastAsia"/>
          <w:color w:val="333333"/>
          <w:kern w:val="0"/>
          <w:sz w:val="24"/>
          <w:szCs w:val="24"/>
        </w:rPr>
        <w:t>高端制造混合型</w:t>
      </w:r>
      <w:r w:rsidR="007F0F75" w:rsidRPr="00B22524">
        <w:rPr>
          <w:rFonts w:asciiTheme="minorEastAsia" w:hAnsiTheme="minorEastAsia" w:cs="宋体" w:hint="eastAsia"/>
          <w:color w:val="333333"/>
          <w:kern w:val="0"/>
          <w:sz w:val="24"/>
          <w:szCs w:val="24"/>
        </w:rPr>
        <w:t>证券投资基金</w:t>
      </w:r>
      <w:r w:rsidR="007F0F75">
        <w:rPr>
          <w:rFonts w:asciiTheme="minorEastAsia" w:hAnsiTheme="minorEastAsia" w:cs="宋体" w:hint="eastAsia"/>
          <w:color w:val="333333"/>
          <w:kern w:val="0"/>
          <w:sz w:val="24"/>
          <w:szCs w:val="24"/>
        </w:rPr>
        <w:t>A</w:t>
      </w:r>
      <w:r w:rsidR="007F0F75">
        <w:rPr>
          <w:rFonts w:asciiTheme="minorEastAsia" w:hAnsiTheme="minorEastAsia" w:cs="宋体"/>
          <w:color w:val="333333"/>
          <w:kern w:val="0"/>
          <w:sz w:val="24"/>
          <w:szCs w:val="24"/>
        </w:rPr>
        <w:t>类份额</w:t>
      </w:r>
      <w:r w:rsidR="007F0F75" w:rsidRPr="00B22524">
        <w:rPr>
          <w:rFonts w:asciiTheme="minorEastAsia" w:hAnsiTheme="minorEastAsia" w:cs="宋体" w:hint="eastAsia"/>
          <w:color w:val="333333"/>
          <w:kern w:val="0"/>
          <w:sz w:val="24"/>
          <w:szCs w:val="24"/>
        </w:rPr>
        <w:t>（基金代码</w:t>
      </w:r>
      <w:r w:rsidR="007F0F75">
        <w:rPr>
          <w:rFonts w:asciiTheme="minorEastAsia" w:hAnsiTheme="minorEastAsia" w:cs="宋体"/>
          <w:color w:val="333333"/>
          <w:kern w:val="0"/>
          <w:sz w:val="24"/>
          <w:szCs w:val="24"/>
        </w:rPr>
        <w:t>013383</w:t>
      </w:r>
      <w:r w:rsidR="007F0F75" w:rsidRPr="00B22524">
        <w:rPr>
          <w:rFonts w:asciiTheme="minorEastAsia" w:hAnsiTheme="minorEastAsia" w:cs="宋体" w:hint="eastAsia"/>
          <w:color w:val="333333"/>
          <w:kern w:val="0"/>
          <w:sz w:val="24"/>
          <w:szCs w:val="24"/>
        </w:rPr>
        <w:t>）</w:t>
      </w:r>
      <w:r w:rsidR="007F0F75">
        <w:rPr>
          <w:rFonts w:asciiTheme="minorEastAsia" w:hAnsiTheme="minorEastAsia" w:cs="宋体" w:hint="eastAsia"/>
          <w:color w:val="333333"/>
          <w:kern w:val="0"/>
          <w:sz w:val="24"/>
          <w:szCs w:val="24"/>
        </w:rPr>
        <w:t>和C类份额（基金代码</w:t>
      </w:r>
      <w:r w:rsidR="007F0F75">
        <w:rPr>
          <w:rFonts w:asciiTheme="minorEastAsia" w:hAnsiTheme="minorEastAsia" w:cs="宋体"/>
          <w:color w:val="333333"/>
          <w:kern w:val="0"/>
          <w:sz w:val="24"/>
          <w:szCs w:val="24"/>
        </w:rPr>
        <w:t>013384</w:t>
      </w:r>
      <w:r w:rsidR="007F0F75">
        <w:rPr>
          <w:rFonts w:asciiTheme="minorEastAsia" w:hAnsiTheme="minorEastAsia" w:cs="宋体" w:hint="eastAsia"/>
          <w:color w:val="333333"/>
          <w:kern w:val="0"/>
          <w:sz w:val="24"/>
          <w:szCs w:val="24"/>
        </w:rPr>
        <w:t>）、</w:t>
      </w:r>
      <w:r w:rsidR="007F76AB" w:rsidRPr="00B22524">
        <w:rPr>
          <w:rFonts w:asciiTheme="minorEastAsia" w:hAnsiTheme="minorEastAsia" w:cs="宋体" w:hint="eastAsia"/>
          <w:color w:val="333333"/>
          <w:kern w:val="0"/>
          <w:sz w:val="24"/>
          <w:szCs w:val="24"/>
        </w:rPr>
        <w:t>恒生前海</w:t>
      </w:r>
      <w:r w:rsidR="00DA3C2A">
        <w:rPr>
          <w:rFonts w:asciiTheme="minorEastAsia" w:hAnsiTheme="minorEastAsia" w:cs="宋体" w:hint="eastAsia"/>
          <w:color w:val="333333"/>
          <w:kern w:val="0"/>
          <w:sz w:val="24"/>
          <w:szCs w:val="24"/>
        </w:rPr>
        <w:t>恒悦纯债债券</w:t>
      </w:r>
      <w:r w:rsidR="007F76AB">
        <w:rPr>
          <w:rFonts w:asciiTheme="minorEastAsia" w:hAnsiTheme="minorEastAsia" w:cs="宋体" w:hint="eastAsia"/>
          <w:color w:val="333333"/>
          <w:kern w:val="0"/>
          <w:sz w:val="24"/>
          <w:szCs w:val="24"/>
        </w:rPr>
        <w:t>型</w:t>
      </w:r>
      <w:r w:rsidR="007F76AB" w:rsidRPr="00B22524">
        <w:rPr>
          <w:rFonts w:asciiTheme="minorEastAsia" w:hAnsiTheme="minorEastAsia" w:cs="宋体" w:hint="eastAsia"/>
          <w:color w:val="333333"/>
          <w:kern w:val="0"/>
          <w:sz w:val="24"/>
          <w:szCs w:val="24"/>
        </w:rPr>
        <w:t>证券投资基金</w:t>
      </w:r>
      <w:r w:rsidR="007F76AB">
        <w:rPr>
          <w:rFonts w:asciiTheme="minorEastAsia" w:hAnsiTheme="minorEastAsia" w:cs="宋体" w:hint="eastAsia"/>
          <w:color w:val="333333"/>
          <w:kern w:val="0"/>
          <w:sz w:val="24"/>
          <w:szCs w:val="24"/>
        </w:rPr>
        <w:t>A</w:t>
      </w:r>
      <w:r w:rsidR="007F76AB">
        <w:rPr>
          <w:rFonts w:asciiTheme="minorEastAsia" w:hAnsiTheme="minorEastAsia" w:cs="宋体"/>
          <w:color w:val="333333"/>
          <w:kern w:val="0"/>
          <w:sz w:val="24"/>
          <w:szCs w:val="24"/>
        </w:rPr>
        <w:t>类份额</w:t>
      </w:r>
      <w:r w:rsidR="007F76AB" w:rsidRPr="00B22524">
        <w:rPr>
          <w:rFonts w:asciiTheme="minorEastAsia" w:hAnsiTheme="minorEastAsia" w:cs="宋体" w:hint="eastAsia"/>
          <w:color w:val="333333"/>
          <w:kern w:val="0"/>
          <w:sz w:val="24"/>
          <w:szCs w:val="24"/>
        </w:rPr>
        <w:t>（基金代码</w:t>
      </w:r>
      <w:r w:rsidR="00DA3C2A" w:rsidRPr="00B22524">
        <w:rPr>
          <w:rFonts w:asciiTheme="minorEastAsia" w:hAnsiTheme="minorEastAsia" w:cs="宋体" w:hint="eastAsia"/>
          <w:color w:val="333333"/>
          <w:kern w:val="0"/>
          <w:sz w:val="24"/>
          <w:szCs w:val="24"/>
        </w:rPr>
        <w:t>0</w:t>
      </w:r>
      <w:r w:rsidR="00DA3C2A">
        <w:rPr>
          <w:rFonts w:asciiTheme="minorEastAsia" w:hAnsiTheme="minorEastAsia" w:cs="宋体"/>
          <w:color w:val="333333"/>
          <w:kern w:val="0"/>
          <w:sz w:val="24"/>
          <w:szCs w:val="24"/>
        </w:rPr>
        <w:t>16193</w:t>
      </w:r>
      <w:r w:rsidR="007F76AB" w:rsidRPr="00B22524">
        <w:rPr>
          <w:rFonts w:asciiTheme="minorEastAsia" w:hAnsiTheme="minorEastAsia" w:cs="宋体" w:hint="eastAsia"/>
          <w:color w:val="333333"/>
          <w:kern w:val="0"/>
          <w:sz w:val="24"/>
          <w:szCs w:val="24"/>
        </w:rPr>
        <w:t>）</w:t>
      </w:r>
      <w:r w:rsidR="007F76AB">
        <w:rPr>
          <w:rFonts w:asciiTheme="minorEastAsia" w:hAnsiTheme="minorEastAsia" w:cs="宋体" w:hint="eastAsia"/>
          <w:color w:val="333333"/>
          <w:kern w:val="0"/>
          <w:sz w:val="24"/>
          <w:szCs w:val="24"/>
        </w:rPr>
        <w:t>和C类份额（基金代码</w:t>
      </w:r>
      <w:r w:rsidR="00DA3C2A">
        <w:rPr>
          <w:rFonts w:asciiTheme="minorEastAsia" w:hAnsiTheme="minorEastAsia" w:cs="宋体" w:hint="eastAsia"/>
          <w:color w:val="333333"/>
          <w:kern w:val="0"/>
          <w:sz w:val="24"/>
          <w:szCs w:val="24"/>
        </w:rPr>
        <w:t>0</w:t>
      </w:r>
      <w:r w:rsidR="00DA3C2A">
        <w:rPr>
          <w:rFonts w:asciiTheme="minorEastAsia" w:hAnsiTheme="minorEastAsia" w:cs="宋体"/>
          <w:color w:val="333333"/>
          <w:kern w:val="0"/>
          <w:sz w:val="24"/>
          <w:szCs w:val="24"/>
        </w:rPr>
        <w:t>16194</w:t>
      </w:r>
      <w:r w:rsidR="007F76AB">
        <w:rPr>
          <w:rFonts w:asciiTheme="minorEastAsia" w:hAnsiTheme="minorEastAsia" w:cs="宋体" w:hint="eastAsia"/>
          <w:color w:val="333333"/>
          <w:kern w:val="0"/>
          <w:sz w:val="24"/>
          <w:szCs w:val="24"/>
        </w:rPr>
        <w:t>）</w:t>
      </w:r>
      <w:r w:rsidR="001A0D54">
        <w:rPr>
          <w:rFonts w:asciiTheme="minorEastAsia" w:hAnsiTheme="minorEastAsia" w:cs="宋体" w:hint="eastAsia"/>
          <w:color w:val="333333"/>
          <w:kern w:val="0"/>
          <w:sz w:val="24"/>
          <w:szCs w:val="24"/>
        </w:rPr>
        <w:t>、</w:t>
      </w:r>
      <w:r w:rsidR="001A0D54" w:rsidRPr="00B22524">
        <w:rPr>
          <w:rFonts w:asciiTheme="minorEastAsia" w:hAnsiTheme="minorEastAsia" w:cs="宋体" w:hint="eastAsia"/>
          <w:color w:val="333333"/>
          <w:kern w:val="0"/>
          <w:sz w:val="24"/>
          <w:szCs w:val="24"/>
        </w:rPr>
        <w:t>恒生前海</w:t>
      </w:r>
      <w:r w:rsidR="001A0D54">
        <w:rPr>
          <w:rFonts w:asciiTheme="minorEastAsia" w:hAnsiTheme="minorEastAsia" w:cs="宋体" w:hint="eastAsia"/>
          <w:color w:val="333333"/>
          <w:kern w:val="0"/>
          <w:sz w:val="24"/>
          <w:szCs w:val="24"/>
        </w:rPr>
        <w:t>兴享混合型</w:t>
      </w:r>
      <w:r w:rsidR="001A0D54" w:rsidRPr="00B22524">
        <w:rPr>
          <w:rFonts w:asciiTheme="minorEastAsia" w:hAnsiTheme="minorEastAsia" w:cs="宋体" w:hint="eastAsia"/>
          <w:color w:val="333333"/>
          <w:kern w:val="0"/>
          <w:sz w:val="24"/>
          <w:szCs w:val="24"/>
        </w:rPr>
        <w:t>证券投资基金</w:t>
      </w:r>
      <w:r w:rsidR="001A0D54">
        <w:rPr>
          <w:rFonts w:asciiTheme="minorEastAsia" w:hAnsiTheme="minorEastAsia" w:cs="宋体" w:hint="eastAsia"/>
          <w:color w:val="333333"/>
          <w:kern w:val="0"/>
          <w:sz w:val="24"/>
          <w:szCs w:val="24"/>
        </w:rPr>
        <w:t>A</w:t>
      </w:r>
      <w:r w:rsidR="001A0D54">
        <w:rPr>
          <w:rFonts w:asciiTheme="minorEastAsia" w:hAnsiTheme="minorEastAsia" w:cs="宋体"/>
          <w:color w:val="333333"/>
          <w:kern w:val="0"/>
          <w:sz w:val="24"/>
          <w:szCs w:val="24"/>
        </w:rPr>
        <w:t>类份额</w:t>
      </w:r>
      <w:r w:rsidR="001A0D54" w:rsidRPr="00B22524">
        <w:rPr>
          <w:rFonts w:asciiTheme="minorEastAsia" w:hAnsiTheme="minorEastAsia" w:cs="宋体" w:hint="eastAsia"/>
          <w:color w:val="333333"/>
          <w:kern w:val="0"/>
          <w:sz w:val="24"/>
          <w:szCs w:val="24"/>
        </w:rPr>
        <w:t>（基金代码0</w:t>
      </w:r>
      <w:r w:rsidR="001A0D54">
        <w:rPr>
          <w:rFonts w:asciiTheme="minorEastAsia" w:hAnsiTheme="minorEastAsia" w:cs="宋体"/>
          <w:color w:val="333333"/>
          <w:kern w:val="0"/>
          <w:sz w:val="24"/>
          <w:szCs w:val="24"/>
        </w:rPr>
        <w:t>14744</w:t>
      </w:r>
      <w:r w:rsidR="001A0D54" w:rsidRPr="00B22524">
        <w:rPr>
          <w:rFonts w:asciiTheme="minorEastAsia" w:hAnsiTheme="minorEastAsia" w:cs="宋体" w:hint="eastAsia"/>
          <w:color w:val="333333"/>
          <w:kern w:val="0"/>
          <w:sz w:val="24"/>
          <w:szCs w:val="24"/>
        </w:rPr>
        <w:t>）</w:t>
      </w:r>
      <w:r w:rsidR="001A0D54">
        <w:rPr>
          <w:rFonts w:asciiTheme="minorEastAsia" w:hAnsiTheme="minorEastAsia" w:cs="宋体" w:hint="eastAsia"/>
          <w:color w:val="333333"/>
          <w:kern w:val="0"/>
          <w:sz w:val="24"/>
          <w:szCs w:val="24"/>
        </w:rPr>
        <w:t>和C类份额（基金代码0</w:t>
      </w:r>
      <w:r w:rsidR="001A0D54">
        <w:rPr>
          <w:rFonts w:asciiTheme="minorEastAsia" w:hAnsiTheme="minorEastAsia" w:cs="宋体"/>
          <w:color w:val="333333"/>
          <w:kern w:val="0"/>
          <w:sz w:val="24"/>
          <w:szCs w:val="24"/>
        </w:rPr>
        <w:t>14745</w:t>
      </w:r>
      <w:r w:rsidR="001A0D54">
        <w:rPr>
          <w:rFonts w:asciiTheme="minorEastAsia" w:hAnsiTheme="minorEastAsia" w:cs="宋体" w:hint="eastAsia"/>
          <w:color w:val="333333"/>
          <w:kern w:val="0"/>
          <w:sz w:val="24"/>
          <w:szCs w:val="24"/>
        </w:rPr>
        <w:t>）</w:t>
      </w:r>
      <w:r w:rsidR="00B22524" w:rsidRPr="00B22524">
        <w:rPr>
          <w:rFonts w:asciiTheme="minorEastAsia" w:hAnsiTheme="minorEastAsia" w:cs="宋体" w:hint="eastAsia"/>
          <w:color w:val="333333"/>
          <w:kern w:val="0"/>
          <w:sz w:val="24"/>
          <w:szCs w:val="24"/>
        </w:rPr>
        <w:t>之间的转换业务。本基金 A/C 类基金份额不支持相互转换。</w:t>
      </w:r>
    </w:p>
    <w:p w:rsidR="00B22524" w:rsidRPr="00B22524" w:rsidRDefault="001E079C" w:rsidP="00497AC2">
      <w:pPr>
        <w:widowControl/>
        <w:shd w:val="clear" w:color="auto" w:fill="FFFFFF"/>
        <w:spacing w:before="240" w:line="360" w:lineRule="auto"/>
        <w:rPr>
          <w:rFonts w:asciiTheme="minorEastAsia" w:hAnsiTheme="minorEastAsia" w:cs="宋体"/>
          <w:color w:val="333333"/>
          <w:kern w:val="0"/>
          <w:sz w:val="24"/>
          <w:szCs w:val="24"/>
        </w:rPr>
      </w:pPr>
      <w:r w:rsidRPr="001E079C">
        <w:rPr>
          <w:rFonts w:asciiTheme="minorEastAsia" w:hAnsiTheme="minorEastAsia" w:cs="宋体" w:hint="eastAsia"/>
          <w:color w:val="333333"/>
          <w:kern w:val="0"/>
          <w:sz w:val="24"/>
          <w:szCs w:val="24"/>
        </w:rPr>
        <w:t>本基金其他销售机构是否开通转换业务以各销售机构为准。投资人在办理基金转换业务时，具体办理规则及程序请遵循各销售机构的规定。本公司今后发行的开放式基金将根据具体情况确定是否适用于基金转换业务并另行公告。</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（3）转换限额</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本基金单笔转换申请的最低份额为</w:t>
      </w:r>
      <w:r w:rsidR="009A4AE3">
        <w:rPr>
          <w:rFonts w:asciiTheme="minorEastAsia" w:hAnsiTheme="minorEastAsia" w:cs="宋体" w:hint="eastAsia"/>
          <w:color w:val="333333"/>
          <w:kern w:val="0"/>
          <w:sz w:val="24"/>
          <w:szCs w:val="24"/>
        </w:rPr>
        <w:t>1</w:t>
      </w:r>
      <w:r w:rsidRPr="00B22524">
        <w:rPr>
          <w:rFonts w:asciiTheme="minorEastAsia" w:hAnsiTheme="minorEastAsia" w:cs="宋体" w:hint="eastAsia"/>
          <w:color w:val="333333"/>
          <w:kern w:val="0"/>
          <w:sz w:val="24"/>
          <w:szCs w:val="24"/>
        </w:rPr>
        <w:t>份，基金份额持有人可将其全部或部分基金份额转换。如投资者在单个销售网点持有单只基金的份额不足招募说明书所示时，需一次性全额转出。</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（4）交易确认</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T＋2日。</w:t>
      </w:r>
    </w:p>
    <w:p w:rsidR="00B22524" w:rsidRPr="00B22524" w:rsidRDefault="00B22524" w:rsidP="006E1235">
      <w:pPr>
        <w:widowControl/>
        <w:shd w:val="clear" w:color="auto" w:fill="FFFFFF"/>
        <w:spacing w:before="240" w:after="24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6 定期定额投资业务</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目前本公司直销机构暂不支持定投业务。销售机构办理本基金定投业务的时间及费率优惠活动以销售机构的安排为准，敬请投资者留意相关销售机构或本公司的有关公告。</w:t>
      </w:r>
    </w:p>
    <w:p w:rsidR="00B22524" w:rsidRPr="00B22524" w:rsidRDefault="00B22524" w:rsidP="006E1235">
      <w:pPr>
        <w:widowControl/>
        <w:shd w:val="clear" w:color="auto" w:fill="FFFFFF"/>
        <w:spacing w:before="240" w:after="240"/>
        <w:outlineLvl w:val="2"/>
        <w:rPr>
          <w:rFonts w:asciiTheme="minorEastAsia" w:hAnsiTheme="minorEastAsia" w:cs="宋体"/>
          <w:b/>
          <w:bCs/>
          <w:color w:val="333333"/>
          <w:kern w:val="0"/>
          <w:sz w:val="30"/>
          <w:szCs w:val="30"/>
        </w:rPr>
      </w:pPr>
      <w:r w:rsidRPr="00B22524">
        <w:rPr>
          <w:rFonts w:asciiTheme="minorEastAsia" w:hAnsiTheme="minorEastAsia" w:cs="宋体" w:hint="eastAsia"/>
          <w:b/>
          <w:bCs/>
          <w:color w:val="333333"/>
          <w:kern w:val="0"/>
          <w:sz w:val="30"/>
          <w:szCs w:val="30"/>
        </w:rPr>
        <w:t>7 基金销售机构</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7.1 场外销售机构</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7.1.1 直销机构</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本公司位于深圳的直销中心。</w:t>
      </w:r>
    </w:p>
    <w:p w:rsidR="00B22524" w:rsidRPr="00B22524" w:rsidRDefault="00B22524" w:rsidP="005434E0">
      <w:pPr>
        <w:widowControl/>
        <w:shd w:val="clear" w:color="auto" w:fill="FFFFFF"/>
        <w:spacing w:beforeLines="50" w:line="360" w:lineRule="auto"/>
        <w:outlineLvl w:val="4"/>
        <w:rPr>
          <w:rFonts w:asciiTheme="minorEastAsia" w:hAnsiTheme="minorEastAsia" w:cs="宋体"/>
          <w:color w:val="333333"/>
          <w:kern w:val="0"/>
          <w:sz w:val="24"/>
          <w:szCs w:val="24"/>
        </w:rPr>
      </w:pPr>
      <w:r w:rsidRPr="00B22524">
        <w:rPr>
          <w:rFonts w:asciiTheme="minorEastAsia" w:hAnsiTheme="minorEastAsia" w:cs="宋体" w:hint="eastAsia"/>
          <w:b/>
          <w:bCs/>
          <w:color w:val="333333"/>
          <w:kern w:val="0"/>
          <w:sz w:val="24"/>
          <w:szCs w:val="24"/>
        </w:rPr>
        <w:t>7.1.2 场外非直销机构</w:t>
      </w:r>
    </w:p>
    <w:p w:rsidR="00B22524" w:rsidRPr="00B22524" w:rsidRDefault="007F76AB" w:rsidP="008C74FE">
      <w:pPr>
        <w:widowControl/>
        <w:shd w:val="clear" w:color="auto" w:fill="FFFFFF"/>
        <w:spacing w:before="240" w:line="420" w:lineRule="atLeast"/>
        <w:rPr>
          <w:rFonts w:asciiTheme="minorEastAsia" w:hAnsiTheme="minorEastAsia" w:cs="宋体"/>
          <w:color w:val="333333"/>
          <w:kern w:val="0"/>
          <w:sz w:val="24"/>
          <w:szCs w:val="24"/>
        </w:rPr>
      </w:pPr>
      <w:r w:rsidRPr="0045344B">
        <w:rPr>
          <w:rFonts w:asciiTheme="minorEastAsia" w:hAnsiTheme="minorEastAsia" w:cs="宋体" w:hint="eastAsia"/>
          <w:color w:val="333333"/>
          <w:kern w:val="0"/>
          <w:sz w:val="24"/>
          <w:szCs w:val="24"/>
        </w:rPr>
        <w:t>安信证券股份有限公司、</w:t>
      </w:r>
      <w:r w:rsidR="006A0D8A" w:rsidRPr="006A0D8A">
        <w:rPr>
          <w:rFonts w:asciiTheme="minorEastAsia" w:hAnsiTheme="minorEastAsia" w:cs="宋体" w:hint="eastAsia"/>
          <w:color w:val="333333"/>
          <w:kern w:val="0"/>
          <w:sz w:val="24"/>
          <w:szCs w:val="24"/>
        </w:rPr>
        <w:t>中信证券股份有限公司、中信证券华南股份有限公司</w:t>
      </w:r>
      <w:r w:rsidR="006A0D8A" w:rsidRPr="006A0D8A">
        <w:rPr>
          <w:rFonts w:asciiTheme="minorEastAsia" w:hAnsiTheme="minorEastAsia" w:cs="宋体"/>
          <w:color w:val="333333"/>
          <w:kern w:val="0"/>
          <w:sz w:val="24"/>
          <w:szCs w:val="24"/>
        </w:rPr>
        <w:t>、中信证券（山东）有限责任公司、中信期货有限公司、英大证券有限责任公司、</w:t>
      </w:r>
      <w:r w:rsidR="006A0D8A" w:rsidRPr="006A0D8A">
        <w:rPr>
          <w:rFonts w:asciiTheme="minorEastAsia" w:hAnsiTheme="minorEastAsia" w:cs="宋体" w:hint="eastAsia"/>
          <w:color w:val="333333"/>
          <w:kern w:val="0"/>
          <w:sz w:val="24"/>
          <w:szCs w:val="24"/>
        </w:rPr>
        <w:t>北京创金启富基金销售有限公司、</w:t>
      </w:r>
      <w:r w:rsidR="00103DE5" w:rsidRPr="006A0D8A">
        <w:rPr>
          <w:rFonts w:asciiTheme="minorEastAsia" w:hAnsiTheme="minorEastAsia" w:cs="宋体" w:hint="eastAsia"/>
          <w:color w:val="333333"/>
          <w:kern w:val="0"/>
          <w:sz w:val="24"/>
          <w:szCs w:val="24"/>
        </w:rPr>
        <w:t>北京度小满基金销售有限公司、</w:t>
      </w:r>
      <w:r w:rsidR="00103DE5" w:rsidRPr="0045344B">
        <w:rPr>
          <w:rFonts w:asciiTheme="minorEastAsia" w:hAnsiTheme="minorEastAsia" w:cs="宋体" w:hint="eastAsia"/>
          <w:color w:val="333333"/>
          <w:kern w:val="0"/>
          <w:sz w:val="24"/>
          <w:szCs w:val="24"/>
        </w:rPr>
        <w:t>上海基煜</w:t>
      </w:r>
      <w:r w:rsidR="00103DE5" w:rsidRPr="003E0839">
        <w:rPr>
          <w:rFonts w:asciiTheme="minorEastAsia" w:hAnsiTheme="minorEastAsia" w:cs="宋体" w:hint="eastAsia"/>
          <w:color w:val="333333"/>
          <w:kern w:val="0"/>
          <w:sz w:val="24"/>
          <w:szCs w:val="24"/>
        </w:rPr>
        <w:t>基金销售有限公司、</w:t>
      </w:r>
      <w:r w:rsidR="00103DE5" w:rsidRPr="006A0D8A">
        <w:rPr>
          <w:rFonts w:asciiTheme="minorEastAsia" w:hAnsiTheme="minorEastAsia" w:cs="宋体" w:hint="eastAsia"/>
          <w:color w:val="333333"/>
          <w:kern w:val="0"/>
          <w:sz w:val="24"/>
          <w:szCs w:val="24"/>
        </w:rPr>
        <w:t>上海好买基金销售有限公司、上海天天基金销售有限公司、</w:t>
      </w:r>
      <w:r w:rsidR="004E372B">
        <w:rPr>
          <w:rFonts w:asciiTheme="minorEastAsia" w:hAnsiTheme="minorEastAsia" w:cs="宋体" w:hint="eastAsia"/>
          <w:color w:val="333333"/>
          <w:kern w:val="0"/>
          <w:sz w:val="24"/>
          <w:szCs w:val="24"/>
        </w:rPr>
        <w:t>上海万得基金销售有限公司</w:t>
      </w:r>
      <w:r w:rsidR="006A0D8A" w:rsidRPr="006A0D8A">
        <w:rPr>
          <w:rFonts w:asciiTheme="minorEastAsia" w:hAnsiTheme="minorEastAsia" w:cs="宋体" w:hint="eastAsia"/>
          <w:color w:val="333333"/>
          <w:kern w:val="0"/>
          <w:sz w:val="24"/>
          <w:szCs w:val="24"/>
        </w:rPr>
        <w:t>。</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上述销售机构如有变更，敬请投资者留意届时本公司相关公告。</w:t>
      </w:r>
    </w:p>
    <w:p w:rsidR="00B22524" w:rsidRPr="00B22524" w:rsidRDefault="00B22524" w:rsidP="005434E0">
      <w:pPr>
        <w:widowControl/>
        <w:shd w:val="clear" w:color="auto" w:fill="FFFFFF"/>
        <w:spacing w:beforeLines="50" w:line="360" w:lineRule="auto"/>
        <w:outlineLvl w:val="4"/>
        <w:rPr>
          <w:rFonts w:asciiTheme="minorEastAsia" w:hAnsiTheme="minorEastAsia" w:cs="宋体"/>
          <w:b/>
          <w:bCs/>
          <w:color w:val="333333"/>
          <w:kern w:val="0"/>
          <w:sz w:val="24"/>
          <w:szCs w:val="24"/>
        </w:rPr>
      </w:pPr>
      <w:r w:rsidRPr="00B22524">
        <w:rPr>
          <w:rFonts w:asciiTheme="minorEastAsia" w:hAnsiTheme="minorEastAsia" w:cs="宋体" w:hint="eastAsia"/>
          <w:b/>
          <w:bCs/>
          <w:color w:val="333333"/>
          <w:kern w:val="0"/>
          <w:sz w:val="24"/>
          <w:szCs w:val="24"/>
        </w:rPr>
        <w:t>7.2 场内销售机构</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无。</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8 基金份额净值公告/基金收益公告的披露安排</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自</w:t>
      </w:r>
      <w:r w:rsidR="0010529B" w:rsidRPr="00B22524">
        <w:rPr>
          <w:rFonts w:asciiTheme="minorEastAsia" w:hAnsiTheme="minorEastAsia" w:cs="宋体" w:hint="eastAsia"/>
          <w:color w:val="333333"/>
          <w:kern w:val="0"/>
          <w:sz w:val="24"/>
          <w:szCs w:val="24"/>
        </w:rPr>
        <w:t>20</w:t>
      </w:r>
      <w:r w:rsidR="0010529B">
        <w:rPr>
          <w:rFonts w:asciiTheme="minorEastAsia" w:hAnsiTheme="minorEastAsia" w:cs="宋体"/>
          <w:color w:val="333333"/>
          <w:kern w:val="0"/>
          <w:sz w:val="24"/>
          <w:szCs w:val="24"/>
        </w:rPr>
        <w:t>22</w:t>
      </w:r>
      <w:r w:rsidR="0010529B" w:rsidRPr="00B22524">
        <w:rPr>
          <w:rFonts w:asciiTheme="minorEastAsia" w:hAnsiTheme="minorEastAsia" w:cs="宋体" w:hint="eastAsia"/>
          <w:color w:val="333333"/>
          <w:kern w:val="0"/>
          <w:sz w:val="24"/>
          <w:szCs w:val="24"/>
        </w:rPr>
        <w:t>年</w:t>
      </w:r>
      <w:r w:rsidR="0010529B">
        <w:rPr>
          <w:rFonts w:asciiTheme="minorEastAsia" w:hAnsiTheme="minorEastAsia" w:cs="宋体"/>
          <w:color w:val="333333"/>
          <w:kern w:val="0"/>
          <w:sz w:val="24"/>
          <w:szCs w:val="24"/>
        </w:rPr>
        <w:t>11</w:t>
      </w:r>
      <w:r w:rsidR="008D7B8C">
        <w:rPr>
          <w:rFonts w:asciiTheme="minorEastAsia" w:hAnsiTheme="minorEastAsia" w:cs="宋体"/>
          <w:color w:val="333333"/>
          <w:kern w:val="0"/>
          <w:sz w:val="24"/>
          <w:szCs w:val="24"/>
        </w:rPr>
        <w:t>月</w:t>
      </w:r>
      <w:r w:rsidR="0010529B">
        <w:rPr>
          <w:rFonts w:asciiTheme="minorEastAsia" w:hAnsiTheme="minorEastAsia" w:cs="宋体"/>
          <w:color w:val="333333"/>
          <w:kern w:val="0"/>
          <w:sz w:val="24"/>
          <w:szCs w:val="24"/>
        </w:rPr>
        <w:t>21</w:t>
      </w:r>
      <w:r w:rsidR="008D7B8C">
        <w:rPr>
          <w:rFonts w:asciiTheme="minorEastAsia" w:hAnsiTheme="minorEastAsia" w:cs="宋体"/>
          <w:color w:val="333333"/>
          <w:kern w:val="0"/>
          <w:sz w:val="24"/>
          <w:szCs w:val="24"/>
        </w:rPr>
        <w:t>日</w:t>
      </w:r>
      <w:r w:rsidRPr="00B22524">
        <w:rPr>
          <w:rFonts w:asciiTheme="minorEastAsia" w:hAnsiTheme="minorEastAsia" w:cs="宋体" w:hint="eastAsia"/>
          <w:color w:val="333333"/>
          <w:kern w:val="0"/>
          <w:sz w:val="24"/>
          <w:szCs w:val="24"/>
        </w:rPr>
        <w:t>起，本公司将在每个开放日的次日，通过</w:t>
      </w:r>
      <w:r w:rsidR="00AA11F9">
        <w:rPr>
          <w:rFonts w:asciiTheme="minorEastAsia" w:hAnsiTheme="minorEastAsia" w:cs="宋体" w:hint="eastAsia"/>
          <w:color w:val="333333"/>
          <w:kern w:val="0"/>
          <w:sz w:val="24"/>
          <w:szCs w:val="24"/>
        </w:rPr>
        <w:t>规定</w:t>
      </w:r>
      <w:r w:rsidRPr="00B22524">
        <w:rPr>
          <w:rFonts w:asciiTheme="minorEastAsia" w:hAnsiTheme="minorEastAsia" w:cs="宋体" w:hint="eastAsia"/>
          <w:color w:val="333333"/>
          <w:kern w:val="0"/>
          <w:sz w:val="24"/>
          <w:szCs w:val="24"/>
        </w:rPr>
        <w:t>网站、基金份额发售网点，披露开放日的各类基金份额的基金份额净值和基金份额累计净值。</w:t>
      </w:r>
    </w:p>
    <w:p w:rsidR="00B22524" w:rsidRPr="00B22524" w:rsidRDefault="00B22524" w:rsidP="006E1235">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9 其他需要提示的事项</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本公告仅对本基金开放日常申购、赎回、转换及定期定额投资业务有关的事项予以说明。投资者欲了解本基金的详细情况，请仔细阅读《基金合同》和《招募说明书》。</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本公司承诺以诚实信用、勤勉尽责的原则管理和运用基金资产，但不保证基金一定盈利，也不保证最低收益。投资者投资于本公司管理的基金前应认真阅读基金合同、招募说明书等文件并根据自身投资目的、投资期限、投资经验、资产状况等选择与自身风险承受能力相匹配的基金产品。敬请投资人注意投资风险。</w:t>
      </w:r>
    </w:p>
    <w:p w:rsidR="00B22524" w:rsidRP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投资者可以通过拨打本公司客户服务电话400-620-6608进行咨询；也可至本公司网站www.hsqhfunds.com了解相关情况。</w:t>
      </w:r>
    </w:p>
    <w:p w:rsidR="00B22524" w:rsidRDefault="00B22524" w:rsidP="00B22524">
      <w:pPr>
        <w:widowControl/>
        <w:shd w:val="clear" w:color="auto" w:fill="FFFFFF"/>
        <w:spacing w:before="240" w:line="420" w:lineRule="atLeast"/>
        <w:jc w:val="lef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特此公告。</w:t>
      </w:r>
    </w:p>
    <w:p w:rsidR="00010A0E" w:rsidRPr="00B22524" w:rsidRDefault="00010A0E" w:rsidP="00B22524">
      <w:pPr>
        <w:widowControl/>
        <w:shd w:val="clear" w:color="auto" w:fill="FFFFFF"/>
        <w:spacing w:before="240" w:line="420" w:lineRule="atLeast"/>
        <w:jc w:val="left"/>
        <w:rPr>
          <w:rFonts w:asciiTheme="minorEastAsia" w:hAnsiTheme="minorEastAsia" w:cs="宋体"/>
          <w:color w:val="333333"/>
          <w:kern w:val="0"/>
          <w:sz w:val="24"/>
          <w:szCs w:val="24"/>
        </w:rPr>
      </w:pPr>
    </w:p>
    <w:p w:rsidR="00B22524" w:rsidRPr="00B22524" w:rsidRDefault="00B22524" w:rsidP="006E1235">
      <w:pPr>
        <w:widowControl/>
        <w:shd w:val="clear" w:color="auto" w:fill="FFFFFF"/>
        <w:spacing w:before="240" w:line="420" w:lineRule="atLeast"/>
        <w:jc w:val="right"/>
        <w:rPr>
          <w:rFonts w:asciiTheme="minorEastAsia" w:hAnsiTheme="minorEastAsia" w:cs="宋体"/>
          <w:color w:val="333333"/>
          <w:kern w:val="0"/>
          <w:sz w:val="24"/>
          <w:szCs w:val="24"/>
        </w:rPr>
      </w:pPr>
      <w:r w:rsidRPr="00B22524">
        <w:rPr>
          <w:rFonts w:asciiTheme="minorEastAsia" w:hAnsiTheme="minorEastAsia" w:cs="宋体" w:hint="eastAsia"/>
          <w:color w:val="333333"/>
          <w:kern w:val="0"/>
          <w:sz w:val="24"/>
          <w:szCs w:val="24"/>
        </w:rPr>
        <w:t>恒生前海基金管理有限公司</w:t>
      </w:r>
    </w:p>
    <w:p w:rsidR="00B22524" w:rsidRPr="006E1235" w:rsidRDefault="0063332B" w:rsidP="0074017B">
      <w:pPr>
        <w:widowControl/>
        <w:shd w:val="clear" w:color="auto" w:fill="FFFFFF"/>
        <w:spacing w:before="240" w:line="420" w:lineRule="atLeast"/>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二〇二</w:t>
      </w:r>
      <w:r w:rsidR="00D94F9E">
        <w:rPr>
          <w:rFonts w:asciiTheme="minorEastAsia" w:hAnsiTheme="minorEastAsia" w:cs="宋体" w:hint="eastAsia"/>
          <w:color w:val="333333"/>
          <w:kern w:val="0"/>
          <w:sz w:val="24"/>
          <w:szCs w:val="24"/>
        </w:rPr>
        <w:t>二</w:t>
      </w:r>
      <w:r w:rsidRPr="00B22524">
        <w:rPr>
          <w:rFonts w:asciiTheme="minorEastAsia" w:hAnsiTheme="minorEastAsia" w:cs="宋体" w:hint="eastAsia"/>
          <w:color w:val="333333"/>
          <w:kern w:val="0"/>
          <w:sz w:val="24"/>
          <w:szCs w:val="24"/>
        </w:rPr>
        <w:t>年</w:t>
      </w:r>
      <w:r w:rsidR="009676E4">
        <w:rPr>
          <w:rFonts w:asciiTheme="minorEastAsia" w:hAnsiTheme="minorEastAsia" w:cs="宋体" w:hint="eastAsia"/>
          <w:color w:val="333333"/>
          <w:kern w:val="0"/>
          <w:sz w:val="24"/>
          <w:szCs w:val="24"/>
        </w:rPr>
        <w:t>十</w:t>
      </w:r>
      <w:r w:rsidR="003327F0">
        <w:rPr>
          <w:rFonts w:asciiTheme="minorEastAsia" w:hAnsiTheme="minorEastAsia" w:cs="宋体" w:hint="eastAsia"/>
          <w:color w:val="333333"/>
          <w:kern w:val="0"/>
          <w:sz w:val="24"/>
          <w:szCs w:val="24"/>
        </w:rPr>
        <w:t>一</w:t>
      </w:r>
      <w:r w:rsidRPr="00B22524">
        <w:rPr>
          <w:rFonts w:asciiTheme="minorEastAsia" w:hAnsiTheme="minorEastAsia" w:cs="宋体" w:hint="eastAsia"/>
          <w:color w:val="333333"/>
          <w:kern w:val="0"/>
          <w:sz w:val="24"/>
          <w:szCs w:val="24"/>
        </w:rPr>
        <w:t>月</w:t>
      </w:r>
      <w:r w:rsidR="00F83122">
        <w:rPr>
          <w:rFonts w:asciiTheme="minorEastAsia" w:hAnsiTheme="minorEastAsia" w:cs="宋体" w:hint="eastAsia"/>
          <w:color w:val="333333"/>
          <w:kern w:val="0"/>
          <w:sz w:val="24"/>
          <w:szCs w:val="24"/>
        </w:rPr>
        <w:t>十九</w:t>
      </w:r>
      <w:r w:rsidRPr="00B22524">
        <w:rPr>
          <w:rFonts w:asciiTheme="minorEastAsia" w:hAnsiTheme="minorEastAsia" w:cs="宋体" w:hint="eastAsia"/>
          <w:color w:val="333333"/>
          <w:kern w:val="0"/>
          <w:sz w:val="24"/>
          <w:szCs w:val="24"/>
        </w:rPr>
        <w:t>日</w:t>
      </w:r>
    </w:p>
    <w:sectPr w:rsidR="00B22524" w:rsidRPr="006E1235" w:rsidSect="003461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23" w:rsidRDefault="00B97723" w:rsidP="00B22524">
      <w:r>
        <w:separator/>
      </w:r>
    </w:p>
  </w:endnote>
  <w:endnote w:type="continuationSeparator" w:id="0">
    <w:p w:rsidR="00B97723" w:rsidRDefault="00B97723" w:rsidP="00B22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23" w:rsidRDefault="00B97723" w:rsidP="00B22524">
      <w:r>
        <w:separator/>
      </w:r>
    </w:p>
  </w:footnote>
  <w:footnote w:type="continuationSeparator" w:id="0">
    <w:p w:rsidR="00B97723" w:rsidRDefault="00B97723" w:rsidP="00B22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B03"/>
    <w:rsid w:val="00010A0E"/>
    <w:rsid w:val="00040D62"/>
    <w:rsid w:val="00090E31"/>
    <w:rsid w:val="000F6262"/>
    <w:rsid w:val="00103DE5"/>
    <w:rsid w:val="0010529B"/>
    <w:rsid w:val="00115FCB"/>
    <w:rsid w:val="0013033F"/>
    <w:rsid w:val="00163105"/>
    <w:rsid w:val="001776FF"/>
    <w:rsid w:val="00186709"/>
    <w:rsid w:val="00195738"/>
    <w:rsid w:val="001A0D54"/>
    <w:rsid w:val="001C37EB"/>
    <w:rsid w:val="001E079C"/>
    <w:rsid w:val="00210F56"/>
    <w:rsid w:val="0024150E"/>
    <w:rsid w:val="00244578"/>
    <w:rsid w:val="00244F66"/>
    <w:rsid w:val="0025317E"/>
    <w:rsid w:val="00262DA2"/>
    <w:rsid w:val="00274AAF"/>
    <w:rsid w:val="002C02AB"/>
    <w:rsid w:val="002F7714"/>
    <w:rsid w:val="00317CA0"/>
    <w:rsid w:val="003211E8"/>
    <w:rsid w:val="003327F0"/>
    <w:rsid w:val="00346159"/>
    <w:rsid w:val="00354832"/>
    <w:rsid w:val="003565BB"/>
    <w:rsid w:val="003E0839"/>
    <w:rsid w:val="00442A61"/>
    <w:rsid w:val="00444611"/>
    <w:rsid w:val="0045344B"/>
    <w:rsid w:val="00497AC2"/>
    <w:rsid w:val="004A6567"/>
    <w:rsid w:val="004C0645"/>
    <w:rsid w:val="004C1CF1"/>
    <w:rsid w:val="004C5AC4"/>
    <w:rsid w:val="004E372B"/>
    <w:rsid w:val="004E4577"/>
    <w:rsid w:val="004E4CE9"/>
    <w:rsid w:val="00504E8E"/>
    <w:rsid w:val="0053463D"/>
    <w:rsid w:val="0053552E"/>
    <w:rsid w:val="00537F91"/>
    <w:rsid w:val="005434E0"/>
    <w:rsid w:val="00543AC9"/>
    <w:rsid w:val="0054771A"/>
    <w:rsid w:val="00555190"/>
    <w:rsid w:val="00595B70"/>
    <w:rsid w:val="005E4322"/>
    <w:rsid w:val="005F6527"/>
    <w:rsid w:val="006053E3"/>
    <w:rsid w:val="0063224E"/>
    <w:rsid w:val="0063332B"/>
    <w:rsid w:val="00661C9D"/>
    <w:rsid w:val="006837A6"/>
    <w:rsid w:val="00686C6B"/>
    <w:rsid w:val="006A0D8A"/>
    <w:rsid w:val="006B0214"/>
    <w:rsid w:val="006E1235"/>
    <w:rsid w:val="0070488C"/>
    <w:rsid w:val="00715D0E"/>
    <w:rsid w:val="00717F18"/>
    <w:rsid w:val="00732CBF"/>
    <w:rsid w:val="0074017B"/>
    <w:rsid w:val="00770CE8"/>
    <w:rsid w:val="007A133C"/>
    <w:rsid w:val="007A31DA"/>
    <w:rsid w:val="007B1459"/>
    <w:rsid w:val="007B2966"/>
    <w:rsid w:val="007B2F67"/>
    <w:rsid w:val="007E6A2C"/>
    <w:rsid w:val="007F0F75"/>
    <w:rsid w:val="007F76AB"/>
    <w:rsid w:val="008065E0"/>
    <w:rsid w:val="00835CC7"/>
    <w:rsid w:val="0084429C"/>
    <w:rsid w:val="00891DF4"/>
    <w:rsid w:val="008B17B6"/>
    <w:rsid w:val="008B2202"/>
    <w:rsid w:val="008B63DE"/>
    <w:rsid w:val="008C74FE"/>
    <w:rsid w:val="008D7B8C"/>
    <w:rsid w:val="008F7940"/>
    <w:rsid w:val="009168D5"/>
    <w:rsid w:val="0092400B"/>
    <w:rsid w:val="00940577"/>
    <w:rsid w:val="00950403"/>
    <w:rsid w:val="00962F7F"/>
    <w:rsid w:val="009676E4"/>
    <w:rsid w:val="0098577E"/>
    <w:rsid w:val="009A4AE3"/>
    <w:rsid w:val="009A74B2"/>
    <w:rsid w:val="009A7DE5"/>
    <w:rsid w:val="009B4B9D"/>
    <w:rsid w:val="009B6351"/>
    <w:rsid w:val="00A106A8"/>
    <w:rsid w:val="00A12888"/>
    <w:rsid w:val="00A50591"/>
    <w:rsid w:val="00A70C93"/>
    <w:rsid w:val="00A97950"/>
    <w:rsid w:val="00AA11F9"/>
    <w:rsid w:val="00AB47D3"/>
    <w:rsid w:val="00AE75FF"/>
    <w:rsid w:val="00B13845"/>
    <w:rsid w:val="00B15B06"/>
    <w:rsid w:val="00B20C37"/>
    <w:rsid w:val="00B22524"/>
    <w:rsid w:val="00B60653"/>
    <w:rsid w:val="00B647FF"/>
    <w:rsid w:val="00B96E40"/>
    <w:rsid w:val="00B97723"/>
    <w:rsid w:val="00BC68CC"/>
    <w:rsid w:val="00BE0157"/>
    <w:rsid w:val="00BE7B67"/>
    <w:rsid w:val="00C2790A"/>
    <w:rsid w:val="00C500BC"/>
    <w:rsid w:val="00C52FCE"/>
    <w:rsid w:val="00C6368C"/>
    <w:rsid w:val="00C65759"/>
    <w:rsid w:val="00C76208"/>
    <w:rsid w:val="00C843C2"/>
    <w:rsid w:val="00C9361C"/>
    <w:rsid w:val="00CA0167"/>
    <w:rsid w:val="00CD2784"/>
    <w:rsid w:val="00CE1423"/>
    <w:rsid w:val="00D177F1"/>
    <w:rsid w:val="00D27A99"/>
    <w:rsid w:val="00D37AE1"/>
    <w:rsid w:val="00D50CB2"/>
    <w:rsid w:val="00D93670"/>
    <w:rsid w:val="00D93F1E"/>
    <w:rsid w:val="00D94F9E"/>
    <w:rsid w:val="00DA3C2A"/>
    <w:rsid w:val="00DC0DDE"/>
    <w:rsid w:val="00DC4CDB"/>
    <w:rsid w:val="00E24E5A"/>
    <w:rsid w:val="00E41B03"/>
    <w:rsid w:val="00E570D9"/>
    <w:rsid w:val="00E60BB9"/>
    <w:rsid w:val="00E856B1"/>
    <w:rsid w:val="00EB6652"/>
    <w:rsid w:val="00F00BEB"/>
    <w:rsid w:val="00F03774"/>
    <w:rsid w:val="00F2005B"/>
    <w:rsid w:val="00F222DB"/>
    <w:rsid w:val="00F83122"/>
    <w:rsid w:val="00FD6481"/>
    <w:rsid w:val="00FF0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59"/>
    <w:pPr>
      <w:widowControl w:val="0"/>
      <w:jc w:val="both"/>
    </w:pPr>
  </w:style>
  <w:style w:type="paragraph" w:styleId="3">
    <w:name w:val="heading 3"/>
    <w:basedOn w:val="a"/>
    <w:link w:val="3Char"/>
    <w:uiPriority w:val="9"/>
    <w:qFormat/>
    <w:rsid w:val="00B2252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22524"/>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B2252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524"/>
    <w:rPr>
      <w:sz w:val="18"/>
      <w:szCs w:val="18"/>
    </w:rPr>
  </w:style>
  <w:style w:type="paragraph" w:styleId="a4">
    <w:name w:val="footer"/>
    <w:basedOn w:val="a"/>
    <w:link w:val="Char0"/>
    <w:uiPriority w:val="99"/>
    <w:unhideWhenUsed/>
    <w:rsid w:val="00B22524"/>
    <w:pPr>
      <w:tabs>
        <w:tab w:val="center" w:pos="4153"/>
        <w:tab w:val="right" w:pos="8306"/>
      </w:tabs>
      <w:snapToGrid w:val="0"/>
      <w:jc w:val="left"/>
    </w:pPr>
    <w:rPr>
      <w:sz w:val="18"/>
      <w:szCs w:val="18"/>
    </w:rPr>
  </w:style>
  <w:style w:type="character" w:customStyle="1" w:styleId="Char0">
    <w:name w:val="页脚 Char"/>
    <w:basedOn w:val="a0"/>
    <w:link w:val="a4"/>
    <w:uiPriority w:val="99"/>
    <w:rsid w:val="00B22524"/>
    <w:rPr>
      <w:sz w:val="18"/>
      <w:szCs w:val="18"/>
    </w:rPr>
  </w:style>
  <w:style w:type="character" w:customStyle="1" w:styleId="3Char">
    <w:name w:val="标题 3 Char"/>
    <w:basedOn w:val="a0"/>
    <w:link w:val="3"/>
    <w:uiPriority w:val="9"/>
    <w:rsid w:val="00B22524"/>
    <w:rPr>
      <w:rFonts w:ascii="宋体" w:eastAsia="宋体" w:hAnsi="宋体" w:cs="宋体"/>
      <w:b/>
      <w:bCs/>
      <w:kern w:val="0"/>
      <w:sz w:val="27"/>
      <w:szCs w:val="27"/>
    </w:rPr>
  </w:style>
  <w:style w:type="character" w:customStyle="1" w:styleId="4Char">
    <w:name w:val="标题 4 Char"/>
    <w:basedOn w:val="a0"/>
    <w:link w:val="4"/>
    <w:uiPriority w:val="9"/>
    <w:rsid w:val="00B22524"/>
    <w:rPr>
      <w:rFonts w:ascii="宋体" w:eastAsia="宋体" w:hAnsi="宋体" w:cs="宋体"/>
      <w:b/>
      <w:bCs/>
      <w:kern w:val="0"/>
      <w:sz w:val="24"/>
      <w:szCs w:val="24"/>
    </w:rPr>
  </w:style>
  <w:style w:type="character" w:customStyle="1" w:styleId="5Char">
    <w:name w:val="标题 5 Char"/>
    <w:basedOn w:val="a0"/>
    <w:link w:val="5"/>
    <w:uiPriority w:val="9"/>
    <w:rsid w:val="00B22524"/>
    <w:rPr>
      <w:rFonts w:ascii="宋体" w:eastAsia="宋体" w:hAnsi="宋体" w:cs="宋体"/>
      <w:b/>
      <w:bCs/>
      <w:kern w:val="0"/>
      <w:sz w:val="20"/>
      <w:szCs w:val="20"/>
    </w:rPr>
  </w:style>
  <w:style w:type="paragraph" w:styleId="a5">
    <w:name w:val="Normal (Web)"/>
    <w:basedOn w:val="a"/>
    <w:uiPriority w:val="99"/>
    <w:semiHidden/>
    <w:unhideWhenUsed/>
    <w:rsid w:val="00B2252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D2784"/>
    <w:rPr>
      <w:sz w:val="18"/>
      <w:szCs w:val="18"/>
    </w:rPr>
  </w:style>
  <w:style w:type="character" w:customStyle="1" w:styleId="Char1">
    <w:name w:val="批注框文本 Char"/>
    <w:basedOn w:val="a0"/>
    <w:link w:val="a6"/>
    <w:uiPriority w:val="99"/>
    <w:semiHidden/>
    <w:rsid w:val="00CD2784"/>
    <w:rPr>
      <w:sz w:val="18"/>
      <w:szCs w:val="18"/>
    </w:rPr>
  </w:style>
  <w:style w:type="paragraph" w:styleId="a7">
    <w:name w:val="Revision"/>
    <w:hidden/>
    <w:uiPriority w:val="99"/>
    <w:semiHidden/>
    <w:rsid w:val="00CD2784"/>
  </w:style>
  <w:style w:type="character" w:styleId="a8">
    <w:name w:val="annotation reference"/>
    <w:basedOn w:val="a0"/>
    <w:uiPriority w:val="99"/>
    <w:semiHidden/>
    <w:unhideWhenUsed/>
    <w:rsid w:val="001E079C"/>
    <w:rPr>
      <w:sz w:val="21"/>
      <w:szCs w:val="21"/>
    </w:rPr>
  </w:style>
  <w:style w:type="paragraph" w:styleId="a9">
    <w:name w:val="annotation text"/>
    <w:basedOn w:val="a"/>
    <w:link w:val="Char2"/>
    <w:uiPriority w:val="99"/>
    <w:semiHidden/>
    <w:unhideWhenUsed/>
    <w:rsid w:val="001E079C"/>
    <w:pPr>
      <w:jc w:val="left"/>
    </w:pPr>
  </w:style>
  <w:style w:type="character" w:customStyle="1" w:styleId="Char2">
    <w:name w:val="批注文字 Char"/>
    <w:basedOn w:val="a0"/>
    <w:link w:val="a9"/>
    <w:uiPriority w:val="99"/>
    <w:semiHidden/>
    <w:rsid w:val="001E079C"/>
  </w:style>
  <w:style w:type="paragraph" w:styleId="aa">
    <w:name w:val="annotation subject"/>
    <w:basedOn w:val="a9"/>
    <w:next w:val="a9"/>
    <w:link w:val="Char3"/>
    <w:uiPriority w:val="99"/>
    <w:semiHidden/>
    <w:unhideWhenUsed/>
    <w:rsid w:val="001E079C"/>
    <w:rPr>
      <w:b/>
      <w:bCs/>
    </w:rPr>
  </w:style>
  <w:style w:type="character" w:customStyle="1" w:styleId="Char3">
    <w:name w:val="批注主题 Char"/>
    <w:basedOn w:val="Char2"/>
    <w:link w:val="aa"/>
    <w:uiPriority w:val="99"/>
    <w:semiHidden/>
    <w:rsid w:val="001E079C"/>
    <w:rPr>
      <w:b/>
      <w:bCs/>
    </w:rPr>
  </w:style>
</w:styles>
</file>

<file path=word/webSettings.xml><?xml version="1.0" encoding="utf-8"?>
<w:webSettings xmlns:r="http://schemas.openxmlformats.org/officeDocument/2006/relationships" xmlns:w="http://schemas.openxmlformats.org/wordprocessingml/2006/main">
  <w:divs>
    <w:div w:id="767849650">
      <w:bodyDiv w:val="1"/>
      <w:marLeft w:val="0"/>
      <w:marRight w:val="0"/>
      <w:marTop w:val="0"/>
      <w:marBottom w:val="0"/>
      <w:divBdr>
        <w:top w:val="none" w:sz="0" w:space="0" w:color="auto"/>
        <w:left w:val="none" w:sz="0" w:space="0" w:color="auto"/>
        <w:bottom w:val="none" w:sz="0" w:space="0" w:color="auto"/>
        <w:right w:val="none" w:sz="0" w:space="0" w:color="auto"/>
      </w:divBdr>
    </w:div>
    <w:div w:id="773332322">
      <w:bodyDiv w:val="1"/>
      <w:marLeft w:val="0"/>
      <w:marRight w:val="0"/>
      <w:marTop w:val="0"/>
      <w:marBottom w:val="0"/>
      <w:divBdr>
        <w:top w:val="none" w:sz="0" w:space="0" w:color="auto"/>
        <w:left w:val="none" w:sz="0" w:space="0" w:color="auto"/>
        <w:bottom w:val="none" w:sz="0" w:space="0" w:color="auto"/>
        <w:right w:val="none" w:sz="0" w:space="0" w:color="auto"/>
      </w:divBdr>
    </w:div>
    <w:div w:id="1677152701">
      <w:bodyDiv w:val="1"/>
      <w:marLeft w:val="0"/>
      <w:marRight w:val="0"/>
      <w:marTop w:val="0"/>
      <w:marBottom w:val="0"/>
      <w:divBdr>
        <w:top w:val="none" w:sz="0" w:space="0" w:color="auto"/>
        <w:left w:val="none" w:sz="0" w:space="0" w:color="auto"/>
        <w:bottom w:val="none" w:sz="0" w:space="0" w:color="auto"/>
        <w:right w:val="none" w:sz="0" w:space="0" w:color="auto"/>
      </w:divBdr>
    </w:div>
    <w:div w:id="1728721151">
      <w:bodyDiv w:val="1"/>
      <w:marLeft w:val="0"/>
      <w:marRight w:val="0"/>
      <w:marTop w:val="0"/>
      <w:marBottom w:val="0"/>
      <w:divBdr>
        <w:top w:val="none" w:sz="0" w:space="0" w:color="auto"/>
        <w:left w:val="none" w:sz="0" w:space="0" w:color="auto"/>
        <w:bottom w:val="none" w:sz="0" w:space="0" w:color="auto"/>
        <w:right w:val="none" w:sz="0" w:space="0" w:color="auto"/>
      </w:divBdr>
    </w:div>
    <w:div w:id="20215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huangxia</XMLData>
</file>

<file path=customXml/item2.xml><?xml version="1.0" encoding="utf-8"?>
<XMLData TextToDisplay="%EMAILADDRESS%">huangxia@hsqhfunds.com</XMLData>
</file>

<file path=customXml/item3.xml><?xml version="1.0" encoding="utf-8"?>
<XMLData TextToDisplay="RightsWATCHMark">4|HQSH-HSQH-内部信息|{00000000-0000-0000-0000-000000000000}</XMLData>
</file>

<file path=customXml/item4.xml><?xml version="1.0" encoding="utf-8"?>
<XMLData TextToDisplay="%DOCUMENTGUID%">{00000000-0000-0000-0000-000000000000}</XMLData>
</file>

<file path=customXml/item5.xml><?xml version="1.0" encoding="utf-8"?>
<XMLData TextToDisplay="%CLASSIFICATIONDATETIME%">01:20 12/08/2021</XMLData>
</file>

<file path=customXml/item6.xml><?xml version="1.0" encoding="utf-8"?>
<XMLData TextToDisplay="%HOSTNAME%">PC0VZ78G.hsqhfunds.com</XMLData>
</file>

<file path=customXml/itemProps1.xml><?xml version="1.0" encoding="utf-8"?>
<ds:datastoreItem xmlns:ds="http://schemas.openxmlformats.org/officeDocument/2006/customXml" ds:itemID="{62D5DE04-6C11-4648-88B3-9735487E54E5}">
  <ds:schemaRefs/>
</ds:datastoreItem>
</file>

<file path=customXml/itemProps2.xml><?xml version="1.0" encoding="utf-8"?>
<ds:datastoreItem xmlns:ds="http://schemas.openxmlformats.org/officeDocument/2006/customXml" ds:itemID="{AD08350E-1067-49BC-AFF9-AB793FB27ADF}">
  <ds:schemaRefs/>
</ds:datastoreItem>
</file>

<file path=customXml/itemProps3.xml><?xml version="1.0" encoding="utf-8"?>
<ds:datastoreItem xmlns:ds="http://schemas.openxmlformats.org/officeDocument/2006/customXml" ds:itemID="{F87B5F65-527F-4D96-8CC4-EA4810D1FC8F}">
  <ds:schemaRefs/>
</ds:datastoreItem>
</file>

<file path=customXml/itemProps4.xml><?xml version="1.0" encoding="utf-8"?>
<ds:datastoreItem xmlns:ds="http://schemas.openxmlformats.org/officeDocument/2006/customXml" ds:itemID="{D83D11A5-ACA0-4AA1-912C-EEE4E56D349B}">
  <ds:schemaRefs/>
</ds:datastoreItem>
</file>

<file path=customXml/itemProps5.xml><?xml version="1.0" encoding="utf-8"?>
<ds:datastoreItem xmlns:ds="http://schemas.openxmlformats.org/officeDocument/2006/customXml" ds:itemID="{98670F78-18BF-4575-94D5-698803014DEA}">
  <ds:schemaRefs/>
</ds:datastoreItem>
</file>

<file path=customXml/itemProps6.xml><?xml version="1.0" encoding="utf-8"?>
<ds:datastoreItem xmlns:ds="http://schemas.openxmlformats.org/officeDocument/2006/customXml" ds:itemID="{6D50DDAB-4935-4958-8180-15CB11240C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4</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王哲</dc:creator>
  <cp:keywords/>
  <dc:description/>
  <cp:lastModifiedBy>ZHONGM</cp:lastModifiedBy>
  <cp:revision>2</cp:revision>
  <dcterms:created xsi:type="dcterms:W3CDTF">2022-11-18T16:00:00Z</dcterms:created>
  <dcterms:modified xsi:type="dcterms:W3CDTF">2022-11-18T16:00:00Z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4|HQSH-HSQH-内部信息|{00000000-0000-0000-0000-000000000000}</vt:lpwstr>
  </property>
</Properties>
</file>