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CC4EF1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华夏航空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002928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CC4EF1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华夏航空股份有限公司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CC4EF1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</w:t>
      </w:r>
      <w:bookmarkStart w:id="0" w:name="_GoBack"/>
      <w:bookmarkEnd w:id="0"/>
      <w:r>
        <w:rPr>
          <w:kern w:val="0"/>
          <w:sz w:val="24"/>
        </w:rPr>
        <w:t>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华夏航空股份有限公司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133"/>
        <w:gridCol w:w="1131"/>
        <w:gridCol w:w="1493"/>
        <w:gridCol w:w="854"/>
        <w:gridCol w:w="1424"/>
        <w:gridCol w:w="911"/>
        <w:gridCol w:w="576"/>
      </w:tblGrid>
      <w:tr w:rsidR="00C610F0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CC4EF1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CC4EF1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CC4EF1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CC4EF1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CC4EF1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CC4EF1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CC4EF1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易方达新经济灵活配置混合型证券投资基金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1,304,347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11,999,992.40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0.17%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14,699,990.69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0.20%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易方达改革红利混合型证券投资基金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652,173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5,999,991.60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0.22%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7,349,989.71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0.27%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易方达瑞享灵活配置混合型证券投资基金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1,195,652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10,999,998.40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1.85%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13,474,998.04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2.26%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易方达鑫转增利混合型证券投资基金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652,173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5,999,991.60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0.51%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7,349,989.71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0.63%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易方达鑫转招利混合型证券投资基金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326,086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2,999,991.20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0.44%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3,674,989.22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0.53%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易方达裕富债券型证券投资基金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869,565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7,999,998.00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0.20%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9,799,997.55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易方达均衡成长股票型证券投资基金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652,173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5,999,991.60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0.10%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7,349,989.71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0.12%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易方达远见成长混合型证券投资基金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6,739,140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62,000,088.00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1.91%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75,950,107.80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2.33%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易方达先锋成长混合型证券投资基金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1,086,956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9,999,995.20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1.87%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12,249,994.12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2.29%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易方达品质动能三年持有期混合型证券投资基金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3,804,347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34,999,992.40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0.36%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42,874,990.69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0.45%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易方达平稳增长证券投资基金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652,173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5,999,991.60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0.17%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7,349,989.71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0.20%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C610F0">
        <w:trPr>
          <w:jc w:val="center"/>
        </w:trPr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易方达科翔混合型证券投资基金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1,304,347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11,999,992.40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0.18%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14,699,990.69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0.21%</w:t>
            </w:r>
          </w:p>
        </w:tc>
        <w:tc>
          <w:tcPr>
            <w:tcW w:w="0" w:type="auto"/>
            <w:vAlign w:val="center"/>
          </w:tcPr>
          <w:p w:rsidR="00C610F0" w:rsidRDefault="00CC4EF1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CC4EF1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2022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11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14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CC4EF1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CC4EF1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CC4EF1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2022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11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16</w:t>
      </w:r>
      <w:r w:rsidRPr="00472218">
        <w:rPr>
          <w:kern w:val="0"/>
          <w:sz w:val="24"/>
        </w:rPr>
        <w:t>日</w:t>
      </w: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RDefault="008068CA" w:rsidP="00740340">
      <w:pPr>
        <w:spacing w:line="360" w:lineRule="auto"/>
        <w:jc w:val="right"/>
      </w:pPr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610F0"/>
    <w:rsid w:val="00C73256"/>
    <w:rsid w:val="00C74CAB"/>
    <w:rsid w:val="00C76D21"/>
    <w:rsid w:val="00CA7C64"/>
    <w:rsid w:val="00CC4EF1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DB98-2DA8-4679-8C79-2F95588F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易方达基金管理有限公司关于旗下部分基金获配中泰化学（002092）非公开发行A股的公告</dc:title>
  <dc:creator>刘树荣</dc:creator>
  <cp:lastModifiedBy>ZHONGM</cp:lastModifiedBy>
  <cp:revision>2</cp:revision>
  <cp:lastPrinted>2010-08-23T02:49:00Z</cp:lastPrinted>
  <dcterms:created xsi:type="dcterms:W3CDTF">2022-11-15T16:02:00Z</dcterms:created>
  <dcterms:modified xsi:type="dcterms:W3CDTF">2022-11-15T16:02:00Z</dcterms:modified>
</cp:coreProperties>
</file>