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90" w:rsidRDefault="00590A97">
      <w:pPr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国联安基金管理有限公司关于旗下</w:t>
      </w:r>
      <w:r w:rsidR="00B24B89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部分</w:t>
      </w:r>
      <w:r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基金调整最低申购金额、最低赎回</w:t>
      </w:r>
      <w:r w:rsidR="00AF5BF7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份额</w:t>
      </w:r>
      <w:r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限制的公告</w:t>
      </w:r>
    </w:p>
    <w:p w:rsidR="007F2190" w:rsidRDefault="007F2190">
      <w:pPr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7F2190" w:rsidRDefault="00590A97" w:rsidP="00C33B7D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为了更好地满足投资者的理财需求，国联安基金管理有限公司（以下简称“本公司”或“基金管理人”）决定自</w:t>
      </w:r>
      <w:r w:rsidR="00B24B89">
        <w:rPr>
          <w:rFonts w:ascii="宋体" w:eastAsia="宋体" w:hAnsi="宋体" w:hint="eastAsia"/>
          <w:color w:val="000000"/>
          <w:szCs w:val="21"/>
        </w:rPr>
        <w:t>2022年</w:t>
      </w:r>
      <w:r w:rsidR="00B24B89">
        <w:rPr>
          <w:rFonts w:ascii="宋体" w:eastAsia="宋体" w:hAnsi="宋体"/>
          <w:color w:val="000000"/>
          <w:szCs w:val="21"/>
        </w:rPr>
        <w:t>11</w:t>
      </w:r>
      <w:r>
        <w:rPr>
          <w:rFonts w:ascii="宋体" w:eastAsia="宋体" w:hAnsi="宋体" w:hint="eastAsia"/>
          <w:color w:val="000000"/>
          <w:szCs w:val="21"/>
        </w:rPr>
        <w:t>月</w:t>
      </w:r>
      <w:r w:rsidR="00B24B89">
        <w:rPr>
          <w:rFonts w:ascii="宋体" w:eastAsia="宋体" w:hAnsi="宋体"/>
          <w:color w:val="000000"/>
          <w:szCs w:val="21"/>
        </w:rPr>
        <w:t>16</w:t>
      </w:r>
      <w:r>
        <w:rPr>
          <w:rFonts w:ascii="宋体" w:eastAsia="宋体" w:hAnsi="宋体" w:hint="eastAsia"/>
          <w:color w:val="000000"/>
          <w:szCs w:val="21"/>
        </w:rPr>
        <w:t>日起，在基金管理人直销机构及其他基金销售机构调整旗下</w:t>
      </w:r>
      <w:r w:rsidR="00B24B89">
        <w:rPr>
          <w:rFonts w:ascii="宋体" w:eastAsia="宋体" w:hAnsi="宋体" w:hint="eastAsia"/>
          <w:color w:val="000000"/>
          <w:szCs w:val="21"/>
        </w:rPr>
        <w:t>部分</w:t>
      </w:r>
      <w:r>
        <w:rPr>
          <w:rFonts w:ascii="宋体" w:eastAsia="宋体" w:hAnsi="宋体" w:hint="eastAsia"/>
          <w:color w:val="000000"/>
          <w:szCs w:val="21"/>
        </w:rPr>
        <w:t>基金每笔最低申购金额、每笔最低赎回份额的数量限制。现将相关事项公告如下：</w:t>
      </w:r>
    </w:p>
    <w:p w:rsidR="007F2190" w:rsidRPr="0015276F" w:rsidRDefault="00590A97" w:rsidP="00C33B7D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一、适用基金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国联安德盛稳健证券投资基金（基金简称：国联安稳健混合；基金代码：</w:t>
      </w:r>
      <w:r w:rsidRPr="0015276F">
        <w:rPr>
          <w:rFonts w:ascii="宋体" w:eastAsia="宋体" w:hAnsi="宋体"/>
          <w:color w:val="000000"/>
          <w:szCs w:val="21"/>
        </w:rPr>
        <w:t>255010</w:t>
      </w:r>
      <w:r w:rsidRPr="0015276F">
        <w:rPr>
          <w:rFonts w:ascii="宋体" w:eastAsia="宋体" w:hAnsi="宋体" w:hint="eastAsia"/>
          <w:color w:val="000000"/>
          <w:szCs w:val="21"/>
        </w:rPr>
        <w:t>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国联安德盛小盘精选证券投资基金（基金简称：国联安小盘精选混合；基金代码：257010）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</w:t>
      </w:r>
      <w:r w:rsidRPr="0015276F">
        <w:rPr>
          <w:rFonts w:ascii="宋体" w:eastAsia="宋体" w:hAnsi="宋体"/>
          <w:color w:val="000000"/>
          <w:szCs w:val="21"/>
        </w:rPr>
        <w:t>德盛</w:t>
      </w:r>
      <w:r w:rsidRPr="0015276F">
        <w:rPr>
          <w:rFonts w:ascii="宋体" w:eastAsia="宋体" w:hAnsi="宋体" w:hint="eastAsia"/>
          <w:color w:val="000000"/>
          <w:szCs w:val="21"/>
        </w:rPr>
        <w:t>安心成长混合型证券投资基金（基金简称：国联安安心成长混合；基金代码：253010）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</w:t>
      </w:r>
      <w:r w:rsidRPr="0015276F">
        <w:rPr>
          <w:rFonts w:ascii="宋体" w:eastAsia="宋体" w:hAnsi="宋体"/>
          <w:color w:val="000000"/>
          <w:szCs w:val="21"/>
        </w:rPr>
        <w:t>德盛</w:t>
      </w:r>
      <w:r w:rsidRPr="0015276F">
        <w:rPr>
          <w:rFonts w:ascii="宋体" w:eastAsia="宋体" w:hAnsi="宋体" w:hint="eastAsia"/>
          <w:color w:val="000000"/>
          <w:szCs w:val="21"/>
        </w:rPr>
        <w:t>精选混合型证券投资基金（基金简称：国联安精选混合；基金代码：前端257020）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</w:t>
      </w:r>
      <w:r w:rsidRPr="0015276F">
        <w:rPr>
          <w:rFonts w:ascii="宋体" w:eastAsia="宋体" w:hAnsi="宋体"/>
          <w:color w:val="000000"/>
          <w:szCs w:val="21"/>
        </w:rPr>
        <w:t>德盛</w:t>
      </w:r>
      <w:r w:rsidRPr="0015276F">
        <w:rPr>
          <w:rFonts w:ascii="宋体" w:eastAsia="宋体" w:hAnsi="宋体" w:hint="eastAsia"/>
          <w:color w:val="000000"/>
          <w:szCs w:val="21"/>
        </w:rPr>
        <w:t>红利混合型证券投资基金（基金简称：国联安红利混合；基金代码：前端257040）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</w:t>
      </w:r>
      <w:r w:rsidRPr="0015276F">
        <w:rPr>
          <w:rFonts w:ascii="宋体" w:eastAsia="宋体" w:hAnsi="宋体"/>
          <w:color w:val="000000"/>
          <w:szCs w:val="21"/>
        </w:rPr>
        <w:t>德盛</w:t>
      </w:r>
      <w:r w:rsidRPr="0015276F">
        <w:rPr>
          <w:rFonts w:ascii="宋体" w:eastAsia="宋体" w:hAnsi="宋体" w:hint="eastAsia"/>
          <w:color w:val="000000"/>
          <w:szCs w:val="21"/>
        </w:rPr>
        <w:t>增利债券证券投资基金（基金简称：国联安增利债券；基金代码：A类253020</w:t>
      </w:r>
      <w:r w:rsidR="00FC44EF">
        <w:rPr>
          <w:rFonts w:ascii="宋体" w:eastAsia="宋体" w:hAnsi="宋体" w:hint="eastAsia"/>
          <w:color w:val="000000"/>
          <w:szCs w:val="21"/>
        </w:rPr>
        <w:t>、</w:t>
      </w:r>
      <w:r w:rsidRPr="0015276F">
        <w:rPr>
          <w:rFonts w:ascii="宋体" w:eastAsia="宋体" w:hAnsi="宋体" w:hint="eastAsia"/>
          <w:color w:val="000000"/>
          <w:szCs w:val="21"/>
        </w:rPr>
        <w:t>C类25302</w:t>
      </w:r>
      <w:r w:rsidRPr="0015276F">
        <w:rPr>
          <w:rFonts w:ascii="宋体" w:eastAsia="宋体" w:hAnsi="宋体"/>
          <w:color w:val="000000"/>
          <w:szCs w:val="21"/>
        </w:rPr>
        <w:t>1</w:t>
      </w:r>
      <w:r w:rsidRPr="0015276F">
        <w:rPr>
          <w:rFonts w:ascii="宋体" w:eastAsia="宋体" w:hAnsi="宋体" w:hint="eastAsia"/>
          <w:color w:val="000000"/>
          <w:szCs w:val="21"/>
        </w:rPr>
        <w:t>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国联安主题驱动混合型证券投资基金（基金简称：国联安主题驱动混合；基金代码：257050）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国联安信心增长债券型证券投资基金（基金简称：国联安信心增长债券；基金代码：A类253060</w:t>
      </w:r>
      <w:r w:rsidR="00FC44EF">
        <w:rPr>
          <w:rFonts w:ascii="宋体" w:eastAsia="宋体" w:hAnsi="宋体" w:hint="eastAsia"/>
          <w:color w:val="000000"/>
          <w:szCs w:val="21"/>
        </w:rPr>
        <w:t>、</w:t>
      </w:r>
      <w:r w:rsidRPr="0015276F">
        <w:rPr>
          <w:rFonts w:ascii="宋体" w:eastAsia="宋体" w:hAnsi="宋体"/>
          <w:color w:val="000000"/>
          <w:szCs w:val="21"/>
        </w:rPr>
        <w:t>C</w:t>
      </w:r>
      <w:r w:rsidRPr="0015276F">
        <w:rPr>
          <w:rFonts w:ascii="宋体" w:eastAsia="宋体" w:hAnsi="宋体" w:hint="eastAsia"/>
          <w:color w:val="000000"/>
          <w:szCs w:val="21"/>
        </w:rPr>
        <w:t>类25306</w:t>
      </w:r>
      <w:r w:rsidR="0015276F" w:rsidRPr="0015276F">
        <w:rPr>
          <w:rFonts w:ascii="宋体" w:eastAsia="宋体" w:hAnsi="宋体"/>
          <w:color w:val="000000"/>
          <w:szCs w:val="21"/>
        </w:rPr>
        <w:t>1</w:t>
      </w:r>
      <w:r w:rsidRPr="0015276F">
        <w:rPr>
          <w:rFonts w:ascii="宋体" w:eastAsia="宋体" w:hAnsi="宋体" w:hint="eastAsia"/>
          <w:color w:val="000000"/>
          <w:szCs w:val="21"/>
        </w:rPr>
        <w:t>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国联安双佳信用债券型证券投资基金（LOF）（基金简称：国联安双佳信用债券；基金代码：162511）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国联安新精选灵活配置混合型证券投资基金</w:t>
      </w:r>
      <w:r w:rsidRPr="0015276F">
        <w:rPr>
          <w:rFonts w:ascii="宋体" w:eastAsia="宋体" w:hAnsi="宋体"/>
          <w:color w:val="000000"/>
          <w:szCs w:val="21"/>
        </w:rPr>
        <w:t>（基金简称：国联安</w:t>
      </w:r>
      <w:r w:rsidRPr="0015276F">
        <w:rPr>
          <w:rFonts w:ascii="宋体" w:eastAsia="宋体" w:hAnsi="宋体" w:hint="eastAsia"/>
          <w:color w:val="000000"/>
          <w:szCs w:val="21"/>
        </w:rPr>
        <w:t>新精选混合</w:t>
      </w:r>
      <w:r w:rsidRPr="0015276F">
        <w:rPr>
          <w:rFonts w:ascii="宋体" w:eastAsia="宋体" w:hAnsi="宋体"/>
          <w:color w:val="000000"/>
          <w:szCs w:val="21"/>
        </w:rPr>
        <w:t>；基金代码：</w:t>
      </w:r>
      <w:r w:rsidRPr="0015276F">
        <w:rPr>
          <w:rFonts w:ascii="宋体" w:eastAsia="宋体" w:hAnsi="宋体" w:hint="eastAsia"/>
          <w:color w:val="000000"/>
          <w:szCs w:val="21"/>
        </w:rPr>
        <w:t>000417</w:t>
      </w:r>
      <w:r w:rsidRPr="0015276F">
        <w:rPr>
          <w:rFonts w:ascii="宋体" w:eastAsia="宋体" w:hAnsi="宋体"/>
          <w:color w:val="000000"/>
          <w:szCs w:val="21"/>
        </w:rPr>
        <w:t>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国联安安泰灵活配置混合型证券投资基金（基金简称：国联安安泰灵活配置混合；基金代码：000058）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国联安中证医药100指数证券投资基金（基金简称：国联安医药100指数；基金代码：</w:t>
      </w:r>
      <w:r w:rsidR="0015276F" w:rsidRPr="0015276F">
        <w:rPr>
          <w:rFonts w:ascii="宋体" w:eastAsia="宋体" w:hAnsi="宋体" w:hint="eastAsia"/>
          <w:color w:val="000000"/>
          <w:szCs w:val="21"/>
        </w:rPr>
        <w:t>A类</w:t>
      </w:r>
      <w:r w:rsidRPr="0015276F">
        <w:rPr>
          <w:rFonts w:ascii="宋体" w:eastAsia="宋体" w:hAnsi="宋体" w:hint="eastAsia"/>
          <w:color w:val="000000"/>
          <w:szCs w:val="21"/>
        </w:rPr>
        <w:t>000059</w:t>
      </w:r>
      <w:r w:rsidR="00FC44EF">
        <w:rPr>
          <w:rFonts w:ascii="宋体" w:eastAsia="宋体" w:hAnsi="宋体" w:hint="eastAsia"/>
          <w:color w:val="000000"/>
          <w:szCs w:val="21"/>
        </w:rPr>
        <w:t>、</w:t>
      </w:r>
      <w:r w:rsidR="0015276F" w:rsidRPr="0015276F">
        <w:rPr>
          <w:rFonts w:ascii="宋体" w:eastAsia="宋体" w:hAnsi="宋体" w:hint="eastAsia"/>
          <w:color w:val="000000"/>
          <w:szCs w:val="21"/>
        </w:rPr>
        <w:t>C类</w:t>
      </w:r>
      <w:r w:rsidR="0015276F" w:rsidRPr="0015276F">
        <w:rPr>
          <w:rFonts w:ascii="宋体" w:eastAsia="宋体" w:hAnsi="宋体"/>
          <w:color w:val="000000"/>
          <w:szCs w:val="21"/>
        </w:rPr>
        <w:t>006569</w:t>
      </w:r>
      <w:r w:rsidRPr="0015276F">
        <w:rPr>
          <w:rFonts w:ascii="宋体" w:eastAsia="宋体" w:hAnsi="宋体" w:hint="eastAsia"/>
          <w:color w:val="000000"/>
          <w:szCs w:val="21"/>
        </w:rPr>
        <w:t>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lastRenderedPageBreak/>
        <w:t>国联安安稳灵活配置混合型证券投资基金（基金简称：国联安安稳灵活配置混合；基金代码：002367）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国联安行业领先混合型证券投资基金（基金简称：国联安行业领先混合；基金代码：006568）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国联安远见成长混合型证券投资基金（基金简称：国联安远见成长混合；基金代码：005708）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国联安价值优选股票型证券投资基金（基金简称：国联安价值优选股票；基金代码：006138）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国联安核心资产策略混合型证券投资基金（基金简称：国联安核心资产混合；基金代码：006864）</w:t>
      </w:r>
    </w:p>
    <w:p w:rsidR="004D60C6" w:rsidRPr="0015276F" w:rsidRDefault="004D60C6" w:rsidP="00C33B7D">
      <w:pPr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 w:rsidRPr="0015276F">
        <w:rPr>
          <w:rFonts w:ascii="宋体" w:eastAsia="宋体" w:hAnsi="宋体" w:hint="eastAsia"/>
          <w:color w:val="000000"/>
          <w:szCs w:val="21"/>
        </w:rPr>
        <w:t>国联安核心优势混合型证券投资基金（基金简称：国联安核心优势混合；基金代码：</w:t>
      </w:r>
      <w:r w:rsidRPr="0015276F">
        <w:rPr>
          <w:rFonts w:ascii="宋体" w:eastAsia="宋体" w:hAnsi="宋体"/>
          <w:color w:val="000000"/>
          <w:szCs w:val="21"/>
        </w:rPr>
        <w:t>011994</w:t>
      </w:r>
      <w:r w:rsidRPr="0015276F">
        <w:rPr>
          <w:rFonts w:ascii="宋体" w:eastAsia="宋体" w:hAnsi="宋体" w:hint="eastAsia"/>
          <w:color w:val="000000"/>
          <w:szCs w:val="21"/>
        </w:rPr>
        <w:t>）</w:t>
      </w:r>
    </w:p>
    <w:p w:rsidR="007F2190" w:rsidRDefault="007F2190" w:rsidP="00C33B7D">
      <w:pPr>
        <w:spacing w:line="360" w:lineRule="auto"/>
        <w:rPr>
          <w:rFonts w:ascii="宋体" w:eastAsia="宋体" w:hAnsi="宋体"/>
          <w:color w:val="000000"/>
          <w:szCs w:val="21"/>
        </w:rPr>
      </w:pP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二、调整方案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hint="eastAsia"/>
          <w:color w:val="000000"/>
          <w:szCs w:val="21"/>
        </w:rPr>
        <w:t xml:space="preserve"> </w:t>
      </w:r>
      <w:r>
        <w:rPr>
          <w:rFonts w:ascii="宋体" w:eastAsia="宋体" w:hAnsi="宋体"/>
          <w:color w:val="000000"/>
          <w:szCs w:val="21"/>
        </w:rPr>
        <w:t xml:space="preserve">   </w:t>
      </w:r>
      <w:r>
        <w:rPr>
          <w:rFonts w:ascii="宋体" w:eastAsia="宋体" w:hAnsi="宋体" w:hint="eastAsia"/>
          <w:color w:val="000000"/>
          <w:szCs w:val="21"/>
        </w:rPr>
        <w:t>投资者通过基金管理人直销机构及其他基金销售机构申购</w:t>
      </w:r>
      <w:r w:rsidR="009B2273">
        <w:rPr>
          <w:rFonts w:ascii="宋体" w:eastAsia="宋体" w:hAnsi="宋体" w:hint="eastAsia"/>
          <w:color w:val="000000"/>
          <w:szCs w:val="21"/>
        </w:rPr>
        <w:t>上述</w:t>
      </w:r>
      <w:r>
        <w:rPr>
          <w:rFonts w:ascii="宋体" w:eastAsia="宋体" w:hAnsi="宋体" w:hint="eastAsia"/>
          <w:color w:val="000000"/>
          <w:szCs w:val="21"/>
        </w:rPr>
        <w:t>基金的，单笔申购最低金额</w:t>
      </w:r>
      <w:r w:rsidR="00DB438C">
        <w:rPr>
          <w:rFonts w:ascii="宋体" w:eastAsia="宋体" w:hAnsi="宋体" w:hint="eastAsia"/>
          <w:color w:val="000000"/>
          <w:szCs w:val="21"/>
        </w:rPr>
        <w:t>调整为</w:t>
      </w:r>
      <w:r w:rsidR="00B21694">
        <w:rPr>
          <w:rFonts w:ascii="宋体" w:eastAsia="宋体" w:hAnsi="宋体" w:hint="eastAsia"/>
          <w:color w:val="000000"/>
          <w:szCs w:val="21"/>
        </w:rPr>
        <w:t>1元，</w:t>
      </w:r>
      <w:r>
        <w:rPr>
          <w:rFonts w:ascii="宋体" w:eastAsia="宋体" w:hAnsi="宋体" w:hint="eastAsia"/>
          <w:color w:val="000000"/>
          <w:szCs w:val="21"/>
        </w:rPr>
        <w:t>追加单笔申购最低金额调整为</w:t>
      </w:r>
      <w:r w:rsidR="00B21694">
        <w:rPr>
          <w:rFonts w:ascii="宋体" w:eastAsia="宋体" w:hAnsi="宋体"/>
          <w:color w:val="000000"/>
          <w:szCs w:val="21"/>
        </w:rPr>
        <w:t>0.01</w:t>
      </w:r>
      <w:r>
        <w:rPr>
          <w:rFonts w:ascii="宋体" w:eastAsia="宋体" w:hAnsi="宋体" w:hint="eastAsia"/>
          <w:color w:val="000000"/>
          <w:szCs w:val="21"/>
        </w:rPr>
        <w:t>元。</w:t>
      </w: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投资者通过基金管理人直销机构及其他基金销售机构赎回</w:t>
      </w:r>
      <w:r w:rsidR="009B2273">
        <w:rPr>
          <w:rFonts w:ascii="宋体" w:eastAsia="宋体" w:hAnsi="宋体" w:hint="eastAsia"/>
          <w:color w:val="000000"/>
          <w:szCs w:val="21"/>
        </w:rPr>
        <w:t>上述</w:t>
      </w:r>
      <w:r>
        <w:rPr>
          <w:rFonts w:ascii="宋体" w:eastAsia="宋体" w:hAnsi="宋体" w:hint="eastAsia"/>
          <w:color w:val="000000"/>
          <w:szCs w:val="21"/>
        </w:rPr>
        <w:t>基金的，单笔赎回最低份额为</w:t>
      </w:r>
      <w:r>
        <w:rPr>
          <w:rFonts w:ascii="宋体" w:eastAsia="宋体" w:hAnsi="宋体"/>
          <w:color w:val="000000"/>
          <w:szCs w:val="21"/>
        </w:rPr>
        <w:t>0.01</w:t>
      </w:r>
      <w:r>
        <w:rPr>
          <w:rFonts w:ascii="宋体" w:eastAsia="宋体" w:hAnsi="宋体" w:hint="eastAsia"/>
          <w:color w:val="000000"/>
          <w:szCs w:val="21"/>
        </w:rPr>
        <w:t>份。</w:t>
      </w: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各基金销售机构可根据本公司的调整方案进行调整，但单笔最低申购金额、单笔追加申购最低金额、单笔赎回最低份额不得低于管理人设定的上述值，可以等于或高于上述值。具体以各基金销售机构公布的公告为准，投资者需遵循各基金销售机构的相关规定。</w:t>
      </w: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投资者可以通过以下途径了解或咨询相关详情：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 xml:space="preserve">本公司客户服务热线：021-38784766，400-700-0365（免长途话费） </w:t>
      </w: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本公司网站：www.cpicfunds.com</w:t>
      </w: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三、重要提示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1、各基金销售机构有不同规定的，投资者在该销售机构办理上述业务时，需同时遵循销售机构的相关业务规定。</w:t>
      </w:r>
    </w:p>
    <w:p w:rsidR="00C33B7D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2、本公司有权根据市场情况或法律法规变化调整上述条款，并按照相关规定进行公告。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3、</w:t>
      </w:r>
      <w:r>
        <w:rPr>
          <w:rFonts w:ascii="宋体" w:eastAsia="宋体" w:hAnsi="宋体" w:cs="宋体"/>
          <w:color w:val="000000"/>
          <w:kern w:val="0"/>
          <w:szCs w:val="21"/>
        </w:rPr>
        <w:t>本次调整方案所涉及的招募说明书、产品资料概要相关内容，将在</w:t>
      </w:r>
      <w:r w:rsidR="00751A2C">
        <w:rPr>
          <w:rFonts w:ascii="宋体" w:eastAsia="宋体" w:hAnsi="宋体" w:hint="eastAsia"/>
          <w:color w:val="000000"/>
          <w:szCs w:val="21"/>
        </w:rPr>
        <w:t>上述</w:t>
      </w:r>
      <w:r>
        <w:rPr>
          <w:rFonts w:ascii="宋体" w:eastAsia="宋体" w:hAnsi="宋体" w:hint="eastAsia"/>
          <w:color w:val="000000"/>
          <w:szCs w:val="21"/>
        </w:rPr>
        <w:t>基金</w:t>
      </w:r>
      <w:r>
        <w:rPr>
          <w:rFonts w:ascii="宋体" w:eastAsia="宋体" w:hAnsi="宋体" w:cs="宋体"/>
          <w:color w:val="000000"/>
          <w:kern w:val="0"/>
          <w:szCs w:val="21"/>
        </w:rPr>
        <w:t>最近一次</w:t>
      </w:r>
      <w:r w:rsidR="00371AFB">
        <w:rPr>
          <w:rFonts w:ascii="宋体" w:eastAsia="宋体" w:hAnsi="宋体" w:cs="宋体" w:hint="eastAsia"/>
          <w:color w:val="000000"/>
          <w:kern w:val="0"/>
          <w:szCs w:val="21"/>
        </w:rPr>
        <w:t>定期</w:t>
      </w:r>
      <w:r>
        <w:rPr>
          <w:rFonts w:ascii="宋体" w:eastAsia="宋体" w:hAnsi="宋体" w:cs="宋体"/>
          <w:color w:val="000000"/>
          <w:kern w:val="0"/>
          <w:szCs w:val="21"/>
        </w:rPr>
        <w:t>更新招募说明书、产品资料概要时一并调整。</w:t>
      </w: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4</w:t>
      </w:r>
      <w:r>
        <w:rPr>
          <w:rFonts w:ascii="宋体" w:eastAsia="宋体" w:hAnsi="宋体" w:cs="宋体"/>
          <w:color w:val="000000"/>
          <w:kern w:val="0"/>
          <w:szCs w:val="21"/>
        </w:rPr>
        <w:t>、投资者办理基金交易业务前，应仔细阅读</w:t>
      </w:r>
      <w:r w:rsidR="00751A2C">
        <w:rPr>
          <w:rFonts w:ascii="宋体" w:eastAsia="宋体" w:hAnsi="宋体" w:hint="eastAsia"/>
          <w:color w:val="000000"/>
          <w:szCs w:val="21"/>
        </w:rPr>
        <w:t>上述</w:t>
      </w:r>
      <w:r>
        <w:rPr>
          <w:rFonts w:ascii="宋体" w:eastAsia="宋体" w:hAnsi="宋体" w:hint="eastAsia"/>
          <w:color w:val="000000"/>
          <w:szCs w:val="21"/>
        </w:rPr>
        <w:t>基金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的基金合同、招募说明书、产品资料概要、风险提示及相关业务规则等法律文件。 </w:t>
      </w: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5</w:t>
      </w:r>
      <w:r>
        <w:rPr>
          <w:rFonts w:ascii="宋体" w:eastAsia="宋体" w:hAnsi="宋体" w:cs="宋体"/>
          <w:color w:val="000000"/>
          <w:kern w:val="0"/>
          <w:szCs w:val="21"/>
        </w:rPr>
        <w:t>、本公告最终解释权归本公司所有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7F2190" w:rsidRDefault="007F21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风险提示：</w:t>
      </w:r>
      <w:r>
        <w:rPr>
          <w:rFonts w:ascii="宋体" w:eastAsia="宋体" w:hAnsi="宋体" w:cs="宋体"/>
          <w:color w:val="000000"/>
          <w:kern w:val="0"/>
          <w:szCs w:val="21"/>
        </w:rPr>
        <w:t>基金管理人承诺以诚实信用、勤勉尽责的原则管理和运用基金财产，但不保证基金一定盈利，也不保证最低收益。基金的过往业绩并不代表其未来表现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基金管理人管理的其他基金的业绩并不构成本基金业绩表现的保证。投资有风险，敬请投资者认真阅读基金的相关法律文件，并选择适合自身风险承受能力的投资品种进行投资。 </w:t>
      </w:r>
    </w:p>
    <w:p w:rsidR="007F2190" w:rsidRDefault="007F21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7F2190" w:rsidRDefault="00590A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国联安基金管理有限公司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br/>
      </w:r>
      <w:r>
        <w:rPr>
          <w:rFonts w:ascii="宋体" w:eastAsia="宋体" w:hAnsi="宋体" w:cs="宋体"/>
          <w:color w:val="000000"/>
          <w:kern w:val="0"/>
          <w:szCs w:val="21"/>
        </w:rPr>
        <w:t xml:space="preserve">  </w:t>
      </w:r>
      <w:r w:rsidR="00751A2C">
        <w:rPr>
          <w:rFonts w:ascii="宋体" w:eastAsia="宋体" w:hAnsi="宋体" w:cs="宋体" w:hint="eastAsia"/>
          <w:color w:val="000000"/>
          <w:kern w:val="0"/>
          <w:szCs w:val="21"/>
        </w:rPr>
        <w:t>2022年</w:t>
      </w:r>
      <w:r w:rsidR="00751A2C">
        <w:rPr>
          <w:rFonts w:ascii="宋体" w:eastAsia="宋体" w:hAnsi="宋体" w:cs="宋体"/>
          <w:color w:val="000000"/>
          <w:kern w:val="0"/>
          <w:szCs w:val="21"/>
        </w:rPr>
        <w:t>11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751A2C">
        <w:rPr>
          <w:rFonts w:ascii="宋体" w:eastAsia="宋体" w:hAnsi="宋体" w:cs="宋体"/>
          <w:color w:val="000000"/>
          <w:kern w:val="0"/>
          <w:szCs w:val="21"/>
        </w:rPr>
        <w:t>15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7F2190" w:rsidSect="00340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03" w:rsidRDefault="00ED1103" w:rsidP="00510C8F">
      <w:r>
        <w:separator/>
      </w:r>
    </w:p>
  </w:endnote>
  <w:endnote w:type="continuationSeparator" w:id="0">
    <w:p w:rsidR="00ED1103" w:rsidRDefault="00ED1103" w:rsidP="0051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03" w:rsidRDefault="00ED1103" w:rsidP="00510C8F">
      <w:r>
        <w:separator/>
      </w:r>
    </w:p>
  </w:footnote>
  <w:footnote w:type="continuationSeparator" w:id="0">
    <w:p w:rsidR="00ED1103" w:rsidRDefault="00ED1103" w:rsidP="00510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297"/>
    <w:rsid w:val="00003422"/>
    <w:rsid w:val="000155E5"/>
    <w:rsid w:val="000310CB"/>
    <w:rsid w:val="000362C0"/>
    <w:rsid w:val="000A08D8"/>
    <w:rsid w:val="001120F8"/>
    <w:rsid w:val="0015276F"/>
    <w:rsid w:val="0015288F"/>
    <w:rsid w:val="0015371D"/>
    <w:rsid w:val="001B65FC"/>
    <w:rsid w:val="001E234B"/>
    <w:rsid w:val="00213A06"/>
    <w:rsid w:val="00241596"/>
    <w:rsid w:val="002E1727"/>
    <w:rsid w:val="002E4371"/>
    <w:rsid w:val="00340491"/>
    <w:rsid w:val="00371AFB"/>
    <w:rsid w:val="003A655B"/>
    <w:rsid w:val="003B32B3"/>
    <w:rsid w:val="003D5370"/>
    <w:rsid w:val="00400C3D"/>
    <w:rsid w:val="0045312C"/>
    <w:rsid w:val="004D60C6"/>
    <w:rsid w:val="00510C8F"/>
    <w:rsid w:val="00531849"/>
    <w:rsid w:val="00537287"/>
    <w:rsid w:val="00590A97"/>
    <w:rsid w:val="005D17FE"/>
    <w:rsid w:val="005F017A"/>
    <w:rsid w:val="006021E0"/>
    <w:rsid w:val="006812DF"/>
    <w:rsid w:val="006842B1"/>
    <w:rsid w:val="006B71F2"/>
    <w:rsid w:val="006E4C0B"/>
    <w:rsid w:val="00702B54"/>
    <w:rsid w:val="00737DCC"/>
    <w:rsid w:val="00751A2C"/>
    <w:rsid w:val="007630EE"/>
    <w:rsid w:val="00777498"/>
    <w:rsid w:val="007A6B42"/>
    <w:rsid w:val="007C18BD"/>
    <w:rsid w:val="007F2190"/>
    <w:rsid w:val="008A3A41"/>
    <w:rsid w:val="008F5601"/>
    <w:rsid w:val="009024C0"/>
    <w:rsid w:val="00931595"/>
    <w:rsid w:val="00954704"/>
    <w:rsid w:val="00962DA6"/>
    <w:rsid w:val="009869D3"/>
    <w:rsid w:val="009A3C38"/>
    <w:rsid w:val="009B2273"/>
    <w:rsid w:val="009D1549"/>
    <w:rsid w:val="009F6207"/>
    <w:rsid w:val="00A56766"/>
    <w:rsid w:val="00A61212"/>
    <w:rsid w:val="00A67446"/>
    <w:rsid w:val="00A84C1A"/>
    <w:rsid w:val="00AA3135"/>
    <w:rsid w:val="00AC6B81"/>
    <w:rsid w:val="00AF1C79"/>
    <w:rsid w:val="00AF357A"/>
    <w:rsid w:val="00AF5BF7"/>
    <w:rsid w:val="00B204AB"/>
    <w:rsid w:val="00B21694"/>
    <w:rsid w:val="00B22F1F"/>
    <w:rsid w:val="00B24B89"/>
    <w:rsid w:val="00B308EA"/>
    <w:rsid w:val="00B541AC"/>
    <w:rsid w:val="00B80C69"/>
    <w:rsid w:val="00BB5E64"/>
    <w:rsid w:val="00BC3C52"/>
    <w:rsid w:val="00BF7172"/>
    <w:rsid w:val="00C2754B"/>
    <w:rsid w:val="00C33B7D"/>
    <w:rsid w:val="00C44BB8"/>
    <w:rsid w:val="00C9289A"/>
    <w:rsid w:val="00CE7A6E"/>
    <w:rsid w:val="00CF5BB9"/>
    <w:rsid w:val="00D50D68"/>
    <w:rsid w:val="00DB438C"/>
    <w:rsid w:val="00DD28A4"/>
    <w:rsid w:val="00E15CC2"/>
    <w:rsid w:val="00ED1103"/>
    <w:rsid w:val="00EF507E"/>
    <w:rsid w:val="00F01297"/>
    <w:rsid w:val="00F47A79"/>
    <w:rsid w:val="00F81CA9"/>
    <w:rsid w:val="00F91F8C"/>
    <w:rsid w:val="00F93116"/>
    <w:rsid w:val="00FB7CD3"/>
    <w:rsid w:val="00FC44EF"/>
    <w:rsid w:val="7D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40491"/>
    <w:pPr>
      <w:jc w:val="left"/>
    </w:pPr>
  </w:style>
  <w:style w:type="paragraph" w:styleId="a4">
    <w:name w:val="footer"/>
    <w:basedOn w:val="a"/>
    <w:link w:val="Char0"/>
    <w:uiPriority w:val="99"/>
    <w:unhideWhenUsed/>
    <w:rsid w:val="0034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4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3404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sid w:val="00340491"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sid w:val="00340491"/>
    <w:rPr>
      <w:sz w:val="21"/>
      <w:szCs w:val="21"/>
    </w:rPr>
  </w:style>
  <w:style w:type="character" w:customStyle="1" w:styleId="HTMLChar">
    <w:name w:val="HTML 预设格式 Char"/>
    <w:basedOn w:val="a0"/>
    <w:link w:val="HTML"/>
    <w:uiPriority w:val="99"/>
    <w:semiHidden/>
    <w:rsid w:val="00340491"/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4049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3404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491"/>
    <w:rPr>
      <w:sz w:val="18"/>
      <w:szCs w:val="18"/>
    </w:rPr>
  </w:style>
  <w:style w:type="paragraph" w:customStyle="1" w:styleId="1">
    <w:name w:val="修订1"/>
    <w:hidden/>
    <w:uiPriority w:val="99"/>
    <w:semiHidden/>
    <w:rsid w:val="00340491"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rsid w:val="00340491"/>
  </w:style>
  <w:style w:type="character" w:customStyle="1" w:styleId="Char2">
    <w:name w:val="批注主题 Char"/>
    <w:basedOn w:val="Char"/>
    <w:link w:val="a6"/>
    <w:uiPriority w:val="99"/>
    <w:semiHidden/>
    <w:rsid w:val="00340491"/>
    <w:rPr>
      <w:b/>
      <w:bCs/>
    </w:rPr>
  </w:style>
  <w:style w:type="paragraph" w:styleId="a9">
    <w:name w:val="Revision"/>
    <w:hidden/>
    <w:uiPriority w:val="99"/>
    <w:semiHidden/>
    <w:rsid w:val="00590A9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1532</Characters>
  <Application>Microsoft Office Word</Application>
  <DocSecurity>4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吴有生</dc:creator>
  <cp:lastModifiedBy>ZHONGM</cp:lastModifiedBy>
  <cp:revision>2</cp:revision>
  <dcterms:created xsi:type="dcterms:W3CDTF">2022-11-14T16:00:00Z</dcterms:created>
  <dcterms:modified xsi:type="dcterms:W3CDTF">2022-11-14T16:00:00Z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