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bookmarkStart w:id="0" w:name="_GoBack"/>
      <w:bookmarkEnd w:id="0"/>
      <w:r>
        <w:rPr>
          <w:rFonts w:asciiTheme="minorEastAsia" w:eastAsiaTheme="minorEastAsia" w:hAnsiTheme="minorEastAsia" w:cs="宋体" w:hint="eastAsia"/>
          <w:b/>
          <w:color w:val="000000"/>
        </w:rPr>
        <w:t>中银基金管理有限公司关于新增</w:t>
      </w:r>
      <w:r w:rsidR="008C1ACE" w:rsidRPr="008C1ACE">
        <w:rPr>
          <w:rFonts w:asciiTheme="minorEastAsia" w:eastAsiaTheme="minorEastAsia" w:hAnsiTheme="minorEastAsia" w:cs="宋体" w:hint="eastAsia"/>
          <w:b/>
          <w:color w:val="000000"/>
        </w:rPr>
        <w:t>上海攀赢基金销售有限公司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为旗下部分基金销售机构的公告</w:t>
      </w:r>
    </w:p>
    <w:p w:rsidR="00B81B36"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为更好地为投资者提供服务，经与</w:t>
      </w:r>
      <w:r w:rsidR="008C1ACE" w:rsidRPr="008C1ACE">
        <w:rPr>
          <w:rFonts w:asciiTheme="minorEastAsia" w:eastAsiaTheme="minorEastAsia" w:hAnsiTheme="minorEastAsia" w:cs="宋体" w:hint="eastAsia"/>
          <w:sz w:val="21"/>
          <w:szCs w:val="21"/>
        </w:rPr>
        <w:t>上海攀赢基金销售有限公司</w:t>
      </w:r>
      <w:r>
        <w:rPr>
          <w:rFonts w:asciiTheme="minorEastAsia" w:eastAsiaTheme="minorEastAsia" w:hAnsiTheme="minorEastAsia" w:cs="宋体"/>
          <w:sz w:val="21"/>
          <w:szCs w:val="21"/>
        </w:rPr>
        <w:t>（以下简称</w:t>
      </w:r>
      <w:r>
        <w:rPr>
          <w:rFonts w:asciiTheme="minorEastAsia" w:eastAsiaTheme="minorEastAsia" w:hAnsiTheme="minorEastAsia" w:cs="宋体" w:hint="eastAsia"/>
          <w:sz w:val="21"/>
          <w:szCs w:val="21"/>
        </w:rPr>
        <w:t>“</w:t>
      </w:r>
      <w:r w:rsidR="008C1ACE" w:rsidRPr="008C1ACE">
        <w:rPr>
          <w:rFonts w:asciiTheme="minorEastAsia" w:eastAsiaTheme="minorEastAsia" w:hAnsiTheme="minorEastAsia" w:cs="宋体" w:hint="eastAsia"/>
          <w:sz w:val="21"/>
          <w:szCs w:val="21"/>
        </w:rPr>
        <w:t>攀赢基金</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）协商，中银基金管理有限公司（以下简称</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本公司</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）决定自</w:t>
      </w:r>
      <w:r w:rsidR="00DE357B">
        <w:rPr>
          <w:rFonts w:asciiTheme="minorEastAsia" w:eastAsiaTheme="minorEastAsia" w:hAnsiTheme="minorEastAsia" w:cs="宋体"/>
          <w:sz w:val="21"/>
          <w:szCs w:val="21"/>
        </w:rPr>
        <w:t>2022</w:t>
      </w:r>
      <w:r>
        <w:rPr>
          <w:rFonts w:asciiTheme="minorEastAsia" w:eastAsiaTheme="minorEastAsia" w:hAnsiTheme="minorEastAsia" w:cs="宋体"/>
          <w:sz w:val="21"/>
          <w:szCs w:val="21"/>
        </w:rPr>
        <w:t>年</w:t>
      </w:r>
      <w:r w:rsidR="009641EE">
        <w:rPr>
          <w:rFonts w:asciiTheme="minorEastAsia" w:eastAsiaTheme="minorEastAsia" w:hAnsiTheme="minorEastAsia" w:cs="宋体"/>
          <w:sz w:val="21"/>
          <w:szCs w:val="21"/>
        </w:rPr>
        <w:t>11</w:t>
      </w:r>
      <w:r w:rsidR="009641EE">
        <w:rPr>
          <w:rFonts w:asciiTheme="minorEastAsia" w:eastAsiaTheme="minorEastAsia" w:hAnsiTheme="minorEastAsia" w:cs="宋体" w:hint="eastAsia"/>
          <w:sz w:val="21"/>
          <w:szCs w:val="21"/>
        </w:rPr>
        <w:t>月</w:t>
      </w:r>
      <w:r w:rsidR="008C1ACE">
        <w:rPr>
          <w:rFonts w:asciiTheme="minorEastAsia" w:eastAsiaTheme="minorEastAsia" w:hAnsiTheme="minorEastAsia" w:cs="宋体" w:hint="eastAsia"/>
          <w:sz w:val="21"/>
          <w:szCs w:val="21"/>
        </w:rPr>
        <w:t>1</w:t>
      </w:r>
      <w:r w:rsidR="008C1ACE">
        <w:rPr>
          <w:rFonts w:asciiTheme="minorEastAsia" w:eastAsiaTheme="minorEastAsia" w:hAnsiTheme="minorEastAsia" w:cs="宋体"/>
          <w:sz w:val="21"/>
          <w:szCs w:val="21"/>
        </w:rPr>
        <w:t>4</w:t>
      </w:r>
      <w:r w:rsidR="00AA6675">
        <w:rPr>
          <w:rFonts w:asciiTheme="minorEastAsia" w:eastAsiaTheme="minorEastAsia" w:hAnsiTheme="minorEastAsia" w:cs="宋体"/>
          <w:sz w:val="21"/>
          <w:szCs w:val="21"/>
        </w:rPr>
        <w:t>日</w:t>
      </w:r>
      <w:r>
        <w:rPr>
          <w:rFonts w:asciiTheme="minorEastAsia" w:eastAsiaTheme="minorEastAsia" w:hAnsiTheme="minorEastAsia" w:cs="宋体"/>
          <w:sz w:val="21"/>
          <w:szCs w:val="21"/>
        </w:rPr>
        <w:t>起正式办理本公司旗下部分基金的销售及相关业务。</w:t>
      </w:r>
      <w:r w:rsidR="00103F15" w:rsidRPr="00103F15">
        <w:rPr>
          <w:rFonts w:asciiTheme="minorEastAsia" w:eastAsiaTheme="minorEastAsia" w:hAnsiTheme="minorEastAsia" w:cs="宋体" w:hint="eastAsia"/>
          <w:sz w:val="21"/>
          <w:szCs w:val="21"/>
        </w:rPr>
        <w:t>具体业务规则、费率优惠活动内容及办理程序等相关规则以</w:t>
      </w:r>
      <w:r w:rsidR="008C1ACE" w:rsidRPr="008C1ACE">
        <w:rPr>
          <w:rFonts w:asciiTheme="minorEastAsia" w:eastAsiaTheme="minorEastAsia" w:hAnsiTheme="minorEastAsia" w:cs="宋体" w:hint="eastAsia"/>
          <w:sz w:val="21"/>
          <w:szCs w:val="21"/>
        </w:rPr>
        <w:t>攀赢基金</w:t>
      </w:r>
      <w:r w:rsidR="00103F15" w:rsidRPr="00103F15">
        <w:rPr>
          <w:rFonts w:asciiTheme="minorEastAsia" w:eastAsiaTheme="minorEastAsia" w:hAnsiTheme="minorEastAsia" w:cs="宋体" w:hint="eastAsia"/>
          <w:sz w:val="21"/>
          <w:szCs w:val="21"/>
        </w:rPr>
        <w:t>的规定为准，</w:t>
      </w:r>
      <w:r>
        <w:rPr>
          <w:rFonts w:asciiTheme="minorEastAsia" w:eastAsiaTheme="minorEastAsia" w:hAnsiTheme="minorEastAsia" w:cs="宋体"/>
          <w:sz w:val="21"/>
          <w:szCs w:val="21"/>
        </w:rPr>
        <w:t>现将具体有关事项公告如下：</w:t>
      </w:r>
    </w:p>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Style w:val="ac"/>
        <w:tblW w:w="0" w:type="auto"/>
        <w:jc w:val="center"/>
        <w:tblLook w:val="04A0"/>
      </w:tblPr>
      <w:tblGrid>
        <w:gridCol w:w="1696"/>
        <w:gridCol w:w="6237"/>
      </w:tblGrid>
      <w:tr w:rsidR="00262CBA" w:rsidRPr="00262CBA" w:rsidTr="00ED4200">
        <w:trPr>
          <w:trHeight w:val="270"/>
          <w:jc w:val="center"/>
        </w:trPr>
        <w:tc>
          <w:tcPr>
            <w:tcW w:w="1696"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基金代码</w:t>
            </w:r>
          </w:p>
        </w:tc>
        <w:tc>
          <w:tcPr>
            <w:tcW w:w="6237"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基金全称</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000057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中银消费主题混合型证券投资基金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000120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中银美丽中国混合型证券投资基金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000190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中银新回报灵活配置混合型证券投资基金A类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000305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中银中高等级债券型证券投资基金A类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000372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中银惠利纯债半年定期开放债券型证券投资基金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000432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中银优秀企业混合型证券投资基金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004548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中银中高等级债券型证券投资基金C类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005852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007100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中银稳健添利债券型发起式证券投资基金E类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008146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中银添瑞6个月定期开放债券型证券投资基金A类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008147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中银添瑞6个月定期开放债券型证券投资基金C类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008936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中银产业债债券型证券投资基金C类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010083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中银欣享利率债债券型证券投资基金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010172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中银新回报灵活配置混合型证券投资基金C类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010871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中银信用增利债券型证券投资基金（LOF）C类</w:t>
            </w:r>
          </w:p>
        </w:tc>
      </w:tr>
      <w:tr w:rsidR="00262CBA" w:rsidRPr="00262CBA" w:rsidTr="00ED4200">
        <w:trPr>
          <w:trHeight w:val="270"/>
          <w:jc w:val="center"/>
        </w:trPr>
        <w:tc>
          <w:tcPr>
            <w:tcW w:w="1696"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012236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中银持续增长混合型证券投资基金C类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012631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中银行业优选灵活配置混合型证券投资基金C类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014505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中银收益混合型证券投资基金C类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014537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中银中国精选混合型开放式证券投资基金（LOF）C类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015365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中银动态策略混合型证券投资基金C类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015386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中银主题策略混合型证券投资基金C类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中银中国精选混合型开放式证券投资基金（LOF）A类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中银货币市场证券投资基金A类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中银持续增长混合型证券投资基金A类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163804</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中银收益混合型证券投资基金A类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中银动态策略混合型证券投资基金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中银稳健增利债券型证券投资基金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中银行业优选灵活配置混合型证券投资基金A类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中银中证100指数增强型证券投资基金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中银蓝筹精选灵活配置混合型证券投资基金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lastRenderedPageBreak/>
              <w:t>163810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中银价值精选灵活配置混合型证券投资基金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中银稳健双利债券型证券投资基金A类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中银稳健双利债券型证券投资基金B类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中银全球策略证券投资基金（FOF）</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中银转债增强债券型证券投资基金A类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中银转债增强债券型证券投资基金B类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中银中小盘成长混合型证券投资基金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中银信用增利债券型证券投资基金（LOF）A类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中银货币市场证券投资基金B类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中银沪深300等权重指数证券投资基金（LOF）</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中银主题策略混合型证券投资基金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中银稳健策略灵活配置混合型证券投资基金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中银互利半年定期开放债券型证券投资基金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中银产业债债券型证券投资基金A类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中银纯债债券型证券投资基金A类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中银纯债债券型证券投资基金C类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380010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中银聚享债券型证券投资基金A类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380011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中银聚享债券型证券投资基金B类</w:t>
            </w:r>
          </w:p>
        </w:tc>
      </w:tr>
    </w:tbl>
    <w:p w:rsidR="00E63BCC" w:rsidRPr="009641EE" w:rsidRDefault="00E63BCC">
      <w:pPr>
        <w:rPr>
          <w:rFonts w:asciiTheme="minorEastAsia" w:hAnsiTheme="minorEastAsia"/>
          <w:szCs w:val="21"/>
        </w:rPr>
      </w:pPr>
    </w:p>
    <w:p w:rsidR="00B81B36" w:rsidRDefault="00173276">
      <w:pPr>
        <w:pStyle w:val="a9"/>
        <w:numPr>
          <w:ilvl w:val="255"/>
          <w:numId w:val="0"/>
        </w:numPr>
        <w:tabs>
          <w:tab w:val="left" w:pos="851"/>
        </w:tabs>
        <w:spacing w:line="360" w:lineRule="auto"/>
        <w:rPr>
          <w:rFonts w:ascii="宋体" w:eastAsia="宋体" w:hAnsi="宋体"/>
          <w:color w:val="000000"/>
          <w:sz w:val="24"/>
          <w:szCs w:val="24"/>
        </w:rPr>
      </w:pPr>
      <w:r>
        <w:rPr>
          <w:rFonts w:asciiTheme="minorEastAsia" w:hAnsiTheme="minorEastAsia" w:cs="宋体" w:hint="eastAsia"/>
          <w:b/>
          <w:color w:val="000000"/>
          <w:szCs w:val="21"/>
        </w:rPr>
        <w:t xml:space="preserve">    二、投资者可以通过以下途径咨询有关详情：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8C1ACE" w:rsidRPr="008C1ACE">
        <w:rPr>
          <w:rFonts w:asciiTheme="minorEastAsia" w:eastAsiaTheme="minorEastAsia" w:hAnsiTheme="minorEastAsia" w:cs="宋体" w:hint="eastAsia"/>
          <w:sz w:val="21"/>
          <w:szCs w:val="21"/>
        </w:rPr>
        <w:t>上海攀赢基金销售有限公司</w:t>
      </w:r>
      <w:r>
        <w:rPr>
          <w:rFonts w:asciiTheme="minorEastAsia" w:eastAsiaTheme="minorEastAsia" w:hAnsiTheme="minorEastAsia" w:cs="宋体"/>
          <w:sz w:val="21"/>
          <w:szCs w:val="21"/>
        </w:rPr>
        <w:t xml:space="preserve">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客户服务电话：</w:t>
      </w:r>
      <w:r w:rsidR="008C1ACE" w:rsidRPr="008C1ACE">
        <w:rPr>
          <w:rFonts w:asciiTheme="minorEastAsia" w:eastAsiaTheme="minorEastAsia" w:hAnsiTheme="minorEastAsia" w:cs="宋体"/>
          <w:sz w:val="21"/>
          <w:szCs w:val="21"/>
        </w:rPr>
        <w:t>021-68889082</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公司网站：</w:t>
      </w:r>
      <w:r w:rsidR="008C1ACE" w:rsidRPr="008C1ACE">
        <w:rPr>
          <w:rFonts w:asciiTheme="minorEastAsia" w:eastAsiaTheme="minorEastAsia" w:hAnsiTheme="minorEastAsia" w:cs="宋体"/>
          <w:sz w:val="21"/>
          <w:szCs w:val="21"/>
        </w:rPr>
        <w:t>www.pytz.cn</w:t>
      </w:r>
    </w:p>
    <w:p w:rsidR="00B81B36" w:rsidRPr="001C0C56" w:rsidRDefault="00B81B36" w:rsidP="00E63BCC">
      <w:pPr>
        <w:pStyle w:val="CM4"/>
        <w:spacing w:line="360" w:lineRule="auto"/>
        <w:ind w:right="105"/>
        <w:rPr>
          <w:rFonts w:asciiTheme="minorEastAsia" w:eastAsiaTheme="minorEastAsia" w:hAnsiTheme="minorEastAsia" w:cs="宋体"/>
          <w:sz w:val="21"/>
          <w:szCs w:val="21"/>
        </w:rPr>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风险提示：</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w:t>
      </w:r>
      <w:r w:rsidR="00835BBB" w:rsidRPr="00835BBB">
        <w:rPr>
          <w:rFonts w:asciiTheme="minorEastAsia" w:eastAsiaTheme="minorEastAsia" w:hAnsiTheme="minorEastAsia" w:cs="宋体" w:hint="eastAsia"/>
          <w:sz w:val="21"/>
          <w:szCs w:val="21"/>
        </w:rPr>
        <w:t>投资于货币市场基金并不等同于将资金作为存款存放在银行或存款类金融机构。</w:t>
      </w:r>
      <w:r>
        <w:rPr>
          <w:rFonts w:asciiTheme="minorEastAsia" w:eastAsiaTheme="minorEastAsia" w:hAnsiTheme="minorEastAsia" w:cs="宋体" w:hint="eastAsia"/>
          <w:sz w:val="21"/>
          <w:szCs w:val="21"/>
        </w:rPr>
        <w:t>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w:t>
      </w:r>
      <w:r>
        <w:rPr>
          <w:rFonts w:asciiTheme="minorEastAsia" w:eastAsiaTheme="minorEastAsia" w:hAnsiTheme="minorEastAsia" w:cs="宋体" w:hint="eastAsia"/>
          <w:sz w:val="21"/>
          <w:szCs w:val="21"/>
        </w:rPr>
        <w:lastRenderedPageBreak/>
        <w:t>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B81B36">
      <w:pPr>
        <w:ind w:firstLineChars="200" w:firstLine="420"/>
        <w:rPr>
          <w:rFonts w:asciiTheme="minorEastAsia" w:hAnsiTheme="minorEastAsia"/>
          <w:szCs w:val="21"/>
        </w:rPr>
      </w:pP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Default="001C0C56">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w:t>
      </w:r>
      <w:r>
        <w:rPr>
          <w:rFonts w:asciiTheme="minorEastAsia" w:eastAsiaTheme="minorEastAsia" w:hAnsiTheme="minorEastAsia"/>
          <w:color w:val="auto"/>
          <w:sz w:val="21"/>
          <w:szCs w:val="21"/>
        </w:rPr>
        <w:t>2</w:t>
      </w:r>
      <w:r w:rsidR="00173276">
        <w:rPr>
          <w:rFonts w:asciiTheme="minorEastAsia" w:eastAsiaTheme="minorEastAsia" w:hAnsiTheme="minorEastAsia" w:hint="eastAsia"/>
          <w:color w:val="auto"/>
          <w:sz w:val="21"/>
          <w:szCs w:val="21"/>
        </w:rPr>
        <w:t>年</w:t>
      </w:r>
      <w:r w:rsidR="002D11B8">
        <w:rPr>
          <w:rFonts w:asciiTheme="minorEastAsia" w:eastAsiaTheme="minorEastAsia" w:hAnsiTheme="minorEastAsia"/>
          <w:color w:val="auto"/>
          <w:sz w:val="21"/>
          <w:szCs w:val="21"/>
        </w:rPr>
        <w:t>11</w:t>
      </w:r>
      <w:r w:rsidR="00AA6675">
        <w:rPr>
          <w:rFonts w:asciiTheme="minorEastAsia" w:eastAsiaTheme="minorEastAsia" w:hAnsiTheme="minorEastAsia"/>
          <w:color w:val="auto"/>
          <w:sz w:val="21"/>
          <w:szCs w:val="21"/>
        </w:rPr>
        <w:t>月</w:t>
      </w:r>
      <w:r w:rsidR="008C1ACE">
        <w:rPr>
          <w:rFonts w:asciiTheme="minorEastAsia" w:eastAsiaTheme="minorEastAsia" w:hAnsiTheme="minorEastAsia" w:hint="eastAsia"/>
          <w:color w:val="auto"/>
          <w:sz w:val="21"/>
          <w:szCs w:val="21"/>
        </w:rPr>
        <w:t>1</w:t>
      </w:r>
      <w:r w:rsidR="00262CBA">
        <w:rPr>
          <w:rFonts w:asciiTheme="minorEastAsia" w:eastAsiaTheme="minorEastAsia" w:hAnsiTheme="minorEastAsia"/>
          <w:color w:val="auto"/>
          <w:sz w:val="21"/>
          <w:szCs w:val="21"/>
        </w:rPr>
        <w:t>4</w:t>
      </w:r>
      <w:r w:rsidR="00AA6675">
        <w:rPr>
          <w:rFonts w:asciiTheme="minorEastAsia" w:eastAsiaTheme="minorEastAsia" w:hAnsiTheme="minorEastAsia"/>
          <w:color w:val="auto"/>
          <w:sz w:val="21"/>
          <w:szCs w:val="21"/>
        </w:rPr>
        <w:t>日</w:t>
      </w:r>
    </w:p>
    <w:p w:rsidR="00B81B36" w:rsidRDefault="00B81B36"/>
    <w:sectPr w:rsidR="00B81B36" w:rsidSect="001566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E1" w:rsidRDefault="00E81CE1" w:rsidP="00DE357B">
      <w:r>
        <w:separator/>
      </w:r>
    </w:p>
  </w:endnote>
  <w:endnote w:type="continuationSeparator" w:id="0">
    <w:p w:rsidR="00E81CE1" w:rsidRDefault="00E81CE1"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E1" w:rsidRDefault="00E81CE1" w:rsidP="00DE357B">
      <w:r>
        <w:separator/>
      </w:r>
    </w:p>
  </w:footnote>
  <w:footnote w:type="continuationSeparator" w:id="0">
    <w:p w:rsidR="00E81CE1" w:rsidRDefault="00E81CE1"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6171"/>
    <w:rsid w:val="0003214D"/>
    <w:rsid w:val="0003234D"/>
    <w:rsid w:val="00032C09"/>
    <w:rsid w:val="00034BF2"/>
    <w:rsid w:val="00036649"/>
    <w:rsid w:val="00042DD3"/>
    <w:rsid w:val="00054263"/>
    <w:rsid w:val="00061BC0"/>
    <w:rsid w:val="00076E0F"/>
    <w:rsid w:val="00092E4C"/>
    <w:rsid w:val="000C4AB2"/>
    <w:rsid w:val="000F7B99"/>
    <w:rsid w:val="00103F15"/>
    <w:rsid w:val="00104810"/>
    <w:rsid w:val="00115ACD"/>
    <w:rsid w:val="0014129B"/>
    <w:rsid w:val="00156653"/>
    <w:rsid w:val="001705B2"/>
    <w:rsid w:val="00172A27"/>
    <w:rsid w:val="00173276"/>
    <w:rsid w:val="0018320E"/>
    <w:rsid w:val="001A173D"/>
    <w:rsid w:val="001A32E5"/>
    <w:rsid w:val="001B3E65"/>
    <w:rsid w:val="001B607F"/>
    <w:rsid w:val="001C0C56"/>
    <w:rsid w:val="001D422A"/>
    <w:rsid w:val="002037A8"/>
    <w:rsid w:val="0023085C"/>
    <w:rsid w:val="002350D0"/>
    <w:rsid w:val="00243C0F"/>
    <w:rsid w:val="00262CBA"/>
    <w:rsid w:val="002C169B"/>
    <w:rsid w:val="002D11B8"/>
    <w:rsid w:val="002D43F7"/>
    <w:rsid w:val="0031350B"/>
    <w:rsid w:val="00391F37"/>
    <w:rsid w:val="003E0689"/>
    <w:rsid w:val="003E6D75"/>
    <w:rsid w:val="003F6A8E"/>
    <w:rsid w:val="004715E6"/>
    <w:rsid w:val="004728C9"/>
    <w:rsid w:val="0049343A"/>
    <w:rsid w:val="004C18B9"/>
    <w:rsid w:val="004C6E47"/>
    <w:rsid w:val="004D6BF6"/>
    <w:rsid w:val="004E2529"/>
    <w:rsid w:val="004E3600"/>
    <w:rsid w:val="00526288"/>
    <w:rsid w:val="005402CF"/>
    <w:rsid w:val="00540943"/>
    <w:rsid w:val="00557D18"/>
    <w:rsid w:val="00561AA1"/>
    <w:rsid w:val="005B0AAD"/>
    <w:rsid w:val="00624760"/>
    <w:rsid w:val="006268C1"/>
    <w:rsid w:val="00636B0D"/>
    <w:rsid w:val="006442F6"/>
    <w:rsid w:val="006716B2"/>
    <w:rsid w:val="006A47A6"/>
    <w:rsid w:val="006B4063"/>
    <w:rsid w:val="006B5C1A"/>
    <w:rsid w:val="006D5FB8"/>
    <w:rsid w:val="0070453A"/>
    <w:rsid w:val="00722101"/>
    <w:rsid w:val="00731E8B"/>
    <w:rsid w:val="007339D1"/>
    <w:rsid w:val="00744F06"/>
    <w:rsid w:val="007509FF"/>
    <w:rsid w:val="0075251E"/>
    <w:rsid w:val="007A0292"/>
    <w:rsid w:val="007A12CD"/>
    <w:rsid w:val="007A7AA8"/>
    <w:rsid w:val="007E4F64"/>
    <w:rsid w:val="007E74EB"/>
    <w:rsid w:val="007F550B"/>
    <w:rsid w:val="00835BBB"/>
    <w:rsid w:val="008546E9"/>
    <w:rsid w:val="00884131"/>
    <w:rsid w:val="008A35FD"/>
    <w:rsid w:val="008C1ACE"/>
    <w:rsid w:val="008D7D71"/>
    <w:rsid w:val="008E175B"/>
    <w:rsid w:val="0091105E"/>
    <w:rsid w:val="00914AF2"/>
    <w:rsid w:val="00950164"/>
    <w:rsid w:val="009641EE"/>
    <w:rsid w:val="00966ECC"/>
    <w:rsid w:val="009869C8"/>
    <w:rsid w:val="009D5926"/>
    <w:rsid w:val="00A0081D"/>
    <w:rsid w:val="00A22C6C"/>
    <w:rsid w:val="00A32C13"/>
    <w:rsid w:val="00A32F3B"/>
    <w:rsid w:val="00A82AD0"/>
    <w:rsid w:val="00A95CF5"/>
    <w:rsid w:val="00AA6675"/>
    <w:rsid w:val="00AF35CA"/>
    <w:rsid w:val="00B20BAD"/>
    <w:rsid w:val="00B55B77"/>
    <w:rsid w:val="00B730ED"/>
    <w:rsid w:val="00B81B36"/>
    <w:rsid w:val="00BB2CB2"/>
    <w:rsid w:val="00BC65B9"/>
    <w:rsid w:val="00BD3725"/>
    <w:rsid w:val="00BD4F7A"/>
    <w:rsid w:val="00C11BCF"/>
    <w:rsid w:val="00C60E21"/>
    <w:rsid w:val="00C65C9F"/>
    <w:rsid w:val="00C704FF"/>
    <w:rsid w:val="00C767C5"/>
    <w:rsid w:val="00CA5ED8"/>
    <w:rsid w:val="00CC1864"/>
    <w:rsid w:val="00CC35FA"/>
    <w:rsid w:val="00CD2032"/>
    <w:rsid w:val="00CF5EFD"/>
    <w:rsid w:val="00D02CC9"/>
    <w:rsid w:val="00D075DC"/>
    <w:rsid w:val="00D22F99"/>
    <w:rsid w:val="00D44E56"/>
    <w:rsid w:val="00D61851"/>
    <w:rsid w:val="00D928C4"/>
    <w:rsid w:val="00D93905"/>
    <w:rsid w:val="00DA5E82"/>
    <w:rsid w:val="00DB1DC5"/>
    <w:rsid w:val="00DB4748"/>
    <w:rsid w:val="00DB52FF"/>
    <w:rsid w:val="00DE357B"/>
    <w:rsid w:val="00DF7CD9"/>
    <w:rsid w:val="00E42C8B"/>
    <w:rsid w:val="00E448B9"/>
    <w:rsid w:val="00E46660"/>
    <w:rsid w:val="00E63BCC"/>
    <w:rsid w:val="00E65A73"/>
    <w:rsid w:val="00E81CE1"/>
    <w:rsid w:val="00E93E42"/>
    <w:rsid w:val="00EC67DF"/>
    <w:rsid w:val="00ED4200"/>
    <w:rsid w:val="00ED5DE3"/>
    <w:rsid w:val="00EE3E9D"/>
    <w:rsid w:val="00EE741F"/>
    <w:rsid w:val="00EE7CFF"/>
    <w:rsid w:val="00F15DDC"/>
    <w:rsid w:val="00F613A9"/>
    <w:rsid w:val="00F96187"/>
    <w:rsid w:val="00FA4625"/>
    <w:rsid w:val="00FA55C0"/>
    <w:rsid w:val="00FA7693"/>
    <w:rsid w:val="00FC4429"/>
    <w:rsid w:val="00FC6E93"/>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56653"/>
    <w:pPr>
      <w:jc w:val="left"/>
    </w:pPr>
  </w:style>
  <w:style w:type="paragraph" w:styleId="a4">
    <w:name w:val="Balloon Text"/>
    <w:basedOn w:val="a"/>
    <w:link w:val="Char0"/>
    <w:uiPriority w:val="99"/>
    <w:semiHidden/>
    <w:unhideWhenUsed/>
    <w:qFormat/>
    <w:rsid w:val="00156653"/>
    <w:rPr>
      <w:sz w:val="18"/>
      <w:szCs w:val="18"/>
    </w:rPr>
  </w:style>
  <w:style w:type="paragraph" w:styleId="a5">
    <w:name w:val="footer"/>
    <w:basedOn w:val="a"/>
    <w:link w:val="Char1"/>
    <w:uiPriority w:val="99"/>
    <w:unhideWhenUsed/>
    <w:qFormat/>
    <w:rsid w:val="0015665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5665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156653"/>
    <w:rPr>
      <w:b/>
      <w:bCs/>
    </w:rPr>
  </w:style>
  <w:style w:type="character" w:styleId="a8">
    <w:name w:val="annotation reference"/>
    <w:basedOn w:val="a0"/>
    <w:uiPriority w:val="99"/>
    <w:semiHidden/>
    <w:unhideWhenUsed/>
    <w:qFormat/>
    <w:rsid w:val="00156653"/>
    <w:rPr>
      <w:sz w:val="21"/>
      <w:szCs w:val="21"/>
    </w:rPr>
  </w:style>
  <w:style w:type="character" w:customStyle="1" w:styleId="Char2">
    <w:name w:val="页眉 Char"/>
    <w:basedOn w:val="a0"/>
    <w:link w:val="a6"/>
    <w:uiPriority w:val="99"/>
    <w:qFormat/>
    <w:rsid w:val="00156653"/>
    <w:rPr>
      <w:sz w:val="18"/>
      <w:szCs w:val="18"/>
    </w:rPr>
  </w:style>
  <w:style w:type="character" w:customStyle="1" w:styleId="Char1">
    <w:name w:val="页脚 Char"/>
    <w:basedOn w:val="a0"/>
    <w:link w:val="a5"/>
    <w:uiPriority w:val="99"/>
    <w:qFormat/>
    <w:rsid w:val="00156653"/>
    <w:rPr>
      <w:sz w:val="18"/>
      <w:szCs w:val="18"/>
    </w:rPr>
  </w:style>
  <w:style w:type="paragraph" w:customStyle="1" w:styleId="CM5">
    <w:name w:val="CM5"/>
    <w:basedOn w:val="a"/>
    <w:next w:val="a"/>
    <w:uiPriority w:val="99"/>
    <w:qFormat/>
    <w:rsid w:val="00156653"/>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156653"/>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156653"/>
    <w:pPr>
      <w:ind w:firstLineChars="200" w:firstLine="420"/>
    </w:pPr>
  </w:style>
  <w:style w:type="paragraph" w:customStyle="1" w:styleId="CM1">
    <w:name w:val="CM1"/>
    <w:basedOn w:val="a"/>
    <w:next w:val="a"/>
    <w:uiPriority w:val="99"/>
    <w:qFormat/>
    <w:rsid w:val="00156653"/>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156653"/>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156653"/>
    <w:pPr>
      <w:spacing w:line="468" w:lineRule="atLeast"/>
    </w:pPr>
    <w:rPr>
      <w:rFonts w:cstheme="minorBidi"/>
      <w:color w:val="auto"/>
    </w:rPr>
  </w:style>
  <w:style w:type="paragraph" w:customStyle="1" w:styleId="CM3">
    <w:name w:val="CM3"/>
    <w:basedOn w:val="Default"/>
    <w:next w:val="Default"/>
    <w:uiPriority w:val="99"/>
    <w:qFormat/>
    <w:rsid w:val="00156653"/>
    <w:rPr>
      <w:rFonts w:cstheme="minorBidi"/>
      <w:color w:val="auto"/>
    </w:rPr>
  </w:style>
  <w:style w:type="paragraph" w:customStyle="1" w:styleId="CM4">
    <w:name w:val="CM4"/>
    <w:basedOn w:val="Default"/>
    <w:next w:val="Default"/>
    <w:uiPriority w:val="99"/>
    <w:qFormat/>
    <w:rsid w:val="00156653"/>
    <w:pPr>
      <w:spacing w:line="468" w:lineRule="atLeast"/>
    </w:pPr>
    <w:rPr>
      <w:rFonts w:cstheme="minorBidi"/>
      <w:color w:val="auto"/>
    </w:rPr>
  </w:style>
  <w:style w:type="character" w:customStyle="1" w:styleId="Char">
    <w:name w:val="批注文字 Char"/>
    <w:basedOn w:val="a0"/>
    <w:link w:val="a3"/>
    <w:uiPriority w:val="99"/>
    <w:semiHidden/>
    <w:qFormat/>
    <w:rsid w:val="00156653"/>
  </w:style>
  <w:style w:type="character" w:customStyle="1" w:styleId="Char3">
    <w:name w:val="批注主题 Char"/>
    <w:basedOn w:val="Char"/>
    <w:link w:val="a7"/>
    <w:uiPriority w:val="99"/>
    <w:semiHidden/>
    <w:qFormat/>
    <w:rsid w:val="00156653"/>
    <w:rPr>
      <w:b/>
      <w:bCs/>
    </w:rPr>
  </w:style>
  <w:style w:type="character" w:customStyle="1" w:styleId="Char0">
    <w:name w:val="批注框文本 Char"/>
    <w:basedOn w:val="a0"/>
    <w:link w:val="a4"/>
    <w:uiPriority w:val="99"/>
    <w:semiHidden/>
    <w:qFormat/>
    <w:rsid w:val="00156653"/>
    <w:rPr>
      <w:sz w:val="18"/>
      <w:szCs w:val="18"/>
    </w:rPr>
  </w:style>
  <w:style w:type="character" w:customStyle="1" w:styleId="font31">
    <w:name w:val="font31"/>
    <w:basedOn w:val="a0"/>
    <w:qFormat/>
    <w:rsid w:val="00156653"/>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D928C4"/>
    <w:rPr>
      <w:rFonts w:asciiTheme="minorHAnsi" w:eastAsiaTheme="minorEastAsia" w:hAnsiTheme="minorHAnsi" w:cstheme="minorBidi"/>
      <w:kern w:val="2"/>
      <w:sz w:val="21"/>
      <w:szCs w:val="22"/>
    </w:rPr>
  </w:style>
  <w:style w:type="table" w:styleId="ac">
    <w:name w:val="Table Grid"/>
    <w:basedOn w:val="a1"/>
    <w:uiPriority w:val="39"/>
    <w:rsid w:val="00262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496333924">
      <w:bodyDiv w:val="1"/>
      <w:marLeft w:val="0"/>
      <w:marRight w:val="0"/>
      <w:marTop w:val="0"/>
      <w:marBottom w:val="0"/>
      <w:divBdr>
        <w:top w:val="none" w:sz="0" w:space="0" w:color="auto"/>
        <w:left w:val="none" w:sz="0" w:space="0" w:color="auto"/>
        <w:bottom w:val="none" w:sz="0" w:space="0" w:color="auto"/>
        <w:right w:val="none" w:sz="0" w:space="0" w:color="auto"/>
      </w:divBdr>
    </w:div>
    <w:div w:id="1592813025">
      <w:bodyDiv w:val="1"/>
      <w:marLeft w:val="0"/>
      <w:marRight w:val="0"/>
      <w:marTop w:val="0"/>
      <w:marBottom w:val="0"/>
      <w:divBdr>
        <w:top w:val="none" w:sz="0" w:space="0" w:color="auto"/>
        <w:left w:val="none" w:sz="0" w:space="0" w:color="auto"/>
        <w:bottom w:val="none" w:sz="0" w:space="0" w:color="auto"/>
        <w:right w:val="none" w:sz="0" w:space="0" w:color="auto"/>
      </w:divBdr>
    </w:div>
    <w:div w:id="1594702992">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 w:id="2050840972">
      <w:bodyDiv w:val="1"/>
      <w:marLeft w:val="0"/>
      <w:marRight w:val="0"/>
      <w:marTop w:val="0"/>
      <w:marBottom w:val="0"/>
      <w:divBdr>
        <w:top w:val="none" w:sz="0" w:space="0" w:color="auto"/>
        <w:left w:val="none" w:sz="0" w:space="0" w:color="auto"/>
        <w:bottom w:val="none" w:sz="0" w:space="0" w:color="auto"/>
        <w:right w:val="none" w:sz="0" w:space="0" w:color="auto"/>
      </w:divBdr>
    </w:div>
    <w:div w:id="2090534937">
      <w:bodyDiv w:val="1"/>
      <w:marLeft w:val="0"/>
      <w:marRight w:val="0"/>
      <w:marTop w:val="0"/>
      <w:marBottom w:val="0"/>
      <w:divBdr>
        <w:top w:val="none" w:sz="0" w:space="0" w:color="auto"/>
        <w:left w:val="none" w:sz="0" w:space="0" w:color="auto"/>
        <w:bottom w:val="none" w:sz="0" w:space="0" w:color="auto"/>
        <w:right w:val="none" w:sz="0" w:space="0" w:color="auto"/>
      </w:divBdr>
    </w:div>
    <w:div w:id="213398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A4F7-B7AA-4238-AC86-064EE962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1742</Characters>
  <Application>Microsoft Office Word</Application>
  <DocSecurity>4</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任禾佳</dc:creator>
  <cp:lastModifiedBy>ZHONGM</cp:lastModifiedBy>
  <cp:revision>2</cp:revision>
  <dcterms:created xsi:type="dcterms:W3CDTF">2022-11-13T16:00:00Z</dcterms:created>
  <dcterms:modified xsi:type="dcterms:W3CDTF">2022-11-13T16:00:00Z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