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CA" w:rsidRPr="00A50D76" w:rsidRDefault="003673CA" w:rsidP="003673CA">
      <w:pPr>
        <w:jc w:val="center"/>
        <w:rPr>
          <w:rFonts w:ascii="微软雅黑" w:eastAsia="微软雅黑" w:hAnsi="微软雅黑"/>
          <w:kern w:val="0"/>
          <w:sz w:val="36"/>
          <w:szCs w:val="36"/>
        </w:rPr>
      </w:pPr>
      <w:r w:rsidRPr="00A50D76">
        <w:rPr>
          <w:rFonts w:ascii="微软雅黑" w:eastAsia="微软雅黑" w:hAnsi="微软雅黑" w:hint="eastAsia"/>
          <w:kern w:val="0"/>
          <w:sz w:val="36"/>
          <w:szCs w:val="36"/>
        </w:rPr>
        <w:t>中融基金</w:t>
      </w:r>
      <w:r w:rsidRPr="00A50D76">
        <w:rPr>
          <w:rFonts w:ascii="微软雅黑" w:eastAsia="微软雅黑" w:hAnsi="微软雅黑"/>
          <w:kern w:val="0"/>
          <w:sz w:val="36"/>
          <w:szCs w:val="36"/>
        </w:rPr>
        <w:t>管理有限公司</w:t>
      </w:r>
    </w:p>
    <w:p w:rsidR="001C5CF8" w:rsidRPr="00A50D76" w:rsidRDefault="003673CA" w:rsidP="001C5CF8">
      <w:pPr>
        <w:jc w:val="center"/>
        <w:rPr>
          <w:rFonts w:ascii="微软雅黑" w:eastAsia="微软雅黑" w:hAnsi="微软雅黑"/>
          <w:kern w:val="0"/>
          <w:sz w:val="36"/>
          <w:szCs w:val="36"/>
        </w:rPr>
      </w:pPr>
      <w:r w:rsidRPr="00A50D76">
        <w:rPr>
          <w:rFonts w:ascii="微软雅黑" w:eastAsia="微软雅黑" w:hAnsi="微软雅黑" w:hint="eastAsia"/>
          <w:kern w:val="0"/>
          <w:sz w:val="36"/>
          <w:szCs w:val="36"/>
        </w:rPr>
        <w:t>关于</w:t>
      </w:r>
      <w:r w:rsidR="000778E4" w:rsidRPr="00A50D76">
        <w:rPr>
          <w:rFonts w:ascii="微软雅黑" w:eastAsia="微软雅黑" w:hAnsi="微软雅黑" w:hint="eastAsia"/>
          <w:sz w:val="36"/>
          <w:szCs w:val="36"/>
          <w:shd w:val="clear" w:color="auto" w:fill="FFFFFF"/>
        </w:rPr>
        <w:t>中融量化智选混合型证券投资基金</w:t>
      </w:r>
    </w:p>
    <w:p w:rsidR="003673CA" w:rsidRPr="00A50D76" w:rsidRDefault="00B1141E" w:rsidP="001C5CF8">
      <w:pPr>
        <w:jc w:val="center"/>
        <w:rPr>
          <w:rFonts w:ascii="微软雅黑" w:eastAsia="微软雅黑" w:hAnsi="微软雅黑"/>
          <w:kern w:val="0"/>
          <w:sz w:val="36"/>
          <w:szCs w:val="36"/>
        </w:rPr>
      </w:pPr>
      <w:r>
        <w:rPr>
          <w:rFonts w:ascii="微软雅黑" w:eastAsia="微软雅黑" w:hAnsi="微软雅黑" w:hint="eastAsia"/>
          <w:kern w:val="0"/>
          <w:sz w:val="36"/>
          <w:szCs w:val="36"/>
        </w:rPr>
        <w:t>基金</w:t>
      </w:r>
      <w:r w:rsidR="003673CA" w:rsidRPr="00A50D76">
        <w:rPr>
          <w:rFonts w:ascii="微软雅黑" w:eastAsia="微软雅黑" w:hAnsi="微软雅黑" w:hint="eastAsia"/>
          <w:kern w:val="0"/>
          <w:sz w:val="36"/>
          <w:szCs w:val="36"/>
        </w:rPr>
        <w:t>份额持有人大会表决结果暨决议生效公告</w:t>
      </w:r>
    </w:p>
    <w:p w:rsidR="003673CA" w:rsidRDefault="003673CA" w:rsidP="003673CA">
      <w:pPr>
        <w:adjustRightInd w:val="0"/>
        <w:snapToGrid w:val="0"/>
        <w:spacing w:line="360" w:lineRule="auto"/>
        <w:ind w:firstLineChars="200" w:firstLine="420"/>
      </w:pPr>
    </w:p>
    <w:p w:rsidR="003673CA" w:rsidRPr="00715DC3" w:rsidRDefault="003673CA" w:rsidP="003673CA">
      <w:pPr>
        <w:wordWrap w:val="0"/>
        <w:adjustRightInd w:val="0"/>
        <w:snapToGrid w:val="0"/>
        <w:spacing w:line="360" w:lineRule="auto"/>
        <w:ind w:firstLineChars="200" w:firstLine="640"/>
        <w:rPr>
          <w:rFonts w:eastAsia="仿宋"/>
          <w:sz w:val="32"/>
          <w:szCs w:val="32"/>
        </w:rPr>
      </w:pPr>
      <w:r w:rsidRPr="00715DC3">
        <w:rPr>
          <w:rFonts w:eastAsia="仿宋" w:hint="eastAsia"/>
          <w:sz w:val="32"/>
          <w:szCs w:val="32"/>
        </w:rPr>
        <w:t>根据《中华人民共和国证券投资基金法》、《公开募集证券投资基金运作管理办法》等法律法规的规定和《</w:t>
      </w:r>
      <w:r w:rsidR="000778E4" w:rsidRPr="000778E4">
        <w:rPr>
          <w:rFonts w:ascii="仿宋" w:eastAsia="仿宋" w:hAnsi="仿宋" w:hint="eastAsia"/>
          <w:sz w:val="32"/>
          <w:szCs w:val="32"/>
          <w:shd w:val="clear" w:color="auto" w:fill="FFFFFF"/>
        </w:rPr>
        <w:t>中融量化智选混合型证券投资基金</w:t>
      </w:r>
      <w:r w:rsidRPr="000778E4">
        <w:rPr>
          <w:rFonts w:eastAsia="仿宋" w:hint="eastAsia"/>
          <w:sz w:val="32"/>
          <w:szCs w:val="32"/>
        </w:rPr>
        <w:t>基金</w:t>
      </w:r>
      <w:r w:rsidRPr="00715DC3">
        <w:rPr>
          <w:rFonts w:eastAsia="仿宋" w:hint="eastAsia"/>
          <w:sz w:val="32"/>
          <w:szCs w:val="32"/>
        </w:rPr>
        <w:t>合同》（以下简称</w:t>
      </w:r>
      <w:r>
        <w:rPr>
          <w:rFonts w:eastAsia="仿宋" w:hint="eastAsia"/>
          <w:sz w:val="32"/>
          <w:szCs w:val="32"/>
        </w:rPr>
        <w:t>“</w:t>
      </w:r>
      <w:r w:rsidRPr="00715DC3">
        <w:rPr>
          <w:rFonts w:eastAsia="仿宋" w:hint="eastAsia"/>
          <w:sz w:val="32"/>
          <w:szCs w:val="32"/>
        </w:rPr>
        <w:t>《基金合同》</w:t>
      </w:r>
      <w:r>
        <w:rPr>
          <w:rFonts w:eastAsia="仿宋" w:hint="eastAsia"/>
          <w:sz w:val="32"/>
          <w:szCs w:val="32"/>
        </w:rPr>
        <w:t>”</w:t>
      </w:r>
      <w:r w:rsidRPr="00715DC3">
        <w:rPr>
          <w:rFonts w:eastAsia="仿宋" w:hint="eastAsia"/>
          <w:sz w:val="32"/>
          <w:szCs w:val="32"/>
        </w:rPr>
        <w:t>）的有关</w:t>
      </w:r>
      <w:r>
        <w:rPr>
          <w:rFonts w:eastAsia="仿宋" w:hint="eastAsia"/>
          <w:sz w:val="32"/>
          <w:szCs w:val="32"/>
        </w:rPr>
        <w:t>规</w:t>
      </w:r>
      <w:r w:rsidRPr="00715DC3">
        <w:rPr>
          <w:rFonts w:eastAsia="仿宋" w:hint="eastAsia"/>
          <w:sz w:val="32"/>
          <w:szCs w:val="32"/>
        </w:rPr>
        <w:t>定，现将</w:t>
      </w:r>
      <w:r w:rsidR="000778E4" w:rsidRPr="000778E4">
        <w:rPr>
          <w:rFonts w:ascii="仿宋" w:eastAsia="仿宋" w:hAnsi="仿宋" w:hint="eastAsia"/>
          <w:sz w:val="32"/>
          <w:szCs w:val="32"/>
          <w:shd w:val="clear" w:color="auto" w:fill="FFFFFF"/>
        </w:rPr>
        <w:t>中融量化智选混合型证券投资基金</w:t>
      </w:r>
      <w:r w:rsidRPr="00715DC3">
        <w:rPr>
          <w:rFonts w:eastAsia="仿宋" w:hint="eastAsia"/>
          <w:sz w:val="32"/>
          <w:szCs w:val="32"/>
        </w:rPr>
        <w:t>（以下简称“本基金”</w:t>
      </w:r>
      <w:r>
        <w:rPr>
          <w:rFonts w:eastAsia="仿宋" w:hint="eastAsia"/>
          <w:sz w:val="32"/>
          <w:szCs w:val="32"/>
        </w:rPr>
        <w:t>）</w:t>
      </w:r>
      <w:r w:rsidRPr="00715DC3">
        <w:rPr>
          <w:rFonts w:eastAsia="仿宋" w:hint="eastAsia"/>
          <w:sz w:val="32"/>
          <w:szCs w:val="32"/>
        </w:rPr>
        <w:t>基金份额持有人大会的决议及相关事项公告如下：</w:t>
      </w:r>
    </w:p>
    <w:p w:rsidR="003673CA" w:rsidRPr="00500E51" w:rsidRDefault="003673CA" w:rsidP="001B1B88">
      <w:pPr>
        <w:adjustRightInd w:val="0"/>
        <w:snapToGrid w:val="0"/>
        <w:spacing w:line="360" w:lineRule="auto"/>
        <w:ind w:firstLineChars="200" w:firstLine="640"/>
        <w:rPr>
          <w:rFonts w:eastAsia="仿宋"/>
          <w:b/>
          <w:sz w:val="32"/>
          <w:szCs w:val="32"/>
        </w:rPr>
      </w:pPr>
      <w:r w:rsidRPr="00500E51">
        <w:rPr>
          <w:rFonts w:eastAsia="仿宋" w:hint="eastAsia"/>
          <w:b/>
          <w:sz w:val="32"/>
          <w:szCs w:val="32"/>
        </w:rPr>
        <w:t>一、本次基金份额持有人大会会议情况</w:t>
      </w:r>
    </w:p>
    <w:p w:rsidR="003673CA" w:rsidRDefault="003673CA" w:rsidP="003673CA">
      <w:pPr>
        <w:adjustRightInd w:val="0"/>
        <w:snapToGrid w:val="0"/>
        <w:spacing w:line="360" w:lineRule="auto"/>
        <w:ind w:firstLineChars="200" w:firstLine="640"/>
        <w:rPr>
          <w:rFonts w:eastAsia="仿宋"/>
          <w:sz w:val="32"/>
          <w:szCs w:val="32"/>
        </w:rPr>
      </w:pPr>
      <w:r>
        <w:rPr>
          <w:rFonts w:eastAsia="仿宋" w:cs="FangSong" w:hint="eastAsia"/>
          <w:sz w:val="32"/>
          <w:szCs w:val="32"/>
        </w:rPr>
        <w:t>中融基金管理有限公司（以下简称“基金管理人”）于</w:t>
      </w:r>
      <w:r w:rsidR="00E81E78" w:rsidRPr="00800391">
        <w:rPr>
          <w:rFonts w:eastAsia="仿宋" w:hint="eastAsia"/>
          <w:sz w:val="32"/>
          <w:szCs w:val="32"/>
        </w:rPr>
        <w:t>202</w:t>
      </w:r>
      <w:r w:rsidR="00E81E78">
        <w:rPr>
          <w:rFonts w:eastAsia="仿宋"/>
          <w:sz w:val="32"/>
          <w:szCs w:val="32"/>
        </w:rPr>
        <w:t>2</w:t>
      </w:r>
      <w:r w:rsidR="00D15AAA" w:rsidRPr="00800391">
        <w:rPr>
          <w:rFonts w:eastAsia="仿宋" w:hint="eastAsia"/>
          <w:sz w:val="32"/>
          <w:szCs w:val="32"/>
        </w:rPr>
        <w:t>年</w:t>
      </w:r>
      <w:r w:rsidR="00D45526">
        <w:rPr>
          <w:rFonts w:eastAsia="仿宋"/>
          <w:sz w:val="32"/>
          <w:szCs w:val="32"/>
        </w:rPr>
        <w:t>9</w:t>
      </w:r>
      <w:r w:rsidRPr="00800391">
        <w:rPr>
          <w:rFonts w:eastAsia="仿宋" w:hint="eastAsia"/>
          <w:sz w:val="32"/>
          <w:szCs w:val="32"/>
        </w:rPr>
        <w:t>月</w:t>
      </w:r>
      <w:r w:rsidR="00E81E78">
        <w:rPr>
          <w:rFonts w:eastAsia="仿宋"/>
          <w:sz w:val="32"/>
          <w:szCs w:val="32"/>
        </w:rPr>
        <w:t>22</w:t>
      </w:r>
      <w:r w:rsidRPr="00800391">
        <w:rPr>
          <w:rFonts w:eastAsia="仿宋" w:hint="eastAsia"/>
          <w:sz w:val="32"/>
          <w:szCs w:val="32"/>
        </w:rPr>
        <w:t>日</w:t>
      </w:r>
      <w:r w:rsidRPr="000D7D8E">
        <w:rPr>
          <w:rFonts w:eastAsia="仿宋" w:cs="FangSong" w:hint="eastAsia"/>
          <w:sz w:val="32"/>
          <w:szCs w:val="32"/>
        </w:rPr>
        <w:t>至</w:t>
      </w:r>
      <w:r w:rsidR="00E81E78" w:rsidRPr="00800391">
        <w:rPr>
          <w:rFonts w:eastAsia="仿宋" w:hint="eastAsia"/>
          <w:sz w:val="32"/>
          <w:szCs w:val="32"/>
        </w:rPr>
        <w:t>202</w:t>
      </w:r>
      <w:r w:rsidR="00E81E78">
        <w:rPr>
          <w:rFonts w:eastAsia="仿宋"/>
          <w:sz w:val="32"/>
          <w:szCs w:val="32"/>
        </w:rPr>
        <w:t>2</w:t>
      </w:r>
      <w:r w:rsidR="00D15AAA" w:rsidRPr="00800391">
        <w:rPr>
          <w:rFonts w:eastAsia="仿宋" w:hint="eastAsia"/>
          <w:sz w:val="32"/>
          <w:szCs w:val="32"/>
        </w:rPr>
        <w:t>年</w:t>
      </w:r>
      <w:r w:rsidR="00D45526">
        <w:rPr>
          <w:rFonts w:eastAsia="仿宋"/>
          <w:sz w:val="32"/>
          <w:szCs w:val="32"/>
        </w:rPr>
        <w:t>11</w:t>
      </w:r>
      <w:r w:rsidRPr="00800391">
        <w:rPr>
          <w:rFonts w:eastAsia="仿宋" w:hint="eastAsia"/>
          <w:sz w:val="32"/>
          <w:szCs w:val="32"/>
        </w:rPr>
        <w:t>月</w:t>
      </w:r>
      <w:r w:rsidR="00D45526">
        <w:rPr>
          <w:rFonts w:eastAsia="仿宋"/>
          <w:sz w:val="32"/>
          <w:szCs w:val="32"/>
        </w:rPr>
        <w:t>7</w:t>
      </w:r>
      <w:r w:rsidRPr="00800391">
        <w:rPr>
          <w:rFonts w:eastAsia="仿宋" w:hint="eastAsia"/>
          <w:sz w:val="32"/>
          <w:szCs w:val="32"/>
        </w:rPr>
        <w:t>日</w:t>
      </w:r>
      <w:r w:rsidRPr="000D7D8E">
        <w:rPr>
          <w:rFonts w:eastAsia="仿宋"/>
          <w:sz w:val="32"/>
          <w:szCs w:val="32"/>
        </w:rPr>
        <w:t>17:00</w:t>
      </w:r>
      <w:r w:rsidRPr="000D7D8E">
        <w:rPr>
          <w:rFonts w:eastAsia="仿宋" w:cs="FangSong" w:hint="eastAsia"/>
          <w:sz w:val="32"/>
          <w:szCs w:val="32"/>
        </w:rPr>
        <w:t>以通讯方式</w:t>
      </w:r>
      <w:r>
        <w:rPr>
          <w:rFonts w:eastAsia="仿宋" w:cs="FangSong" w:hint="eastAsia"/>
          <w:sz w:val="32"/>
          <w:szCs w:val="32"/>
        </w:rPr>
        <w:t>组织</w:t>
      </w:r>
      <w:r w:rsidRPr="000D7D8E">
        <w:rPr>
          <w:rFonts w:eastAsia="仿宋" w:cs="FangSong" w:hint="eastAsia"/>
          <w:sz w:val="32"/>
          <w:szCs w:val="32"/>
        </w:rPr>
        <w:t>召开</w:t>
      </w:r>
      <w:r>
        <w:rPr>
          <w:rFonts w:eastAsia="仿宋" w:cs="FangSong" w:hint="eastAsia"/>
          <w:sz w:val="32"/>
          <w:szCs w:val="32"/>
        </w:rPr>
        <w:t>了本基金的基金份额持有人大会，</w:t>
      </w:r>
      <w:r>
        <w:rPr>
          <w:rFonts w:eastAsia="仿宋" w:hint="eastAsia"/>
          <w:sz w:val="32"/>
          <w:szCs w:val="32"/>
        </w:rPr>
        <w:t>会议</w:t>
      </w:r>
      <w:r w:rsidRPr="00715DC3">
        <w:rPr>
          <w:rFonts w:eastAsia="仿宋" w:hint="eastAsia"/>
          <w:sz w:val="32"/>
          <w:szCs w:val="32"/>
        </w:rPr>
        <w:t>审议了《</w:t>
      </w:r>
      <w:r w:rsidRPr="00800391">
        <w:rPr>
          <w:rFonts w:eastAsia="仿宋" w:hint="eastAsia"/>
          <w:sz w:val="32"/>
          <w:szCs w:val="32"/>
        </w:rPr>
        <w:t>关于终止</w:t>
      </w:r>
      <w:r w:rsidR="00D45526" w:rsidRPr="000778E4">
        <w:rPr>
          <w:rFonts w:ascii="仿宋" w:eastAsia="仿宋" w:hAnsi="仿宋" w:hint="eastAsia"/>
          <w:sz w:val="32"/>
          <w:szCs w:val="32"/>
          <w:shd w:val="clear" w:color="auto" w:fill="FFFFFF"/>
        </w:rPr>
        <w:t>中融量化智选混合型证券投资基金</w:t>
      </w:r>
      <w:r w:rsidRPr="00800391">
        <w:rPr>
          <w:rFonts w:eastAsia="仿宋" w:hint="eastAsia"/>
          <w:sz w:val="32"/>
          <w:szCs w:val="32"/>
        </w:rPr>
        <w:t>基金合同有关事项的议案</w:t>
      </w:r>
      <w:r w:rsidRPr="00715DC3">
        <w:rPr>
          <w:rFonts w:eastAsia="仿宋" w:hint="eastAsia"/>
          <w:sz w:val="32"/>
          <w:szCs w:val="32"/>
        </w:rPr>
        <w:t>》（以下简称</w:t>
      </w:r>
      <w:r>
        <w:rPr>
          <w:rFonts w:eastAsia="仿宋" w:hint="eastAsia"/>
          <w:sz w:val="32"/>
          <w:szCs w:val="32"/>
        </w:rPr>
        <w:t>“《议案》”</w:t>
      </w:r>
      <w:r w:rsidRPr="00715DC3">
        <w:rPr>
          <w:rFonts w:eastAsia="仿宋" w:hint="eastAsia"/>
          <w:sz w:val="32"/>
          <w:szCs w:val="32"/>
        </w:rPr>
        <w:t>），</w:t>
      </w:r>
      <w:r w:rsidRPr="000D7D8E">
        <w:rPr>
          <w:rFonts w:eastAsia="仿宋" w:cs="FangSong" w:hint="eastAsia"/>
          <w:sz w:val="32"/>
          <w:szCs w:val="32"/>
        </w:rPr>
        <w:t>并由参加大会的基金份额</w:t>
      </w:r>
      <w:r w:rsidRPr="0029779F">
        <w:rPr>
          <w:rFonts w:eastAsia="仿宋" w:hint="eastAsia"/>
          <w:sz w:val="32"/>
          <w:szCs w:val="32"/>
        </w:rPr>
        <w:t>持有人对</w:t>
      </w:r>
      <w:r>
        <w:rPr>
          <w:rFonts w:eastAsia="仿宋" w:hint="eastAsia"/>
          <w:sz w:val="32"/>
          <w:szCs w:val="32"/>
        </w:rPr>
        <w:t>《议案》</w:t>
      </w:r>
      <w:r w:rsidRPr="0029779F">
        <w:rPr>
          <w:rFonts w:eastAsia="仿宋" w:hint="eastAsia"/>
          <w:sz w:val="32"/>
          <w:szCs w:val="32"/>
        </w:rPr>
        <w:t>进行表决。</w:t>
      </w:r>
    </w:p>
    <w:p w:rsidR="003673CA" w:rsidRDefault="003673CA" w:rsidP="003673CA">
      <w:pPr>
        <w:adjustRightInd w:val="0"/>
        <w:snapToGrid w:val="0"/>
        <w:spacing w:line="360" w:lineRule="auto"/>
        <w:ind w:firstLineChars="200" w:firstLine="640"/>
        <w:rPr>
          <w:rFonts w:eastAsia="仿宋"/>
          <w:sz w:val="32"/>
          <w:szCs w:val="32"/>
        </w:rPr>
      </w:pPr>
      <w:r w:rsidRPr="0029779F">
        <w:rPr>
          <w:rFonts w:eastAsia="仿宋" w:hint="eastAsia"/>
          <w:sz w:val="32"/>
          <w:szCs w:val="32"/>
        </w:rPr>
        <w:t>本次基金份额持有人大会权益登记日为</w:t>
      </w:r>
      <w:r w:rsidR="00E81E78" w:rsidRPr="0002455A">
        <w:rPr>
          <w:rFonts w:eastAsia="仿宋"/>
          <w:sz w:val="32"/>
          <w:szCs w:val="32"/>
        </w:rPr>
        <w:t>202</w:t>
      </w:r>
      <w:r w:rsidR="00E81E78">
        <w:rPr>
          <w:rFonts w:eastAsia="仿宋"/>
          <w:sz w:val="32"/>
          <w:szCs w:val="32"/>
        </w:rPr>
        <w:t>2</w:t>
      </w:r>
      <w:r w:rsidR="00D15AAA" w:rsidRPr="0002455A">
        <w:rPr>
          <w:rFonts w:eastAsia="仿宋" w:hint="eastAsia"/>
          <w:sz w:val="32"/>
          <w:szCs w:val="32"/>
        </w:rPr>
        <w:t>年</w:t>
      </w:r>
      <w:r w:rsidR="00D45526">
        <w:rPr>
          <w:rFonts w:eastAsia="仿宋"/>
          <w:sz w:val="32"/>
          <w:szCs w:val="32"/>
        </w:rPr>
        <w:t>9</w:t>
      </w:r>
      <w:r w:rsidRPr="0002455A">
        <w:rPr>
          <w:rFonts w:eastAsia="仿宋" w:hint="eastAsia"/>
          <w:sz w:val="32"/>
          <w:szCs w:val="32"/>
        </w:rPr>
        <w:t>月</w:t>
      </w:r>
      <w:r w:rsidR="00E81E78">
        <w:rPr>
          <w:rFonts w:eastAsia="仿宋"/>
          <w:sz w:val="32"/>
          <w:szCs w:val="32"/>
        </w:rPr>
        <w:t>21</w:t>
      </w:r>
      <w:r w:rsidRPr="0002455A">
        <w:rPr>
          <w:rFonts w:eastAsia="仿宋" w:hint="eastAsia"/>
          <w:sz w:val="32"/>
          <w:szCs w:val="32"/>
        </w:rPr>
        <w:t>日</w:t>
      </w:r>
      <w:r w:rsidRPr="0029779F">
        <w:rPr>
          <w:rFonts w:eastAsia="仿宋" w:hint="eastAsia"/>
          <w:sz w:val="32"/>
          <w:szCs w:val="32"/>
        </w:rPr>
        <w:t>，参加本次基金份额持有人大会表决的基金份额持有人及其代理人所持有的基金份额情况</w:t>
      </w:r>
      <w:r w:rsidRPr="0029779F">
        <w:rPr>
          <w:rFonts w:eastAsia="仿宋"/>
          <w:sz w:val="32"/>
          <w:szCs w:val="32"/>
        </w:rPr>
        <w:t>如下：</w:t>
      </w:r>
    </w:p>
    <w:p w:rsidR="003673CA" w:rsidRPr="0071200A" w:rsidRDefault="003673CA" w:rsidP="003673CA">
      <w:pPr>
        <w:adjustRightInd w:val="0"/>
        <w:snapToGrid w:val="0"/>
        <w:spacing w:line="360" w:lineRule="auto"/>
        <w:ind w:firstLineChars="200" w:firstLine="640"/>
        <w:rPr>
          <w:rFonts w:eastAsia="仿宋"/>
          <w:sz w:val="32"/>
          <w:szCs w:val="32"/>
        </w:rPr>
      </w:pPr>
      <w:r w:rsidRPr="00150E84">
        <w:rPr>
          <w:rFonts w:eastAsia="仿宋" w:hint="eastAsia"/>
          <w:sz w:val="32"/>
          <w:szCs w:val="32"/>
        </w:rPr>
        <w:t>参与投票的本基金份额为</w:t>
      </w:r>
      <w:r w:rsidR="00B1141E" w:rsidRPr="00943BA8">
        <w:rPr>
          <w:rFonts w:eastAsia="仿宋"/>
          <w:sz w:val="32"/>
          <w:szCs w:val="32"/>
        </w:rPr>
        <w:t>4,324,282.06</w:t>
      </w:r>
      <w:r w:rsidRPr="00150E84">
        <w:rPr>
          <w:rFonts w:eastAsia="仿宋" w:hint="eastAsia"/>
          <w:sz w:val="32"/>
          <w:szCs w:val="32"/>
        </w:rPr>
        <w:t>份，占权益登记日本基金份</w:t>
      </w:r>
      <w:r w:rsidRPr="00150E84">
        <w:rPr>
          <w:rFonts w:eastAsia="仿宋" w:hint="eastAsia"/>
          <w:sz w:val="32"/>
          <w:szCs w:val="32"/>
        </w:rPr>
        <w:lastRenderedPageBreak/>
        <w:t>额总份额数的</w:t>
      </w:r>
      <w:r w:rsidR="00D5510F">
        <w:rPr>
          <w:rFonts w:eastAsia="仿宋"/>
          <w:sz w:val="32"/>
          <w:szCs w:val="32"/>
        </w:rPr>
        <w:t>54.21</w:t>
      </w:r>
      <w:r w:rsidRPr="00150E84">
        <w:rPr>
          <w:rFonts w:eastAsia="仿宋"/>
          <w:sz w:val="32"/>
          <w:szCs w:val="32"/>
        </w:rPr>
        <w:t>%</w:t>
      </w:r>
      <w:r w:rsidRPr="00150E84">
        <w:rPr>
          <w:rFonts w:eastAsia="仿宋" w:hint="eastAsia"/>
          <w:sz w:val="32"/>
          <w:szCs w:val="32"/>
        </w:rPr>
        <w:t>。</w:t>
      </w:r>
    </w:p>
    <w:p w:rsidR="003673CA" w:rsidRDefault="00B1141E" w:rsidP="003673CA">
      <w:pPr>
        <w:autoSpaceDE w:val="0"/>
        <w:autoSpaceDN w:val="0"/>
        <w:adjustRightInd w:val="0"/>
        <w:ind w:firstLineChars="200" w:firstLine="640"/>
        <w:rPr>
          <w:rFonts w:eastAsia="仿宋" w:cs="FangSong"/>
          <w:color w:val="000000"/>
          <w:kern w:val="0"/>
          <w:sz w:val="32"/>
          <w:szCs w:val="32"/>
        </w:rPr>
      </w:pPr>
      <w:r>
        <w:rPr>
          <w:rFonts w:eastAsia="仿宋" w:cs="FangSong" w:hint="eastAsia"/>
          <w:color w:val="000000"/>
          <w:kern w:val="0"/>
          <w:sz w:val="32"/>
          <w:szCs w:val="32"/>
        </w:rPr>
        <w:t>本基金份额参与投票的数量不小于</w:t>
      </w:r>
      <w:r w:rsidR="003673CA" w:rsidRPr="004B0009">
        <w:rPr>
          <w:rFonts w:eastAsia="仿宋" w:cs="FangSong" w:hint="eastAsia"/>
          <w:color w:val="000000"/>
          <w:kern w:val="0"/>
          <w:sz w:val="32"/>
          <w:szCs w:val="32"/>
        </w:rPr>
        <w:t>本基金在权益登记日基金总份额的</w:t>
      </w:r>
      <w:r>
        <w:rPr>
          <w:rFonts w:eastAsia="仿宋" w:cs="FangSong"/>
          <w:color w:val="000000"/>
          <w:kern w:val="0"/>
          <w:sz w:val="32"/>
          <w:szCs w:val="32"/>
        </w:rPr>
        <w:t>二分之一</w:t>
      </w:r>
      <w:r w:rsidR="003673CA" w:rsidRPr="004B0009">
        <w:rPr>
          <w:rFonts w:eastAsia="仿宋" w:cs="FangSong" w:hint="eastAsia"/>
          <w:color w:val="000000"/>
          <w:kern w:val="0"/>
          <w:sz w:val="32"/>
          <w:szCs w:val="32"/>
        </w:rPr>
        <w:t>（含</w:t>
      </w:r>
      <w:r>
        <w:rPr>
          <w:rFonts w:eastAsia="仿宋" w:cs="FangSong"/>
          <w:color w:val="000000"/>
          <w:kern w:val="0"/>
          <w:sz w:val="32"/>
          <w:szCs w:val="32"/>
        </w:rPr>
        <w:t>二分之一</w:t>
      </w:r>
      <w:r w:rsidR="003673CA" w:rsidRPr="004B0009">
        <w:rPr>
          <w:rFonts w:eastAsia="仿宋" w:cs="FangSong" w:hint="eastAsia"/>
          <w:color w:val="000000"/>
          <w:kern w:val="0"/>
          <w:sz w:val="32"/>
          <w:szCs w:val="32"/>
        </w:rPr>
        <w:t>），满足法定开会条件，符合《中华人民共和国证券投资基金法》、《公开募集证券投资基金运作管理办法》和《基金合同》的有关规定。</w:t>
      </w:r>
    </w:p>
    <w:p w:rsidR="003673CA" w:rsidRPr="00D73A13" w:rsidRDefault="003673CA" w:rsidP="003673CA">
      <w:pPr>
        <w:autoSpaceDE w:val="0"/>
        <w:autoSpaceDN w:val="0"/>
        <w:adjustRightInd w:val="0"/>
        <w:ind w:firstLineChars="200" w:firstLine="640"/>
        <w:rPr>
          <w:rFonts w:eastAsia="仿宋" w:cs="FangSong"/>
          <w:color w:val="000000"/>
          <w:kern w:val="0"/>
          <w:sz w:val="32"/>
          <w:szCs w:val="32"/>
        </w:rPr>
      </w:pPr>
      <w:r>
        <w:rPr>
          <w:rFonts w:eastAsia="仿宋" w:cs="FangSong" w:hint="eastAsia"/>
          <w:color w:val="000000"/>
          <w:kern w:val="0"/>
          <w:sz w:val="32"/>
          <w:szCs w:val="32"/>
        </w:rPr>
        <w:t>本次</w:t>
      </w:r>
      <w:r>
        <w:rPr>
          <w:rFonts w:eastAsia="仿宋" w:cs="FangSong"/>
          <w:color w:val="000000"/>
          <w:kern w:val="0"/>
          <w:sz w:val="32"/>
          <w:szCs w:val="32"/>
        </w:rPr>
        <w:t>持有人大会计票</w:t>
      </w:r>
      <w:r w:rsidR="00063384">
        <w:rPr>
          <w:rFonts w:eastAsia="仿宋" w:cs="FangSong" w:hint="eastAsia"/>
          <w:color w:val="000000"/>
          <w:kern w:val="0"/>
          <w:sz w:val="32"/>
          <w:szCs w:val="32"/>
        </w:rPr>
        <w:t>在</w:t>
      </w:r>
      <w:r w:rsidRPr="003142CE">
        <w:rPr>
          <w:rFonts w:eastAsia="仿宋" w:cs="FangSong" w:hint="eastAsia"/>
          <w:color w:val="000000"/>
          <w:kern w:val="0"/>
          <w:sz w:val="32"/>
          <w:szCs w:val="32"/>
        </w:rPr>
        <w:t>本基金的托管人</w:t>
      </w:r>
      <w:r w:rsidR="00D45526" w:rsidRPr="00D45526">
        <w:rPr>
          <w:rFonts w:ascii="仿宋" w:eastAsia="仿宋" w:hAnsi="仿宋"/>
          <w:sz w:val="32"/>
          <w:szCs w:val="32"/>
        </w:rPr>
        <w:t>中国工商银行股份有限公司</w:t>
      </w:r>
      <w:r w:rsidRPr="003142CE">
        <w:rPr>
          <w:rFonts w:eastAsia="仿宋" w:cs="FangSong" w:hint="eastAsia"/>
          <w:color w:val="000000"/>
          <w:kern w:val="0"/>
          <w:sz w:val="32"/>
          <w:szCs w:val="32"/>
        </w:rPr>
        <w:t>授权代表的监督及</w:t>
      </w:r>
      <w:r w:rsidR="00C462CC">
        <w:rPr>
          <w:rFonts w:eastAsia="仿宋" w:hint="eastAsia"/>
          <w:sz w:val="32"/>
          <w:szCs w:val="32"/>
        </w:rPr>
        <w:t>上海市</w:t>
      </w:r>
      <w:r w:rsidR="00C462CC">
        <w:rPr>
          <w:rFonts w:eastAsia="仿宋"/>
          <w:sz w:val="32"/>
          <w:szCs w:val="32"/>
        </w:rPr>
        <w:t>海华</w:t>
      </w:r>
      <w:r w:rsidR="00C462CC">
        <w:rPr>
          <w:rFonts w:eastAsia="仿宋" w:hint="eastAsia"/>
          <w:sz w:val="32"/>
          <w:szCs w:val="32"/>
        </w:rPr>
        <w:t>永泰</w:t>
      </w:r>
      <w:r w:rsidR="00C462CC">
        <w:rPr>
          <w:rFonts w:eastAsia="仿宋"/>
          <w:sz w:val="32"/>
          <w:szCs w:val="32"/>
        </w:rPr>
        <w:t>律师事务</w:t>
      </w:r>
      <w:r w:rsidR="00B1141E">
        <w:rPr>
          <w:rFonts w:eastAsia="仿宋"/>
          <w:sz w:val="32"/>
          <w:szCs w:val="32"/>
        </w:rPr>
        <w:t>所</w:t>
      </w:r>
      <w:r w:rsidRPr="003142CE">
        <w:rPr>
          <w:rFonts w:eastAsia="仿宋" w:cs="FangSong" w:hint="eastAsia"/>
          <w:color w:val="000000"/>
          <w:kern w:val="0"/>
          <w:sz w:val="32"/>
          <w:szCs w:val="32"/>
        </w:rPr>
        <w:t>的见证下进行，并由北京市方圆公证处对计票过程及结果进行了公证。</w:t>
      </w:r>
      <w:r>
        <w:rPr>
          <w:rFonts w:eastAsia="仿宋" w:cs="FangSong" w:hint="eastAsia"/>
          <w:color w:val="000000"/>
          <w:kern w:val="0"/>
          <w:sz w:val="32"/>
          <w:szCs w:val="32"/>
        </w:rPr>
        <w:t>表决</w:t>
      </w:r>
      <w:r>
        <w:rPr>
          <w:rFonts w:eastAsia="仿宋" w:cs="FangSong"/>
          <w:color w:val="000000"/>
          <w:kern w:val="0"/>
          <w:sz w:val="32"/>
          <w:szCs w:val="32"/>
        </w:rPr>
        <w:t>结果为：</w:t>
      </w:r>
    </w:p>
    <w:p w:rsidR="003673CA" w:rsidRPr="001B0B2E" w:rsidRDefault="003673CA" w:rsidP="0002455A">
      <w:pPr>
        <w:wordWrap w:val="0"/>
        <w:adjustRightInd w:val="0"/>
        <w:snapToGrid w:val="0"/>
        <w:spacing w:line="360" w:lineRule="auto"/>
        <w:ind w:firstLineChars="200" w:firstLine="640"/>
        <w:rPr>
          <w:rFonts w:eastAsia="仿宋" w:cs="FangSong"/>
          <w:color w:val="000000"/>
          <w:kern w:val="0"/>
          <w:sz w:val="32"/>
          <w:szCs w:val="32"/>
        </w:rPr>
      </w:pPr>
      <w:r w:rsidRPr="00150E84">
        <w:rPr>
          <w:rFonts w:eastAsia="仿宋" w:cs="FangSong" w:hint="eastAsia"/>
          <w:color w:val="000000"/>
          <w:kern w:val="0"/>
          <w:sz w:val="32"/>
          <w:szCs w:val="32"/>
        </w:rPr>
        <w:t>有效表决票所代表的基金份额总额为</w:t>
      </w:r>
      <w:r w:rsidR="00B1141E" w:rsidRPr="00943BA8">
        <w:rPr>
          <w:rFonts w:eastAsia="仿宋"/>
          <w:sz w:val="32"/>
          <w:szCs w:val="32"/>
        </w:rPr>
        <w:t>4,324,282.06</w:t>
      </w:r>
      <w:r w:rsidRPr="00150E84">
        <w:rPr>
          <w:rFonts w:eastAsia="仿宋" w:cs="FangSong" w:hint="eastAsia"/>
          <w:color w:val="000000"/>
          <w:kern w:val="0"/>
          <w:sz w:val="32"/>
          <w:szCs w:val="32"/>
        </w:rPr>
        <w:t>份，其中，</w:t>
      </w:r>
      <w:r w:rsidR="00B1141E" w:rsidRPr="00943BA8">
        <w:rPr>
          <w:rFonts w:eastAsia="仿宋"/>
          <w:sz w:val="32"/>
          <w:szCs w:val="32"/>
        </w:rPr>
        <w:t>4,324,282.06</w:t>
      </w:r>
      <w:r w:rsidRPr="00150E84">
        <w:rPr>
          <w:rFonts w:eastAsia="仿宋" w:cs="FangSong" w:hint="eastAsia"/>
          <w:color w:val="000000"/>
          <w:kern w:val="0"/>
          <w:sz w:val="32"/>
          <w:szCs w:val="32"/>
        </w:rPr>
        <w:t>份基金份额表示同意，</w:t>
      </w:r>
      <w:r w:rsidRPr="00AB7F72">
        <w:rPr>
          <w:rFonts w:eastAsia="仿宋" w:cs="FangSong"/>
          <w:color w:val="000000"/>
          <w:kern w:val="0"/>
          <w:sz w:val="32"/>
          <w:szCs w:val="32"/>
        </w:rPr>
        <w:t>0</w:t>
      </w:r>
      <w:r w:rsidRPr="00AB7F72">
        <w:rPr>
          <w:rFonts w:eastAsia="仿宋" w:cs="FangSong" w:hint="eastAsia"/>
          <w:color w:val="000000"/>
          <w:kern w:val="0"/>
          <w:sz w:val="32"/>
          <w:szCs w:val="32"/>
        </w:rPr>
        <w:t>份基金份额表示反对，</w:t>
      </w:r>
      <w:r w:rsidRPr="00AB7F72">
        <w:rPr>
          <w:rFonts w:eastAsia="仿宋" w:cs="FangSong"/>
          <w:color w:val="000000"/>
          <w:kern w:val="0"/>
          <w:sz w:val="32"/>
          <w:szCs w:val="32"/>
        </w:rPr>
        <w:t>0</w:t>
      </w:r>
      <w:r w:rsidRPr="00AB7F72">
        <w:rPr>
          <w:rFonts w:eastAsia="仿宋" w:cs="FangSong" w:hint="eastAsia"/>
          <w:color w:val="000000"/>
          <w:kern w:val="0"/>
          <w:sz w:val="32"/>
          <w:szCs w:val="32"/>
        </w:rPr>
        <w:t>份基金份额表示弃权，</w:t>
      </w:r>
      <w:r w:rsidRPr="001B0B2E">
        <w:rPr>
          <w:rFonts w:eastAsia="仿宋" w:cs="FangSong" w:hint="eastAsia"/>
          <w:color w:val="000000"/>
          <w:kern w:val="0"/>
          <w:sz w:val="32"/>
          <w:szCs w:val="32"/>
        </w:rPr>
        <w:t>同意《议案》的基金份额</w:t>
      </w:r>
      <w:r w:rsidRPr="001B0B2E">
        <w:rPr>
          <w:rFonts w:eastAsia="仿宋" w:cs="FangSong"/>
          <w:color w:val="000000"/>
          <w:kern w:val="0"/>
          <w:sz w:val="32"/>
          <w:szCs w:val="32"/>
        </w:rPr>
        <w:t>占</w:t>
      </w:r>
      <w:r w:rsidRPr="001B0B2E">
        <w:rPr>
          <w:rFonts w:eastAsia="仿宋" w:cs="FangSong" w:hint="eastAsia"/>
          <w:color w:val="000000"/>
          <w:kern w:val="0"/>
          <w:sz w:val="32"/>
          <w:szCs w:val="32"/>
        </w:rPr>
        <w:t>提交</w:t>
      </w:r>
      <w:r w:rsidRPr="001B0B2E">
        <w:rPr>
          <w:rFonts w:eastAsia="仿宋" w:cs="FangSong"/>
          <w:color w:val="000000"/>
          <w:kern w:val="0"/>
          <w:sz w:val="32"/>
          <w:szCs w:val="32"/>
        </w:rPr>
        <w:t>有效表决票的基金份额</w:t>
      </w:r>
      <w:r w:rsidRPr="001B0B2E">
        <w:rPr>
          <w:rFonts w:eastAsia="仿宋" w:cs="FangSong" w:hint="eastAsia"/>
          <w:color w:val="000000"/>
          <w:kern w:val="0"/>
          <w:sz w:val="32"/>
          <w:szCs w:val="32"/>
        </w:rPr>
        <w:t>总数</w:t>
      </w:r>
      <w:r w:rsidRPr="001B0B2E">
        <w:rPr>
          <w:rFonts w:eastAsia="仿宋" w:cs="FangSong"/>
          <w:color w:val="000000"/>
          <w:kern w:val="0"/>
          <w:sz w:val="32"/>
          <w:szCs w:val="32"/>
        </w:rPr>
        <w:t>的</w:t>
      </w:r>
      <w:r w:rsidRPr="001B0B2E">
        <w:rPr>
          <w:rFonts w:eastAsia="仿宋" w:cs="FangSong"/>
          <w:color w:val="000000"/>
          <w:kern w:val="0"/>
          <w:sz w:val="32"/>
          <w:szCs w:val="32"/>
        </w:rPr>
        <w:t>100%</w:t>
      </w:r>
      <w:r w:rsidR="00B1141E">
        <w:rPr>
          <w:rFonts w:eastAsia="仿宋" w:cs="FangSong" w:hint="eastAsia"/>
          <w:color w:val="000000"/>
          <w:kern w:val="0"/>
          <w:sz w:val="32"/>
          <w:szCs w:val="32"/>
        </w:rPr>
        <w:t>，已</w:t>
      </w:r>
      <w:r w:rsidRPr="00047389">
        <w:rPr>
          <w:rFonts w:eastAsia="仿宋" w:cs="FangSong" w:hint="eastAsia"/>
          <w:color w:val="000000"/>
          <w:kern w:val="0"/>
          <w:sz w:val="32"/>
          <w:szCs w:val="32"/>
        </w:rPr>
        <w:t>达到参加本次基金份额持有人大会的基金份额持有人及代理人所持表决权的三分之二以上</w:t>
      </w:r>
      <w:r w:rsidRPr="00E4022B">
        <w:rPr>
          <w:rFonts w:eastAsia="仿宋" w:cs="FangSong" w:hint="eastAsia"/>
          <w:color w:val="000000"/>
          <w:kern w:val="0"/>
          <w:sz w:val="32"/>
          <w:szCs w:val="32"/>
        </w:rPr>
        <w:t>，</w:t>
      </w:r>
      <w:r w:rsidRPr="001B0B2E">
        <w:rPr>
          <w:rFonts w:eastAsia="仿宋" w:cs="FangSong" w:hint="eastAsia"/>
          <w:color w:val="000000"/>
          <w:kern w:val="0"/>
          <w:sz w:val="32"/>
          <w:szCs w:val="32"/>
        </w:rPr>
        <w:t>符合</w:t>
      </w:r>
      <w:r w:rsidRPr="00E4022B">
        <w:rPr>
          <w:rFonts w:eastAsia="仿宋" w:cs="FangSong" w:hint="eastAsia"/>
          <w:color w:val="000000"/>
          <w:kern w:val="0"/>
          <w:sz w:val="32"/>
          <w:szCs w:val="32"/>
        </w:rPr>
        <w:t>《中华人民共和国证券投资基金法》、《公开募集证券投资基金运作管理办法》和《基金合同》的有关规定，</w:t>
      </w:r>
      <w:r>
        <w:rPr>
          <w:rFonts w:eastAsia="仿宋" w:cs="FangSong" w:hint="eastAsia"/>
          <w:color w:val="000000"/>
          <w:kern w:val="0"/>
          <w:sz w:val="32"/>
          <w:szCs w:val="32"/>
        </w:rPr>
        <w:t>《议案》</w:t>
      </w:r>
      <w:r w:rsidRPr="00E4022B">
        <w:rPr>
          <w:rFonts w:eastAsia="仿宋" w:cs="FangSong" w:hint="eastAsia"/>
          <w:color w:val="000000"/>
          <w:kern w:val="0"/>
          <w:sz w:val="32"/>
          <w:szCs w:val="32"/>
        </w:rPr>
        <w:t>获得通过。</w:t>
      </w:r>
    </w:p>
    <w:p w:rsidR="003673CA" w:rsidRPr="00F020D3" w:rsidRDefault="003673CA" w:rsidP="00910870">
      <w:pPr>
        <w:adjustRightInd w:val="0"/>
        <w:snapToGrid w:val="0"/>
        <w:spacing w:line="360" w:lineRule="auto"/>
        <w:ind w:firstLineChars="200" w:firstLine="640"/>
        <w:rPr>
          <w:rFonts w:eastAsia="仿宋"/>
          <w:sz w:val="32"/>
          <w:szCs w:val="32"/>
        </w:rPr>
      </w:pPr>
      <w:r w:rsidRPr="00150E84">
        <w:rPr>
          <w:rFonts w:eastAsia="仿宋" w:cs="FangSong" w:hint="eastAsia"/>
          <w:color w:val="000000"/>
          <w:kern w:val="0"/>
          <w:sz w:val="32"/>
          <w:szCs w:val="32"/>
        </w:rPr>
        <w:t>本次持有人大会的公证费</w:t>
      </w:r>
      <w:r w:rsidR="00A65E64">
        <w:rPr>
          <w:rFonts w:eastAsia="仿宋" w:hint="eastAsia"/>
          <w:color w:val="000000"/>
          <w:kern w:val="0"/>
          <w:sz w:val="32"/>
          <w:szCs w:val="32"/>
        </w:rPr>
        <w:t>10,000</w:t>
      </w:r>
      <w:r w:rsidRPr="00AB7F72">
        <w:rPr>
          <w:rFonts w:eastAsia="仿宋" w:cs="FangSong" w:hint="eastAsia"/>
          <w:color w:val="000000"/>
          <w:kern w:val="0"/>
          <w:sz w:val="32"/>
          <w:szCs w:val="32"/>
        </w:rPr>
        <w:t>元，律师费</w:t>
      </w:r>
      <w:r w:rsidR="00202D9D" w:rsidRPr="00AB7F72">
        <w:rPr>
          <w:rFonts w:eastAsia="仿宋"/>
          <w:color w:val="000000"/>
          <w:kern w:val="0"/>
          <w:sz w:val="32"/>
          <w:szCs w:val="32"/>
        </w:rPr>
        <w:t>30</w:t>
      </w:r>
      <w:r w:rsidRPr="00AB7F72">
        <w:rPr>
          <w:rFonts w:eastAsia="仿宋"/>
          <w:color w:val="000000"/>
          <w:kern w:val="0"/>
          <w:sz w:val="32"/>
          <w:szCs w:val="32"/>
        </w:rPr>
        <w:t>,000</w:t>
      </w:r>
      <w:r w:rsidRPr="00AB7F72">
        <w:rPr>
          <w:rFonts w:eastAsia="仿宋" w:cs="FangSong" w:hint="eastAsia"/>
          <w:color w:val="000000"/>
          <w:kern w:val="0"/>
          <w:sz w:val="32"/>
          <w:szCs w:val="32"/>
        </w:rPr>
        <w:t>元，合计</w:t>
      </w:r>
      <w:r w:rsidR="00A65E64">
        <w:rPr>
          <w:rFonts w:eastAsia="仿宋" w:hint="eastAsia"/>
          <w:color w:val="000000"/>
          <w:kern w:val="0"/>
          <w:sz w:val="32"/>
          <w:szCs w:val="32"/>
        </w:rPr>
        <w:t>40,000</w:t>
      </w:r>
      <w:r w:rsidRPr="00AB7F72">
        <w:rPr>
          <w:rFonts w:eastAsia="仿宋" w:cs="FangSong" w:hint="eastAsia"/>
          <w:color w:val="000000"/>
          <w:kern w:val="0"/>
          <w:sz w:val="32"/>
          <w:szCs w:val="32"/>
        </w:rPr>
        <w:t>元</w:t>
      </w:r>
      <w:r w:rsidR="00024ADF" w:rsidRPr="00AB7F72">
        <w:rPr>
          <w:rFonts w:eastAsia="仿宋" w:hint="eastAsia"/>
          <w:sz w:val="32"/>
          <w:szCs w:val="32"/>
        </w:rPr>
        <w:t>。</w:t>
      </w:r>
      <w:r w:rsidR="00910870" w:rsidRPr="00910870">
        <w:rPr>
          <w:rFonts w:eastAsia="仿宋" w:hint="eastAsia"/>
          <w:sz w:val="32"/>
          <w:szCs w:val="32"/>
        </w:rPr>
        <w:t>本次召开基金份额持有人大会的费用由</w:t>
      </w:r>
      <w:r w:rsidR="005A6D18">
        <w:rPr>
          <w:rFonts w:eastAsia="仿宋" w:hint="eastAsia"/>
          <w:sz w:val="32"/>
          <w:szCs w:val="32"/>
        </w:rPr>
        <w:t>基金管理人</w:t>
      </w:r>
      <w:r w:rsidR="00910870" w:rsidRPr="00910870">
        <w:rPr>
          <w:rFonts w:eastAsia="仿宋" w:hint="eastAsia"/>
          <w:sz w:val="32"/>
          <w:szCs w:val="32"/>
        </w:rPr>
        <w:t>承担。</w:t>
      </w:r>
    </w:p>
    <w:p w:rsidR="003673CA" w:rsidRPr="00500E51" w:rsidRDefault="003673CA" w:rsidP="001B1B88">
      <w:pPr>
        <w:adjustRightInd w:val="0"/>
        <w:snapToGrid w:val="0"/>
        <w:spacing w:beforeLines="50" w:line="360" w:lineRule="auto"/>
        <w:ind w:firstLineChars="200" w:firstLine="640"/>
        <w:rPr>
          <w:rFonts w:eastAsia="仿宋"/>
          <w:b/>
          <w:sz w:val="32"/>
          <w:szCs w:val="32"/>
        </w:rPr>
      </w:pPr>
      <w:r w:rsidRPr="00500E51">
        <w:rPr>
          <w:rFonts w:eastAsia="仿宋" w:hint="eastAsia"/>
          <w:b/>
          <w:sz w:val="32"/>
          <w:szCs w:val="32"/>
        </w:rPr>
        <w:t>二、基金份额持有人大会决议生效情况</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根据</w:t>
      </w:r>
      <w:r w:rsidRPr="009F1944">
        <w:rPr>
          <w:rFonts w:eastAsia="仿宋" w:cs="FangSong"/>
          <w:color w:val="000000"/>
          <w:kern w:val="0"/>
          <w:sz w:val="32"/>
          <w:szCs w:val="32"/>
        </w:rPr>
        <w:t>《公开募集证券投资基金运作管理办法》</w:t>
      </w:r>
      <w:r w:rsidRPr="00715DC3">
        <w:rPr>
          <w:rFonts w:eastAsia="仿宋" w:hint="eastAsia"/>
          <w:sz w:val="32"/>
          <w:szCs w:val="32"/>
        </w:rPr>
        <w:t>的规定，</w:t>
      </w:r>
      <w:r w:rsidRPr="009F1944">
        <w:rPr>
          <w:rFonts w:eastAsia="仿宋" w:cs="FangSong"/>
          <w:color w:val="000000"/>
          <w:kern w:val="0"/>
          <w:sz w:val="32"/>
          <w:szCs w:val="32"/>
        </w:rPr>
        <w:t>基金份额持</w:t>
      </w:r>
      <w:r w:rsidRPr="009F1944">
        <w:rPr>
          <w:rFonts w:eastAsia="仿宋" w:cs="FangSong"/>
          <w:color w:val="000000"/>
          <w:kern w:val="0"/>
          <w:sz w:val="32"/>
          <w:szCs w:val="32"/>
        </w:rPr>
        <w:lastRenderedPageBreak/>
        <w:t>有人大会决定的事项自表决通过之日起生效。</w:t>
      </w:r>
      <w:r w:rsidRPr="00715DC3">
        <w:rPr>
          <w:rFonts w:eastAsia="仿宋" w:hint="eastAsia"/>
          <w:sz w:val="32"/>
          <w:szCs w:val="32"/>
        </w:rPr>
        <w:t>本次基金份额持有人</w:t>
      </w:r>
      <w:r w:rsidRPr="00BB20C3">
        <w:rPr>
          <w:rFonts w:eastAsia="仿宋" w:hint="eastAsia"/>
          <w:sz w:val="32"/>
          <w:szCs w:val="32"/>
        </w:rPr>
        <w:t>大会于</w:t>
      </w:r>
      <w:r w:rsidR="00E81E78" w:rsidRPr="00BB20C3">
        <w:rPr>
          <w:rFonts w:eastAsia="仿宋" w:hint="eastAsia"/>
          <w:sz w:val="32"/>
          <w:szCs w:val="32"/>
        </w:rPr>
        <w:t>20</w:t>
      </w:r>
      <w:r w:rsidR="00E81E78" w:rsidRPr="00BB20C3">
        <w:rPr>
          <w:rFonts w:eastAsia="仿宋"/>
          <w:sz w:val="32"/>
          <w:szCs w:val="32"/>
        </w:rPr>
        <w:t>2</w:t>
      </w:r>
      <w:r w:rsidR="00E81E78">
        <w:rPr>
          <w:rFonts w:eastAsia="仿宋"/>
          <w:sz w:val="32"/>
          <w:szCs w:val="32"/>
        </w:rPr>
        <w:t>2</w:t>
      </w:r>
      <w:r w:rsidR="00D15AAA" w:rsidRPr="00BB20C3">
        <w:rPr>
          <w:rFonts w:eastAsia="仿宋" w:hint="eastAsia"/>
          <w:sz w:val="32"/>
          <w:szCs w:val="32"/>
        </w:rPr>
        <w:t>年</w:t>
      </w:r>
      <w:r w:rsidR="00D45526">
        <w:rPr>
          <w:rFonts w:eastAsia="仿宋"/>
          <w:sz w:val="32"/>
          <w:szCs w:val="32"/>
        </w:rPr>
        <w:t>11</w:t>
      </w:r>
      <w:r w:rsidRPr="00BB20C3">
        <w:rPr>
          <w:rFonts w:eastAsia="仿宋" w:hint="eastAsia"/>
          <w:sz w:val="32"/>
          <w:szCs w:val="32"/>
        </w:rPr>
        <w:t>月</w:t>
      </w:r>
      <w:r w:rsidR="00D45526">
        <w:rPr>
          <w:rFonts w:eastAsia="仿宋"/>
          <w:sz w:val="32"/>
          <w:szCs w:val="32"/>
        </w:rPr>
        <w:t>8</w:t>
      </w:r>
      <w:r w:rsidRPr="00BB20C3">
        <w:rPr>
          <w:rFonts w:eastAsia="仿宋" w:hint="eastAsia"/>
          <w:sz w:val="32"/>
          <w:szCs w:val="32"/>
        </w:rPr>
        <w:t>日</w:t>
      </w:r>
      <w:r w:rsidRPr="00715DC3">
        <w:rPr>
          <w:rFonts w:eastAsia="仿宋" w:hint="eastAsia"/>
          <w:sz w:val="32"/>
          <w:szCs w:val="32"/>
        </w:rPr>
        <w:t>表决通过了《</w:t>
      </w:r>
      <w:r w:rsidRPr="00ED1310">
        <w:rPr>
          <w:rFonts w:eastAsia="仿宋" w:hint="eastAsia"/>
          <w:sz w:val="32"/>
          <w:szCs w:val="32"/>
        </w:rPr>
        <w:t>议案</w:t>
      </w:r>
      <w:r w:rsidRPr="00715DC3">
        <w:rPr>
          <w:rFonts w:eastAsia="仿宋" w:hint="eastAsia"/>
          <w:sz w:val="32"/>
          <w:szCs w:val="32"/>
        </w:rPr>
        <w:t>》，本次大会决议自该日起生效。基金管理人将</w:t>
      </w:r>
      <w:r>
        <w:rPr>
          <w:rFonts w:eastAsia="仿宋" w:hint="eastAsia"/>
          <w:sz w:val="32"/>
          <w:szCs w:val="32"/>
        </w:rPr>
        <w:t>自</w:t>
      </w:r>
      <w:r w:rsidRPr="00715DC3">
        <w:rPr>
          <w:rFonts w:eastAsia="仿宋" w:hint="eastAsia"/>
          <w:sz w:val="32"/>
          <w:szCs w:val="32"/>
        </w:rPr>
        <w:t>表决通过之日起五日内就表决通过的事项向中国证监会备案。</w:t>
      </w:r>
    </w:p>
    <w:p w:rsidR="003673CA" w:rsidRPr="009C5016" w:rsidRDefault="003673CA" w:rsidP="001B1B88">
      <w:pPr>
        <w:adjustRightInd w:val="0"/>
        <w:snapToGrid w:val="0"/>
        <w:spacing w:line="360" w:lineRule="auto"/>
        <w:ind w:firstLineChars="200" w:firstLine="640"/>
        <w:rPr>
          <w:rFonts w:eastAsia="仿宋"/>
          <w:b/>
          <w:sz w:val="32"/>
          <w:szCs w:val="32"/>
        </w:rPr>
      </w:pPr>
      <w:r w:rsidRPr="00500E51">
        <w:rPr>
          <w:rFonts w:eastAsia="仿宋" w:hint="eastAsia"/>
          <w:b/>
          <w:sz w:val="32"/>
          <w:szCs w:val="32"/>
        </w:rPr>
        <w:t>三、</w:t>
      </w:r>
      <w:r w:rsidRPr="009C5016">
        <w:rPr>
          <w:rFonts w:eastAsia="仿宋" w:hint="eastAsia"/>
          <w:b/>
          <w:sz w:val="32"/>
          <w:szCs w:val="32"/>
        </w:rPr>
        <w:t>基金份额持有人大会决议生效后续安排</w:t>
      </w:r>
    </w:p>
    <w:p w:rsidR="003673CA" w:rsidRPr="00715DC3" w:rsidRDefault="00FA321E" w:rsidP="003673CA">
      <w:pPr>
        <w:adjustRightInd w:val="0"/>
        <w:snapToGrid w:val="0"/>
        <w:spacing w:line="360" w:lineRule="auto"/>
        <w:ind w:firstLineChars="200" w:firstLine="640"/>
        <w:rPr>
          <w:rFonts w:eastAsia="仿宋"/>
          <w:sz w:val="32"/>
          <w:szCs w:val="32"/>
        </w:rPr>
      </w:pPr>
      <w:r w:rsidRPr="00800391">
        <w:rPr>
          <w:rFonts w:eastAsia="仿宋"/>
          <w:sz w:val="32"/>
          <w:szCs w:val="32"/>
        </w:rPr>
        <w:t>本次基金份额持有人大会决议生效后，根据基金份额持有人大会通过的议案及其说明，本基金将自基金份额持有人大会决议生效公告之日起进入清算程序，基金管理人不再接受持有人提出的份额申购、赎回申请。本基金管理人将按照《</w:t>
      </w:r>
      <w:r>
        <w:rPr>
          <w:rFonts w:eastAsia="仿宋" w:hint="eastAsia"/>
          <w:sz w:val="32"/>
          <w:szCs w:val="32"/>
        </w:rPr>
        <w:t>基金合同</w:t>
      </w:r>
      <w:r w:rsidRPr="00800391">
        <w:rPr>
          <w:rFonts w:eastAsia="仿宋"/>
          <w:sz w:val="32"/>
          <w:szCs w:val="32"/>
        </w:rPr>
        <w:t>》的约定，组织成立基金财产清算小组履行基金财产清算程序，并及时予以公告。</w:t>
      </w:r>
    </w:p>
    <w:p w:rsidR="003673CA" w:rsidRPr="00A31D0D" w:rsidRDefault="003673CA" w:rsidP="001B1B88">
      <w:pPr>
        <w:adjustRightInd w:val="0"/>
        <w:snapToGrid w:val="0"/>
        <w:spacing w:line="360" w:lineRule="auto"/>
        <w:ind w:firstLineChars="200" w:firstLine="640"/>
        <w:rPr>
          <w:rFonts w:eastAsia="仿宋"/>
          <w:b/>
          <w:sz w:val="32"/>
          <w:szCs w:val="32"/>
        </w:rPr>
      </w:pPr>
      <w:r>
        <w:rPr>
          <w:rFonts w:eastAsia="仿宋" w:hint="eastAsia"/>
          <w:b/>
          <w:sz w:val="32"/>
          <w:szCs w:val="32"/>
        </w:rPr>
        <w:t>四</w:t>
      </w:r>
      <w:r w:rsidRPr="00A31D0D">
        <w:rPr>
          <w:rFonts w:eastAsia="仿宋" w:hint="eastAsia"/>
          <w:b/>
          <w:sz w:val="32"/>
          <w:szCs w:val="32"/>
        </w:rPr>
        <w:t>、备查文件</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1</w:t>
      </w:r>
      <w:r w:rsidRPr="00715DC3">
        <w:rPr>
          <w:rFonts w:eastAsia="仿宋" w:hint="eastAsia"/>
          <w:sz w:val="32"/>
          <w:szCs w:val="32"/>
        </w:rPr>
        <w:t>、《</w:t>
      </w:r>
      <w:r w:rsidRPr="004F7406">
        <w:rPr>
          <w:rFonts w:eastAsia="仿宋" w:hint="eastAsia"/>
          <w:sz w:val="32"/>
          <w:szCs w:val="32"/>
        </w:rPr>
        <w:t>中融基金管理有限公司关于以通讯方式召开</w:t>
      </w:r>
      <w:r w:rsidR="00A92DAE" w:rsidRPr="000778E4">
        <w:rPr>
          <w:rFonts w:ascii="仿宋" w:eastAsia="仿宋" w:hAnsi="仿宋" w:hint="eastAsia"/>
          <w:sz w:val="32"/>
          <w:szCs w:val="32"/>
          <w:shd w:val="clear" w:color="auto" w:fill="FFFFFF"/>
        </w:rPr>
        <w:t>中融量化智选混合型证券投资基金</w:t>
      </w:r>
      <w:r w:rsidRPr="004F7406">
        <w:rPr>
          <w:rFonts w:eastAsia="仿宋" w:hint="eastAsia"/>
          <w:sz w:val="32"/>
          <w:szCs w:val="32"/>
        </w:rPr>
        <w:t>基金份额持有人大会的公告</w:t>
      </w:r>
      <w:r w:rsidRPr="00715DC3">
        <w:rPr>
          <w:rFonts w:eastAsia="仿宋" w:hint="eastAsia"/>
          <w:sz w:val="32"/>
          <w:szCs w:val="32"/>
        </w:rPr>
        <w:t>》</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2</w:t>
      </w:r>
      <w:r w:rsidRPr="00715DC3">
        <w:rPr>
          <w:rFonts w:eastAsia="仿宋" w:hint="eastAsia"/>
          <w:sz w:val="32"/>
          <w:szCs w:val="32"/>
        </w:rPr>
        <w:t>、《</w:t>
      </w:r>
      <w:r w:rsidRPr="004F7406">
        <w:rPr>
          <w:rFonts w:eastAsia="仿宋" w:hint="eastAsia"/>
          <w:sz w:val="32"/>
          <w:szCs w:val="32"/>
        </w:rPr>
        <w:t>中融基金管理有限公司关于以通讯方式召开</w:t>
      </w:r>
      <w:r w:rsidR="00A92DAE" w:rsidRPr="000778E4">
        <w:rPr>
          <w:rFonts w:ascii="仿宋" w:eastAsia="仿宋" w:hAnsi="仿宋" w:hint="eastAsia"/>
          <w:sz w:val="32"/>
          <w:szCs w:val="32"/>
          <w:shd w:val="clear" w:color="auto" w:fill="FFFFFF"/>
        </w:rPr>
        <w:t>中融量化智选混合型证券投资基金</w:t>
      </w:r>
      <w:r w:rsidRPr="004F7406">
        <w:rPr>
          <w:rFonts w:eastAsia="仿宋" w:hint="eastAsia"/>
          <w:sz w:val="32"/>
          <w:szCs w:val="32"/>
        </w:rPr>
        <w:t>基金份额持有人大会</w:t>
      </w:r>
      <w:r w:rsidRPr="00715DC3">
        <w:rPr>
          <w:rFonts w:eastAsia="仿宋" w:hint="eastAsia"/>
          <w:sz w:val="32"/>
          <w:szCs w:val="32"/>
        </w:rPr>
        <w:t>的第一次提示性公告》</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3</w:t>
      </w:r>
      <w:r w:rsidRPr="00715DC3">
        <w:rPr>
          <w:rFonts w:eastAsia="仿宋" w:hint="eastAsia"/>
          <w:sz w:val="32"/>
          <w:szCs w:val="32"/>
        </w:rPr>
        <w:t>、《</w:t>
      </w:r>
      <w:r w:rsidRPr="004F7406">
        <w:rPr>
          <w:rFonts w:eastAsia="仿宋" w:hint="eastAsia"/>
          <w:sz w:val="32"/>
          <w:szCs w:val="32"/>
        </w:rPr>
        <w:t>中融基金管理有限公司关于以通讯方式召开</w:t>
      </w:r>
      <w:r w:rsidR="00A92DAE" w:rsidRPr="000778E4">
        <w:rPr>
          <w:rFonts w:ascii="仿宋" w:eastAsia="仿宋" w:hAnsi="仿宋" w:hint="eastAsia"/>
          <w:sz w:val="32"/>
          <w:szCs w:val="32"/>
          <w:shd w:val="clear" w:color="auto" w:fill="FFFFFF"/>
        </w:rPr>
        <w:t>中融量化智选混合型证券投资基金</w:t>
      </w:r>
      <w:r w:rsidRPr="004F7406">
        <w:rPr>
          <w:rFonts w:eastAsia="仿宋" w:hint="eastAsia"/>
          <w:sz w:val="32"/>
          <w:szCs w:val="32"/>
        </w:rPr>
        <w:t>基金份额持有人大会</w:t>
      </w:r>
      <w:r w:rsidRPr="00715DC3">
        <w:rPr>
          <w:rFonts w:eastAsia="仿宋" w:hint="eastAsia"/>
          <w:sz w:val="32"/>
          <w:szCs w:val="32"/>
        </w:rPr>
        <w:t>的第二次提示性公告》</w:t>
      </w:r>
    </w:p>
    <w:p w:rsidR="003673CA" w:rsidRPr="00715DC3" w:rsidRDefault="003673CA" w:rsidP="003673CA">
      <w:pPr>
        <w:adjustRightInd w:val="0"/>
        <w:snapToGrid w:val="0"/>
        <w:spacing w:line="360" w:lineRule="auto"/>
        <w:ind w:firstLineChars="200" w:firstLine="640"/>
        <w:rPr>
          <w:rFonts w:eastAsia="仿宋"/>
          <w:sz w:val="32"/>
          <w:szCs w:val="32"/>
        </w:rPr>
      </w:pPr>
      <w:r>
        <w:rPr>
          <w:rFonts w:eastAsia="仿宋"/>
          <w:sz w:val="32"/>
          <w:szCs w:val="32"/>
        </w:rPr>
        <w:t>4</w:t>
      </w:r>
      <w:r w:rsidRPr="00715DC3">
        <w:rPr>
          <w:rFonts w:eastAsia="仿宋" w:hint="eastAsia"/>
          <w:sz w:val="32"/>
          <w:szCs w:val="32"/>
        </w:rPr>
        <w:t>、北京市方圆公证处出具的公证书</w:t>
      </w:r>
    </w:p>
    <w:p w:rsidR="00AA7174" w:rsidRDefault="00AA7174" w:rsidP="003673CA">
      <w:pPr>
        <w:adjustRightInd w:val="0"/>
        <w:snapToGrid w:val="0"/>
        <w:spacing w:line="360" w:lineRule="auto"/>
        <w:ind w:firstLineChars="200" w:firstLine="640"/>
        <w:rPr>
          <w:rFonts w:eastAsia="仿宋"/>
          <w:sz w:val="32"/>
          <w:szCs w:val="32"/>
        </w:rPr>
      </w:pP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特此公告。</w:t>
      </w:r>
    </w:p>
    <w:p w:rsidR="003673CA" w:rsidRPr="00715DC3" w:rsidRDefault="003673CA" w:rsidP="003673CA">
      <w:pPr>
        <w:adjustRightInd w:val="0"/>
        <w:snapToGrid w:val="0"/>
        <w:spacing w:line="360" w:lineRule="auto"/>
        <w:ind w:firstLineChars="200" w:firstLine="640"/>
        <w:rPr>
          <w:rFonts w:eastAsia="仿宋"/>
          <w:sz w:val="32"/>
          <w:szCs w:val="32"/>
        </w:rPr>
      </w:pPr>
    </w:p>
    <w:p w:rsidR="003673CA" w:rsidRPr="00715DC3" w:rsidRDefault="003673CA" w:rsidP="003673CA">
      <w:pPr>
        <w:adjustRightInd w:val="0"/>
        <w:snapToGrid w:val="0"/>
        <w:spacing w:line="360" w:lineRule="auto"/>
        <w:ind w:firstLineChars="200" w:firstLine="640"/>
        <w:jc w:val="right"/>
        <w:rPr>
          <w:rFonts w:eastAsia="仿宋"/>
          <w:sz w:val="32"/>
          <w:szCs w:val="32"/>
        </w:rPr>
      </w:pPr>
      <w:r>
        <w:rPr>
          <w:rFonts w:eastAsia="仿宋" w:hint="eastAsia"/>
          <w:sz w:val="32"/>
          <w:szCs w:val="32"/>
        </w:rPr>
        <w:t>中融基金管理</w:t>
      </w:r>
      <w:r w:rsidRPr="00715DC3">
        <w:rPr>
          <w:rFonts w:eastAsia="仿宋" w:hint="eastAsia"/>
          <w:sz w:val="32"/>
          <w:szCs w:val="32"/>
        </w:rPr>
        <w:t>有限公司</w:t>
      </w:r>
    </w:p>
    <w:p w:rsidR="003673CA" w:rsidRPr="00715DC3" w:rsidRDefault="00E81E78" w:rsidP="003673CA">
      <w:pPr>
        <w:adjustRightInd w:val="0"/>
        <w:snapToGrid w:val="0"/>
        <w:spacing w:line="360" w:lineRule="auto"/>
        <w:ind w:firstLineChars="200" w:firstLine="640"/>
        <w:jc w:val="right"/>
        <w:rPr>
          <w:rFonts w:eastAsia="仿宋"/>
          <w:sz w:val="32"/>
          <w:szCs w:val="32"/>
        </w:rPr>
      </w:pPr>
      <w:r w:rsidRPr="009B2697">
        <w:rPr>
          <w:rFonts w:eastAsia="仿宋" w:hint="eastAsia"/>
          <w:sz w:val="32"/>
          <w:szCs w:val="32"/>
        </w:rPr>
        <w:t>20</w:t>
      </w:r>
      <w:r w:rsidRPr="009B2697">
        <w:rPr>
          <w:rFonts w:eastAsia="仿宋"/>
          <w:sz w:val="32"/>
          <w:szCs w:val="32"/>
        </w:rPr>
        <w:t>2</w:t>
      </w:r>
      <w:r>
        <w:rPr>
          <w:rFonts w:eastAsia="仿宋"/>
          <w:sz w:val="32"/>
          <w:szCs w:val="32"/>
        </w:rPr>
        <w:t>2</w:t>
      </w:r>
      <w:r w:rsidR="003673CA" w:rsidRPr="009B2697">
        <w:rPr>
          <w:rFonts w:eastAsia="仿宋" w:hint="eastAsia"/>
          <w:sz w:val="32"/>
          <w:szCs w:val="32"/>
        </w:rPr>
        <w:t>年</w:t>
      </w:r>
      <w:r w:rsidR="00A50D76">
        <w:rPr>
          <w:rFonts w:eastAsia="仿宋"/>
          <w:sz w:val="32"/>
          <w:szCs w:val="32"/>
        </w:rPr>
        <w:t>11</w:t>
      </w:r>
      <w:r w:rsidR="003673CA" w:rsidRPr="009B2697">
        <w:rPr>
          <w:rFonts w:eastAsia="仿宋" w:hint="eastAsia"/>
          <w:sz w:val="32"/>
          <w:szCs w:val="32"/>
        </w:rPr>
        <w:t>月</w:t>
      </w:r>
      <w:r w:rsidR="00D45526">
        <w:rPr>
          <w:rFonts w:eastAsia="仿宋"/>
          <w:sz w:val="32"/>
          <w:szCs w:val="32"/>
        </w:rPr>
        <w:t>9</w:t>
      </w:r>
      <w:r w:rsidR="003673CA" w:rsidRPr="009B2697">
        <w:rPr>
          <w:rFonts w:eastAsia="仿宋" w:hint="eastAsia"/>
          <w:sz w:val="32"/>
          <w:szCs w:val="32"/>
        </w:rPr>
        <w:t>日</w:t>
      </w:r>
    </w:p>
    <w:p w:rsidR="00640848" w:rsidRDefault="00640848"/>
    <w:p w:rsidR="003673CA" w:rsidRDefault="003673CA"/>
    <w:p w:rsidR="003673CA" w:rsidRDefault="003673CA"/>
    <w:p w:rsidR="003673CA" w:rsidRDefault="003673CA"/>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 w:rsidR="008C280F" w:rsidRDefault="008C280F">
      <w:pPr>
        <w:rPr>
          <w:noProof/>
        </w:rPr>
      </w:pPr>
    </w:p>
    <w:p w:rsidR="00D04937" w:rsidRDefault="00D04937">
      <w:pPr>
        <w:rPr>
          <w:noProof/>
        </w:rPr>
      </w:pPr>
    </w:p>
    <w:p w:rsidR="00D04937" w:rsidRDefault="001B1B88" w:rsidP="0008173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704.25pt">
            <v:imagedata r:id="rId7" o:title="屏幕截图 2022-11-08 165957"/>
          </v:shape>
        </w:pict>
      </w:r>
      <w:bookmarkStart w:id="0" w:name="_GoBack"/>
      <w:bookmarkEnd w:id="0"/>
    </w:p>
    <w:p w:rsidR="003673CA" w:rsidRDefault="0080652F" w:rsidP="0080652F">
      <w:pPr>
        <w:jc w:val="center"/>
      </w:pPr>
      <w:r w:rsidRPr="0080652F">
        <w:rPr>
          <w:noProof/>
        </w:rPr>
        <w:drawing>
          <wp:inline distT="0" distB="0" distL="0" distR="0">
            <wp:extent cx="6160135" cy="92106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160490" cy="9211206"/>
                    </a:xfrm>
                    <a:prstGeom prst="rect">
                      <a:avLst/>
                    </a:prstGeom>
                  </pic:spPr>
                </pic:pic>
              </a:graphicData>
            </a:graphic>
          </wp:inline>
        </w:drawing>
      </w:r>
    </w:p>
    <w:p w:rsidR="003673CA" w:rsidRDefault="0080652F" w:rsidP="0080652F">
      <w:pPr>
        <w:jc w:val="center"/>
      </w:pPr>
      <w:r w:rsidRPr="0080652F">
        <w:rPr>
          <w:noProof/>
        </w:rPr>
        <w:drawing>
          <wp:inline distT="0" distB="0" distL="0" distR="0">
            <wp:extent cx="6198235" cy="92487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213956" cy="9272233"/>
                    </a:xfrm>
                    <a:prstGeom prst="rect">
                      <a:avLst/>
                    </a:prstGeom>
                  </pic:spPr>
                </pic:pic>
              </a:graphicData>
            </a:graphic>
          </wp:inline>
        </w:drawing>
      </w:r>
    </w:p>
    <w:p w:rsidR="003673CA" w:rsidRDefault="0080652F" w:rsidP="0080652F">
      <w:pPr>
        <w:jc w:val="center"/>
      </w:pPr>
      <w:r w:rsidRPr="0080652F">
        <w:rPr>
          <w:noProof/>
        </w:rPr>
        <w:drawing>
          <wp:inline distT="0" distB="0" distL="0" distR="0">
            <wp:extent cx="5654675" cy="918210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661657" cy="9193437"/>
                    </a:xfrm>
                    <a:prstGeom prst="rect">
                      <a:avLst/>
                    </a:prstGeom>
                  </pic:spPr>
                </pic:pic>
              </a:graphicData>
            </a:graphic>
          </wp:inline>
        </w:drawing>
      </w:r>
    </w:p>
    <w:p w:rsidR="009A602E" w:rsidRDefault="0080652F" w:rsidP="0080652F">
      <w:pPr>
        <w:jc w:val="center"/>
      </w:pPr>
      <w:r w:rsidRPr="0080652F">
        <w:rPr>
          <w:noProof/>
        </w:rPr>
        <w:drawing>
          <wp:inline distT="0" distB="0" distL="0" distR="0">
            <wp:extent cx="6124316" cy="8134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147319" cy="8164903"/>
                    </a:xfrm>
                    <a:prstGeom prst="rect">
                      <a:avLst/>
                    </a:prstGeom>
                  </pic:spPr>
                </pic:pic>
              </a:graphicData>
            </a:graphic>
          </wp:inline>
        </w:drawing>
      </w:r>
    </w:p>
    <w:p w:rsidR="008C280F" w:rsidRDefault="008C280F" w:rsidP="00AB7F72"/>
    <w:p w:rsidR="008C280F" w:rsidRDefault="008C280F" w:rsidP="00AB7F72"/>
    <w:p w:rsidR="008C280F" w:rsidRDefault="008C280F" w:rsidP="00AB7F72"/>
    <w:p w:rsidR="008C280F" w:rsidRDefault="008C280F" w:rsidP="00AB7F72"/>
    <w:p w:rsidR="008C280F" w:rsidRDefault="008C280F" w:rsidP="00AB7F72"/>
    <w:p w:rsidR="008C280F" w:rsidRDefault="0080652F" w:rsidP="0080652F">
      <w:pPr>
        <w:jc w:val="center"/>
      </w:pPr>
      <w:r w:rsidRPr="0080652F">
        <w:rPr>
          <w:noProof/>
        </w:rPr>
        <w:drawing>
          <wp:inline distT="0" distB="0" distL="0" distR="0">
            <wp:extent cx="5658694" cy="78295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677439" cy="7855486"/>
                    </a:xfrm>
                    <a:prstGeom prst="rect">
                      <a:avLst/>
                    </a:prstGeom>
                  </pic:spPr>
                </pic:pic>
              </a:graphicData>
            </a:graphic>
          </wp:inline>
        </w:drawing>
      </w:r>
    </w:p>
    <w:p w:rsidR="008C280F" w:rsidRDefault="008C280F" w:rsidP="00AB7F72"/>
    <w:p w:rsidR="00C462CC" w:rsidRDefault="00C462CC" w:rsidP="00AB7F72"/>
    <w:p w:rsidR="00C462CC" w:rsidRDefault="00C462CC" w:rsidP="00AB7F72"/>
    <w:p w:rsidR="00C462CC" w:rsidRDefault="00C462CC" w:rsidP="00AB7F72"/>
    <w:p w:rsidR="00C462CC" w:rsidRDefault="00C462CC" w:rsidP="00AB7F72"/>
    <w:p w:rsidR="00C462CC" w:rsidRDefault="00C462CC" w:rsidP="00AB7F72"/>
    <w:p w:rsidR="00C462CC" w:rsidRDefault="00C462CC" w:rsidP="00AB7F72"/>
    <w:p w:rsidR="00C462CC" w:rsidRPr="00345298" w:rsidRDefault="00C462CC" w:rsidP="00C462CC">
      <w:pPr>
        <w:jc w:val="center"/>
      </w:pPr>
      <w:r w:rsidRPr="00C462CC">
        <w:rPr>
          <w:noProof/>
        </w:rPr>
        <w:drawing>
          <wp:inline distT="0" distB="0" distL="0" distR="0">
            <wp:extent cx="6355582" cy="75438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365917" cy="7556067"/>
                    </a:xfrm>
                    <a:prstGeom prst="rect">
                      <a:avLst/>
                    </a:prstGeom>
                  </pic:spPr>
                </pic:pic>
              </a:graphicData>
            </a:graphic>
          </wp:inline>
        </w:drawing>
      </w:r>
    </w:p>
    <w:sectPr w:rsidR="00C462CC" w:rsidRPr="00345298" w:rsidSect="0076460B">
      <w:pgSz w:w="11906" w:h="16838"/>
      <w:pgMar w:top="964" w:right="964" w:bottom="964" w:left="96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1F" w:rsidRDefault="0069011F" w:rsidP="003673CA">
      <w:r>
        <w:separator/>
      </w:r>
    </w:p>
  </w:endnote>
  <w:endnote w:type="continuationSeparator" w:id="0">
    <w:p w:rsidR="0069011F" w:rsidRDefault="0069011F" w:rsidP="00367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1F" w:rsidRDefault="0069011F" w:rsidP="003673CA">
      <w:r>
        <w:separator/>
      </w:r>
    </w:p>
  </w:footnote>
  <w:footnote w:type="continuationSeparator" w:id="0">
    <w:p w:rsidR="0069011F" w:rsidRDefault="0069011F" w:rsidP="00367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947"/>
    <w:rsid w:val="0002162F"/>
    <w:rsid w:val="0002455A"/>
    <w:rsid w:val="00024ADF"/>
    <w:rsid w:val="00040CFF"/>
    <w:rsid w:val="00063384"/>
    <w:rsid w:val="000778E4"/>
    <w:rsid w:val="00081731"/>
    <w:rsid w:val="0008321B"/>
    <w:rsid w:val="000A0DA4"/>
    <w:rsid w:val="000C5936"/>
    <w:rsid w:val="000F61A0"/>
    <w:rsid w:val="001071BC"/>
    <w:rsid w:val="00123349"/>
    <w:rsid w:val="00150E84"/>
    <w:rsid w:val="001B1B88"/>
    <w:rsid w:val="001C5CF8"/>
    <w:rsid w:val="001D5791"/>
    <w:rsid w:val="00202D9D"/>
    <w:rsid w:val="002228D1"/>
    <w:rsid w:val="00224717"/>
    <w:rsid w:val="00236326"/>
    <w:rsid w:val="0027626E"/>
    <w:rsid w:val="00287745"/>
    <w:rsid w:val="002F4E02"/>
    <w:rsid w:val="00326F38"/>
    <w:rsid w:val="00345298"/>
    <w:rsid w:val="003673CA"/>
    <w:rsid w:val="003B5023"/>
    <w:rsid w:val="003C161B"/>
    <w:rsid w:val="00415947"/>
    <w:rsid w:val="004447BE"/>
    <w:rsid w:val="0044506C"/>
    <w:rsid w:val="004E2E2E"/>
    <w:rsid w:val="00583049"/>
    <w:rsid w:val="005A14B6"/>
    <w:rsid w:val="005A3380"/>
    <w:rsid w:val="005A6D18"/>
    <w:rsid w:val="005D2A85"/>
    <w:rsid w:val="00600731"/>
    <w:rsid w:val="00630B87"/>
    <w:rsid w:val="00640848"/>
    <w:rsid w:val="0065280E"/>
    <w:rsid w:val="006876D0"/>
    <w:rsid w:val="0069011F"/>
    <w:rsid w:val="006D518C"/>
    <w:rsid w:val="006D7F82"/>
    <w:rsid w:val="0076460B"/>
    <w:rsid w:val="007E126F"/>
    <w:rsid w:val="0080652F"/>
    <w:rsid w:val="008256A5"/>
    <w:rsid w:val="008839E1"/>
    <w:rsid w:val="008C280F"/>
    <w:rsid w:val="008C5925"/>
    <w:rsid w:val="00910870"/>
    <w:rsid w:val="009243D7"/>
    <w:rsid w:val="00972937"/>
    <w:rsid w:val="009809E6"/>
    <w:rsid w:val="009A201E"/>
    <w:rsid w:val="009A602E"/>
    <w:rsid w:val="009F5BC8"/>
    <w:rsid w:val="00A025AC"/>
    <w:rsid w:val="00A1558F"/>
    <w:rsid w:val="00A42986"/>
    <w:rsid w:val="00A50D76"/>
    <w:rsid w:val="00A65E64"/>
    <w:rsid w:val="00A66E46"/>
    <w:rsid w:val="00A92DAE"/>
    <w:rsid w:val="00AA7174"/>
    <w:rsid w:val="00AB7F72"/>
    <w:rsid w:val="00B1141E"/>
    <w:rsid w:val="00B1413E"/>
    <w:rsid w:val="00B20BAD"/>
    <w:rsid w:val="00B60B5E"/>
    <w:rsid w:val="00C462CC"/>
    <w:rsid w:val="00C65DA0"/>
    <w:rsid w:val="00D04937"/>
    <w:rsid w:val="00D12653"/>
    <w:rsid w:val="00D15AAA"/>
    <w:rsid w:val="00D22A88"/>
    <w:rsid w:val="00D401AC"/>
    <w:rsid w:val="00D449F5"/>
    <w:rsid w:val="00D45526"/>
    <w:rsid w:val="00D5510F"/>
    <w:rsid w:val="00D86A94"/>
    <w:rsid w:val="00DC4F04"/>
    <w:rsid w:val="00DD5163"/>
    <w:rsid w:val="00DF36E6"/>
    <w:rsid w:val="00E41405"/>
    <w:rsid w:val="00E62473"/>
    <w:rsid w:val="00E71D02"/>
    <w:rsid w:val="00E81E78"/>
    <w:rsid w:val="00F5209C"/>
    <w:rsid w:val="00FA321E"/>
    <w:rsid w:val="00FC0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3CA"/>
    <w:rPr>
      <w:sz w:val="18"/>
      <w:szCs w:val="18"/>
    </w:rPr>
  </w:style>
  <w:style w:type="paragraph" w:styleId="a4">
    <w:name w:val="footer"/>
    <w:basedOn w:val="a"/>
    <w:link w:val="Char0"/>
    <w:uiPriority w:val="99"/>
    <w:unhideWhenUsed/>
    <w:rsid w:val="003673CA"/>
    <w:pPr>
      <w:tabs>
        <w:tab w:val="center" w:pos="4153"/>
        <w:tab w:val="right" w:pos="8306"/>
      </w:tabs>
      <w:snapToGrid w:val="0"/>
      <w:jc w:val="left"/>
    </w:pPr>
    <w:rPr>
      <w:sz w:val="18"/>
      <w:szCs w:val="18"/>
    </w:rPr>
  </w:style>
  <w:style w:type="character" w:customStyle="1" w:styleId="Char0">
    <w:name w:val="页脚 Char"/>
    <w:basedOn w:val="a0"/>
    <w:link w:val="a4"/>
    <w:uiPriority w:val="99"/>
    <w:rsid w:val="003673CA"/>
    <w:rPr>
      <w:sz w:val="18"/>
      <w:szCs w:val="18"/>
    </w:rPr>
  </w:style>
  <w:style w:type="character" w:styleId="a5">
    <w:name w:val="Hyperlink"/>
    <w:basedOn w:val="a0"/>
    <w:uiPriority w:val="99"/>
    <w:unhideWhenUsed/>
    <w:rsid w:val="003673CA"/>
    <w:rPr>
      <w:color w:val="0563C1" w:themeColor="hyperlink"/>
      <w:u w:val="single"/>
    </w:rPr>
  </w:style>
  <w:style w:type="paragraph" w:styleId="a6">
    <w:name w:val="Balloon Text"/>
    <w:basedOn w:val="a"/>
    <w:link w:val="Char1"/>
    <w:uiPriority w:val="99"/>
    <w:semiHidden/>
    <w:unhideWhenUsed/>
    <w:rsid w:val="00D15AAA"/>
    <w:rPr>
      <w:sz w:val="18"/>
      <w:szCs w:val="18"/>
    </w:rPr>
  </w:style>
  <w:style w:type="character" w:customStyle="1" w:styleId="Char1">
    <w:name w:val="批注框文本 Char"/>
    <w:basedOn w:val="a0"/>
    <w:link w:val="a6"/>
    <w:uiPriority w:val="99"/>
    <w:semiHidden/>
    <w:rsid w:val="00D15AAA"/>
    <w:rPr>
      <w:rFonts w:ascii="Times New Roman" w:eastAsia="宋体" w:hAnsi="Times New Roman" w:cs="Times New Roman"/>
      <w:sz w:val="18"/>
      <w:szCs w:val="18"/>
    </w:rPr>
  </w:style>
  <w:style w:type="paragraph" w:customStyle="1" w:styleId="neirong">
    <w:name w:val="neirong"/>
    <w:basedOn w:val="a"/>
    <w:rsid w:val="00345298"/>
    <w:pPr>
      <w:widowControl/>
      <w:autoSpaceDE w:val="0"/>
      <w:autoSpaceDN w:val="0"/>
      <w:adjustRightInd w:val="0"/>
      <w:spacing w:before="29" w:line="288" w:lineRule="auto"/>
      <w:ind w:left="15"/>
      <w:jc w:val="left"/>
    </w:pPr>
    <w:rPr>
      <w:rFonts w:ascii="宋体" w:hAnsi="宋体" w:cs="宋体"/>
      <w:kern w:val="0"/>
      <w:sz w:val="24"/>
      <w:szCs w:val="24"/>
    </w:rPr>
  </w:style>
  <w:style w:type="character" w:styleId="a7">
    <w:name w:val="annotation reference"/>
    <w:basedOn w:val="a0"/>
    <w:uiPriority w:val="99"/>
    <w:semiHidden/>
    <w:unhideWhenUsed/>
    <w:rsid w:val="001C5CF8"/>
    <w:rPr>
      <w:sz w:val="21"/>
      <w:szCs w:val="21"/>
    </w:rPr>
  </w:style>
  <w:style w:type="paragraph" w:styleId="a8">
    <w:name w:val="annotation text"/>
    <w:basedOn w:val="a"/>
    <w:link w:val="Char2"/>
    <w:uiPriority w:val="99"/>
    <w:semiHidden/>
    <w:unhideWhenUsed/>
    <w:rsid w:val="001C5CF8"/>
    <w:pPr>
      <w:jc w:val="left"/>
    </w:pPr>
  </w:style>
  <w:style w:type="character" w:customStyle="1" w:styleId="Char2">
    <w:name w:val="批注文字 Char"/>
    <w:basedOn w:val="a0"/>
    <w:link w:val="a8"/>
    <w:uiPriority w:val="99"/>
    <w:semiHidden/>
    <w:rsid w:val="001C5CF8"/>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1C5CF8"/>
    <w:rPr>
      <w:b/>
      <w:bCs/>
    </w:rPr>
  </w:style>
  <w:style w:type="character" w:customStyle="1" w:styleId="Char3">
    <w:name w:val="批注主题 Char"/>
    <w:basedOn w:val="Char2"/>
    <w:link w:val="a9"/>
    <w:uiPriority w:val="99"/>
    <w:semiHidden/>
    <w:rsid w:val="001C5CF8"/>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317001958">
      <w:bodyDiv w:val="1"/>
      <w:marLeft w:val="0"/>
      <w:marRight w:val="0"/>
      <w:marTop w:val="0"/>
      <w:marBottom w:val="0"/>
      <w:divBdr>
        <w:top w:val="none" w:sz="0" w:space="0" w:color="auto"/>
        <w:left w:val="none" w:sz="0" w:space="0" w:color="auto"/>
        <w:bottom w:val="none" w:sz="0" w:space="0" w:color="auto"/>
        <w:right w:val="none" w:sz="0" w:space="0" w:color="auto"/>
      </w:divBdr>
      <w:divsChild>
        <w:div w:id="324405386">
          <w:marLeft w:val="0"/>
          <w:marRight w:val="0"/>
          <w:marTop w:val="0"/>
          <w:marBottom w:val="0"/>
          <w:divBdr>
            <w:top w:val="none" w:sz="0" w:space="0" w:color="auto"/>
            <w:left w:val="none" w:sz="0" w:space="0" w:color="auto"/>
            <w:bottom w:val="none" w:sz="0" w:space="0" w:color="auto"/>
            <w:right w:val="none" w:sz="0" w:space="0" w:color="auto"/>
          </w:divBdr>
        </w:div>
      </w:divsChild>
    </w:div>
    <w:div w:id="477503190">
      <w:bodyDiv w:val="1"/>
      <w:marLeft w:val="0"/>
      <w:marRight w:val="0"/>
      <w:marTop w:val="0"/>
      <w:marBottom w:val="0"/>
      <w:divBdr>
        <w:top w:val="none" w:sz="0" w:space="0" w:color="auto"/>
        <w:left w:val="none" w:sz="0" w:space="0" w:color="auto"/>
        <w:bottom w:val="none" w:sz="0" w:space="0" w:color="auto"/>
        <w:right w:val="none" w:sz="0" w:space="0" w:color="auto"/>
      </w:divBdr>
      <w:divsChild>
        <w:div w:id="62145578">
          <w:marLeft w:val="0"/>
          <w:marRight w:val="0"/>
          <w:marTop w:val="0"/>
          <w:marBottom w:val="0"/>
          <w:divBdr>
            <w:top w:val="none" w:sz="0" w:space="0" w:color="auto"/>
            <w:left w:val="none" w:sz="0" w:space="0" w:color="auto"/>
            <w:bottom w:val="none" w:sz="0" w:space="0" w:color="auto"/>
            <w:right w:val="none" w:sz="0" w:space="0" w:color="auto"/>
          </w:divBdr>
        </w:div>
      </w:divsChild>
    </w:div>
    <w:div w:id="934048566">
      <w:bodyDiv w:val="1"/>
      <w:marLeft w:val="0"/>
      <w:marRight w:val="0"/>
      <w:marTop w:val="0"/>
      <w:marBottom w:val="0"/>
      <w:divBdr>
        <w:top w:val="none" w:sz="0" w:space="0" w:color="auto"/>
        <w:left w:val="none" w:sz="0" w:space="0" w:color="auto"/>
        <w:bottom w:val="none" w:sz="0" w:space="0" w:color="auto"/>
        <w:right w:val="none" w:sz="0" w:space="0" w:color="auto"/>
      </w:divBdr>
      <w:divsChild>
        <w:div w:id="890312120">
          <w:marLeft w:val="0"/>
          <w:marRight w:val="0"/>
          <w:marTop w:val="0"/>
          <w:marBottom w:val="0"/>
          <w:divBdr>
            <w:top w:val="none" w:sz="0" w:space="0" w:color="auto"/>
            <w:left w:val="none" w:sz="0" w:space="0" w:color="auto"/>
            <w:bottom w:val="none" w:sz="0" w:space="0" w:color="auto"/>
            <w:right w:val="none" w:sz="0" w:space="0" w:color="auto"/>
          </w:divBdr>
        </w:div>
      </w:divsChild>
    </w:div>
    <w:div w:id="1198855286">
      <w:bodyDiv w:val="1"/>
      <w:marLeft w:val="0"/>
      <w:marRight w:val="0"/>
      <w:marTop w:val="0"/>
      <w:marBottom w:val="0"/>
      <w:divBdr>
        <w:top w:val="none" w:sz="0" w:space="0" w:color="auto"/>
        <w:left w:val="none" w:sz="0" w:space="0" w:color="auto"/>
        <w:bottom w:val="none" w:sz="0" w:space="0" w:color="auto"/>
        <w:right w:val="none" w:sz="0" w:space="0" w:color="auto"/>
      </w:divBdr>
      <w:divsChild>
        <w:div w:id="821845924">
          <w:marLeft w:val="0"/>
          <w:marRight w:val="0"/>
          <w:marTop w:val="0"/>
          <w:marBottom w:val="0"/>
          <w:divBdr>
            <w:top w:val="none" w:sz="0" w:space="0" w:color="auto"/>
            <w:left w:val="none" w:sz="0" w:space="0" w:color="auto"/>
            <w:bottom w:val="none" w:sz="0" w:space="0" w:color="auto"/>
            <w:right w:val="none" w:sz="0" w:space="0" w:color="auto"/>
          </w:divBdr>
        </w:div>
      </w:divsChild>
    </w:div>
    <w:div w:id="1230843676">
      <w:bodyDiv w:val="1"/>
      <w:marLeft w:val="0"/>
      <w:marRight w:val="0"/>
      <w:marTop w:val="0"/>
      <w:marBottom w:val="0"/>
      <w:divBdr>
        <w:top w:val="none" w:sz="0" w:space="0" w:color="auto"/>
        <w:left w:val="none" w:sz="0" w:space="0" w:color="auto"/>
        <w:bottom w:val="none" w:sz="0" w:space="0" w:color="auto"/>
        <w:right w:val="none" w:sz="0" w:space="0" w:color="auto"/>
      </w:divBdr>
      <w:divsChild>
        <w:div w:id="1953128493">
          <w:marLeft w:val="0"/>
          <w:marRight w:val="0"/>
          <w:marTop w:val="0"/>
          <w:marBottom w:val="0"/>
          <w:divBdr>
            <w:top w:val="none" w:sz="0" w:space="0" w:color="auto"/>
            <w:left w:val="none" w:sz="0" w:space="0" w:color="auto"/>
            <w:bottom w:val="none" w:sz="0" w:space="0" w:color="auto"/>
            <w:right w:val="none" w:sz="0" w:space="0" w:color="auto"/>
          </w:divBdr>
        </w:div>
      </w:divsChild>
    </w:div>
    <w:div w:id="1352609597">
      <w:bodyDiv w:val="1"/>
      <w:marLeft w:val="0"/>
      <w:marRight w:val="0"/>
      <w:marTop w:val="0"/>
      <w:marBottom w:val="0"/>
      <w:divBdr>
        <w:top w:val="none" w:sz="0" w:space="0" w:color="auto"/>
        <w:left w:val="none" w:sz="0" w:space="0" w:color="auto"/>
        <w:bottom w:val="none" w:sz="0" w:space="0" w:color="auto"/>
        <w:right w:val="none" w:sz="0" w:space="0" w:color="auto"/>
      </w:divBdr>
      <w:divsChild>
        <w:div w:id="1437092544">
          <w:marLeft w:val="0"/>
          <w:marRight w:val="0"/>
          <w:marTop w:val="0"/>
          <w:marBottom w:val="0"/>
          <w:divBdr>
            <w:top w:val="none" w:sz="0" w:space="0" w:color="auto"/>
            <w:left w:val="none" w:sz="0" w:space="0" w:color="auto"/>
            <w:bottom w:val="none" w:sz="0" w:space="0" w:color="auto"/>
            <w:right w:val="none" w:sz="0" w:space="0" w:color="auto"/>
          </w:divBdr>
        </w:div>
      </w:divsChild>
    </w:div>
    <w:div w:id="2127655259">
      <w:bodyDiv w:val="1"/>
      <w:marLeft w:val="0"/>
      <w:marRight w:val="0"/>
      <w:marTop w:val="0"/>
      <w:marBottom w:val="0"/>
      <w:divBdr>
        <w:top w:val="none" w:sz="0" w:space="0" w:color="auto"/>
        <w:left w:val="none" w:sz="0" w:space="0" w:color="auto"/>
        <w:bottom w:val="none" w:sz="0" w:space="0" w:color="auto"/>
        <w:right w:val="none" w:sz="0" w:space="0" w:color="auto"/>
      </w:divBdr>
      <w:divsChild>
        <w:div w:id="189681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D044-4714-4968-A3C1-9838DA0B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1292</Characters>
  <Application>Microsoft Office Word</Application>
  <DocSecurity>4</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魏立超</dc:creator>
  <cp:keywords/>
  <dc:description/>
  <cp:lastModifiedBy>ZHONGM</cp:lastModifiedBy>
  <cp:revision>2</cp:revision>
  <cp:lastPrinted>2022-07-26T07:28:00Z</cp:lastPrinted>
  <dcterms:created xsi:type="dcterms:W3CDTF">2022-11-08T16:02:00Z</dcterms:created>
  <dcterms:modified xsi:type="dcterms:W3CDTF">2022-11-08T16:02:00Z</dcterms:modified>
</cp:coreProperties>
</file>