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F566F" w:rsidRDefault="000E6308" w:rsidP="0044723E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 w:hint="eastAsia"/>
          <w:b/>
          <w:bCs/>
          <w:sz w:val="48"/>
          <w:szCs w:val="30"/>
        </w:rPr>
        <w:t>关于暂停招商中证香港科技交易型开放式指数证券投资基金（</w:t>
      </w:r>
      <w:r>
        <w:rPr>
          <w:rFonts w:ascii="宋体" w:hAnsi="宋体"/>
          <w:b/>
          <w:bCs/>
          <w:sz w:val="48"/>
          <w:szCs w:val="30"/>
        </w:rPr>
        <w:t>QDII）申购和赎回业务的公告</w:t>
      </w: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1358C" w:rsidRDefault="00F44B77" w:rsidP="00E1358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公告送出日期：</w:t>
      </w:r>
      <w:r w:rsidR="000E6308">
        <w:rPr>
          <w:rFonts w:hint="eastAsia"/>
          <w:b/>
          <w:sz w:val="24"/>
        </w:rPr>
        <w:t>2022</w:t>
      </w:r>
      <w:r w:rsidR="000E6308">
        <w:rPr>
          <w:rFonts w:hint="eastAsia"/>
          <w:b/>
          <w:sz w:val="24"/>
        </w:rPr>
        <w:t>年</w:t>
      </w:r>
      <w:r w:rsidR="001A2F9C">
        <w:rPr>
          <w:b/>
          <w:sz w:val="24"/>
        </w:rPr>
        <w:t>11</w:t>
      </w:r>
      <w:r w:rsidR="000E6308">
        <w:rPr>
          <w:rFonts w:hint="eastAsia"/>
          <w:b/>
          <w:sz w:val="24"/>
        </w:rPr>
        <w:t>月</w:t>
      </w:r>
      <w:r w:rsidR="001A2F9C">
        <w:rPr>
          <w:b/>
          <w:sz w:val="24"/>
        </w:rPr>
        <w:t>2</w:t>
      </w:r>
      <w:r w:rsidR="000E6308">
        <w:rPr>
          <w:rFonts w:hint="eastAsia"/>
          <w:b/>
          <w:sz w:val="24"/>
        </w:rPr>
        <w:t>日</w:t>
      </w:r>
    </w:p>
    <w:p w:rsidR="0006750C" w:rsidRPr="00E1358C" w:rsidRDefault="00E1358C" w:rsidP="00E1358C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E46AD4" w:rsidRDefault="000E6308" w:rsidP="000E6308">
      <w:pPr>
        <w:pStyle w:val="-1"/>
      </w:pPr>
      <w:r>
        <w:rPr>
          <w:rFonts w:hint="eastAsia"/>
        </w:rPr>
        <w:lastRenderedPageBreak/>
        <w:t>公告基本信息</w:t>
      </w:r>
    </w:p>
    <w:tbl>
      <w:tblPr>
        <w:tblStyle w:val="-noheader"/>
        <w:tblW w:w="0" w:type="auto"/>
        <w:tblLayout w:type="fixed"/>
        <w:tblLook w:val="04A0"/>
      </w:tblPr>
      <w:tblGrid>
        <w:gridCol w:w="2840"/>
        <w:gridCol w:w="2841"/>
        <w:gridCol w:w="2841"/>
      </w:tblGrid>
      <w:tr w:rsidR="000E6308" w:rsidTr="00532A25">
        <w:tc>
          <w:tcPr>
            <w:tcW w:w="5681" w:type="dxa"/>
            <w:gridSpan w:val="2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2841" w:type="dxa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招商中证香港科技交易型开放式指数证券投资基金（</w:t>
            </w:r>
            <w:r>
              <w:rPr>
                <w:rFonts w:hint="eastAsia"/>
              </w:rPr>
              <w:t>QDII</w:t>
            </w:r>
            <w:r>
              <w:rPr>
                <w:rFonts w:hint="eastAsia"/>
              </w:rPr>
              <w:t>）</w:t>
            </w:r>
          </w:p>
        </w:tc>
      </w:tr>
      <w:tr w:rsidR="000E6308" w:rsidTr="00F028A0">
        <w:tc>
          <w:tcPr>
            <w:tcW w:w="5681" w:type="dxa"/>
            <w:gridSpan w:val="2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2841" w:type="dxa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招商中证香港科技</w:t>
            </w:r>
            <w:r>
              <w:rPr>
                <w:rFonts w:hint="eastAsia"/>
              </w:rPr>
              <w:t>ETF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QDII</w:t>
            </w:r>
            <w:r>
              <w:rPr>
                <w:rFonts w:hint="eastAsia"/>
              </w:rPr>
              <w:t>）（场内简称：香港科技</w:t>
            </w:r>
            <w:r>
              <w:rPr>
                <w:rFonts w:hint="eastAsia"/>
              </w:rPr>
              <w:t>50ETF</w:t>
            </w:r>
            <w:r>
              <w:rPr>
                <w:rFonts w:hint="eastAsia"/>
              </w:rPr>
              <w:t>）</w:t>
            </w:r>
          </w:p>
        </w:tc>
      </w:tr>
      <w:tr w:rsidR="000E6308" w:rsidTr="00F353DE">
        <w:tc>
          <w:tcPr>
            <w:tcW w:w="5681" w:type="dxa"/>
            <w:gridSpan w:val="2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2841" w:type="dxa"/>
          </w:tcPr>
          <w:p w:rsidR="000E6308" w:rsidRDefault="000E6308" w:rsidP="000E6308">
            <w:pPr>
              <w:jc w:val="left"/>
            </w:pPr>
            <w:r>
              <w:t>159750</w:t>
            </w:r>
          </w:p>
        </w:tc>
      </w:tr>
      <w:tr w:rsidR="000E6308" w:rsidTr="00B458C0">
        <w:tc>
          <w:tcPr>
            <w:tcW w:w="5681" w:type="dxa"/>
            <w:gridSpan w:val="2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2841" w:type="dxa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招商基金管理有限公司</w:t>
            </w:r>
          </w:p>
        </w:tc>
      </w:tr>
      <w:tr w:rsidR="000E6308" w:rsidTr="001C79BE">
        <w:tc>
          <w:tcPr>
            <w:tcW w:w="5681" w:type="dxa"/>
            <w:gridSpan w:val="2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2841" w:type="dxa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根据法律法规及《招商中证香港科技交易型开放式指数证券投资基金（</w:t>
            </w:r>
            <w:r>
              <w:rPr>
                <w:rFonts w:hint="eastAsia"/>
              </w:rPr>
              <w:t>QDII</w:t>
            </w:r>
            <w:r>
              <w:rPr>
                <w:rFonts w:hint="eastAsia"/>
              </w:rPr>
              <w:t>）基金合同》、《招商中证香港科技交易型开放式指数证券投资基金（</w:t>
            </w:r>
            <w:r>
              <w:rPr>
                <w:rFonts w:hint="eastAsia"/>
              </w:rPr>
              <w:t>QDII</w:t>
            </w:r>
            <w:r>
              <w:rPr>
                <w:rFonts w:hint="eastAsia"/>
              </w:rPr>
              <w:t>）招募说明书》等相关规定。</w:t>
            </w:r>
          </w:p>
        </w:tc>
      </w:tr>
      <w:tr w:rsidR="000E6308" w:rsidTr="000E6308">
        <w:tc>
          <w:tcPr>
            <w:tcW w:w="2840" w:type="dxa"/>
            <w:vMerge w:val="restart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2841" w:type="dxa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暂停申购起始日</w:t>
            </w:r>
          </w:p>
        </w:tc>
        <w:tc>
          <w:tcPr>
            <w:tcW w:w="2841" w:type="dxa"/>
          </w:tcPr>
          <w:p w:rsidR="000E6308" w:rsidRDefault="000E6308" w:rsidP="005D63D1">
            <w:pPr>
              <w:jc w:val="left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5D63D1">
              <w:t>11</w:t>
            </w:r>
            <w:r>
              <w:rPr>
                <w:rFonts w:hint="eastAsia"/>
              </w:rPr>
              <w:t>月</w:t>
            </w:r>
            <w:r w:rsidR="005D63D1">
              <w:t>2</w:t>
            </w:r>
            <w:r>
              <w:rPr>
                <w:rFonts w:hint="eastAsia"/>
              </w:rPr>
              <w:t>日</w:t>
            </w:r>
          </w:p>
        </w:tc>
      </w:tr>
      <w:tr w:rsidR="000E6308" w:rsidTr="000E6308">
        <w:tc>
          <w:tcPr>
            <w:tcW w:w="2840" w:type="dxa"/>
            <w:vMerge/>
          </w:tcPr>
          <w:p w:rsidR="000E6308" w:rsidRDefault="000E6308" w:rsidP="000E6308">
            <w:pPr>
              <w:jc w:val="left"/>
            </w:pPr>
          </w:p>
        </w:tc>
        <w:tc>
          <w:tcPr>
            <w:tcW w:w="2841" w:type="dxa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暂停赎回起始日</w:t>
            </w:r>
          </w:p>
        </w:tc>
        <w:tc>
          <w:tcPr>
            <w:tcW w:w="2841" w:type="dxa"/>
          </w:tcPr>
          <w:p w:rsidR="000E6308" w:rsidRDefault="000E6308" w:rsidP="005D63D1">
            <w:pPr>
              <w:jc w:val="left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5D63D1">
              <w:t>11</w:t>
            </w:r>
            <w:r>
              <w:rPr>
                <w:rFonts w:hint="eastAsia"/>
              </w:rPr>
              <w:t>月</w:t>
            </w:r>
            <w:r w:rsidR="005D63D1">
              <w:t>2</w:t>
            </w:r>
            <w:r>
              <w:rPr>
                <w:rFonts w:hint="eastAsia"/>
              </w:rPr>
              <w:t>日</w:t>
            </w:r>
          </w:p>
        </w:tc>
      </w:tr>
      <w:tr w:rsidR="000E6308" w:rsidTr="000E6308">
        <w:tc>
          <w:tcPr>
            <w:tcW w:w="2840" w:type="dxa"/>
            <w:vMerge/>
          </w:tcPr>
          <w:p w:rsidR="000E6308" w:rsidRDefault="000E6308" w:rsidP="000E6308">
            <w:pPr>
              <w:jc w:val="left"/>
            </w:pPr>
          </w:p>
        </w:tc>
        <w:tc>
          <w:tcPr>
            <w:tcW w:w="2841" w:type="dxa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2841" w:type="dxa"/>
          </w:tcPr>
          <w:p w:rsidR="000E6308" w:rsidRDefault="000E6308" w:rsidP="000E6308">
            <w:pPr>
              <w:jc w:val="left"/>
            </w:pPr>
            <w:r>
              <w:rPr>
                <w:rFonts w:hint="eastAsia"/>
              </w:rPr>
              <w:t>为保障基金的平稳运作，维护基金份额持有人利益。</w:t>
            </w:r>
          </w:p>
        </w:tc>
      </w:tr>
    </w:tbl>
    <w:p w:rsidR="000E6308" w:rsidRDefault="000E6308" w:rsidP="000E6308">
      <w:pPr>
        <w:pStyle w:val="-1"/>
      </w:pPr>
      <w:r>
        <w:rPr>
          <w:rFonts w:hint="eastAsia"/>
        </w:rPr>
        <w:t>其他需要提示的事项</w:t>
      </w:r>
    </w:p>
    <w:p w:rsidR="000E6308" w:rsidRDefault="000E6308" w:rsidP="000E6308">
      <w:pPr>
        <w:pStyle w:val="-"/>
        <w:ind w:firstLine="420"/>
      </w:pPr>
      <w:r>
        <w:rPr>
          <w:rFonts w:hint="eastAsia"/>
        </w:rPr>
        <w:t>根据香港交易所2022年</w:t>
      </w:r>
      <w:r w:rsidR="00E94850">
        <w:t>11</w:t>
      </w:r>
      <w:r>
        <w:rPr>
          <w:rFonts w:hint="eastAsia"/>
        </w:rPr>
        <w:t>月</w:t>
      </w:r>
      <w:r w:rsidR="00E94850">
        <w:t>2</w:t>
      </w:r>
      <w:r>
        <w:rPr>
          <w:rFonts w:hint="eastAsia"/>
        </w:rPr>
        <w:t>日发布的公告，受台风天气影响，香港证券及衍生产品市场于2022年</w:t>
      </w:r>
      <w:r w:rsidR="00E94850">
        <w:t>11</w:t>
      </w:r>
      <w:r>
        <w:rPr>
          <w:rFonts w:hint="eastAsia"/>
        </w:rPr>
        <w:t>月</w:t>
      </w:r>
      <w:r w:rsidR="00E94850">
        <w:t>2</w:t>
      </w:r>
      <w:r>
        <w:rPr>
          <w:rFonts w:hint="eastAsia"/>
        </w:rPr>
        <w:t>日</w:t>
      </w:r>
      <w:r w:rsidR="004543B4" w:rsidRPr="004543B4">
        <w:rPr>
          <w:rFonts w:hint="eastAsia"/>
          <w:lang w:eastAsia="zh-CN"/>
        </w:rPr>
        <w:t>下午盘中即时</w:t>
      </w:r>
      <w:r w:rsidR="00193EA9">
        <w:rPr>
          <w:rFonts w:hint="eastAsia"/>
        </w:rPr>
        <w:t>暂停交易。为保障</w:t>
      </w:r>
      <w:r>
        <w:rPr>
          <w:rFonts w:hint="eastAsia"/>
        </w:rPr>
        <w:t>基金的平稳运作，维护基金持有人利益，招商基金管理有限公司（以下简称“本公司”）决定</w:t>
      </w:r>
      <w:r w:rsidR="00D34F8B">
        <w:rPr>
          <w:rFonts w:hint="eastAsia"/>
        </w:rPr>
        <w:t>于</w:t>
      </w:r>
      <w:r>
        <w:rPr>
          <w:rFonts w:hint="eastAsia"/>
        </w:rPr>
        <w:t>2022年</w:t>
      </w:r>
      <w:r w:rsidR="009F062D">
        <w:t>11</w:t>
      </w:r>
      <w:r>
        <w:rPr>
          <w:rFonts w:hint="eastAsia"/>
        </w:rPr>
        <w:t>月</w:t>
      </w:r>
      <w:r w:rsidR="009F062D">
        <w:t>2</w:t>
      </w:r>
      <w:r>
        <w:rPr>
          <w:rFonts w:hint="eastAsia"/>
        </w:rPr>
        <w:t>日</w:t>
      </w:r>
      <w:r w:rsidR="004543B4" w:rsidRPr="004543B4">
        <w:rPr>
          <w:rFonts w:hint="eastAsia"/>
        </w:rPr>
        <w:t>下午盘中即时</w:t>
      </w:r>
      <w:bookmarkStart w:id="0" w:name="_GoBack"/>
      <w:bookmarkEnd w:id="0"/>
      <w:r>
        <w:rPr>
          <w:rFonts w:hint="eastAsia"/>
        </w:rPr>
        <w:t>暂停招商中证香港科技交易型开放式指数证券投资基金（QDII）（以下简称“本基金”）的申购和赎回业务。</w:t>
      </w:r>
    </w:p>
    <w:p w:rsidR="000E6308" w:rsidRDefault="000E6308" w:rsidP="000E6308">
      <w:pPr>
        <w:pStyle w:val="-"/>
        <w:ind w:firstLine="420"/>
      </w:pPr>
      <w:r>
        <w:rPr>
          <w:rFonts w:hint="eastAsia"/>
        </w:rPr>
        <w:t>2022年</w:t>
      </w:r>
      <w:r w:rsidR="000B3CA1">
        <w:t>11</w:t>
      </w:r>
      <w:r>
        <w:rPr>
          <w:rFonts w:hint="eastAsia"/>
        </w:rPr>
        <w:t>月</w:t>
      </w:r>
      <w:r w:rsidR="000B3CA1">
        <w:t>3</w:t>
      </w:r>
      <w:r>
        <w:rPr>
          <w:rFonts w:hint="eastAsia"/>
        </w:rPr>
        <w:t>日起恢复本基金的申购和赎回业务，届时将不再另行公告。</w:t>
      </w:r>
    </w:p>
    <w:p w:rsidR="000E6308" w:rsidRDefault="000E6308" w:rsidP="000E6308">
      <w:pPr>
        <w:pStyle w:val="-"/>
        <w:ind w:firstLine="420"/>
      </w:pPr>
      <w:r>
        <w:rPr>
          <w:rFonts w:hint="eastAsia"/>
        </w:rPr>
        <w:t>如有疑问，请拨打客户服务热线：400-887-9555（免长途话费），或登陆网站www.cmfchina.com获取相关信息。</w:t>
      </w:r>
    </w:p>
    <w:p w:rsidR="000E6308" w:rsidRDefault="000E6308" w:rsidP="000E6308">
      <w:pPr>
        <w:pStyle w:val="-"/>
        <w:ind w:firstLine="420"/>
      </w:pPr>
      <w:r>
        <w:rPr>
          <w:rFonts w:hint="eastAsia"/>
        </w:rPr>
        <w:t>特此公告。</w:t>
      </w:r>
    </w:p>
    <w:p w:rsidR="000E6308" w:rsidRDefault="000E6308" w:rsidP="000E6308"/>
    <w:p w:rsidR="00A11620" w:rsidRDefault="00A11620" w:rsidP="00A11620"/>
    <w:p w:rsidR="00EF566F" w:rsidRDefault="000E6308" w:rsidP="00EF566F">
      <w:pPr>
        <w:jc w:val="right"/>
      </w:pPr>
      <w:r>
        <w:rPr>
          <w:rFonts w:hint="eastAsia"/>
        </w:rPr>
        <w:t>招商基金管理有限公司</w:t>
      </w:r>
    </w:p>
    <w:p w:rsidR="000911A2" w:rsidRPr="004F540B" w:rsidRDefault="000E6308" w:rsidP="000911A2">
      <w:pPr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 w:rsidR="000B3CA1">
        <w:t>11</w:t>
      </w:r>
      <w:r>
        <w:rPr>
          <w:rFonts w:hint="eastAsia"/>
        </w:rPr>
        <w:t>月</w:t>
      </w:r>
      <w:r w:rsidR="000B3CA1">
        <w:t>2</w:t>
      </w:r>
      <w:r>
        <w:rPr>
          <w:rFonts w:hint="eastAsia"/>
        </w:rPr>
        <w:t>日</w:t>
      </w:r>
    </w:p>
    <w:p w:rsidR="00D44E4D" w:rsidRPr="009161C4" w:rsidRDefault="00D44E4D" w:rsidP="00D44E4D">
      <w:pPr>
        <w:jc w:val="left"/>
      </w:pPr>
    </w:p>
    <w:sectPr w:rsidR="00D44E4D" w:rsidRPr="009161C4" w:rsidSect="00B325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3E" w:rsidRDefault="00BA7A3E" w:rsidP="00D17C56">
      <w:r>
        <w:separator/>
      </w:r>
    </w:p>
  </w:endnote>
  <w:endnote w:type="continuationSeparator" w:id="0">
    <w:p w:rsidR="00BA7A3E" w:rsidRDefault="00BA7A3E" w:rsidP="00D1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Pr="000008DB" w:rsidRDefault="000008DB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6C71B0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6C71B0">
      <w:fldChar w:fldCharType="separate"/>
    </w:r>
    <w:r w:rsidR="00F470D7">
      <w:rPr>
        <w:noProof/>
      </w:rPr>
      <w:t>1</w:t>
    </w:r>
    <w:r w:rsidR="006C71B0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F470D7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Default="00316817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6C71B0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6C71B0">
      <w:fldChar w:fldCharType="separate"/>
    </w:r>
    <w:r w:rsidR="00B32544">
      <w:rPr>
        <w:noProof/>
      </w:rPr>
      <w:t>1</w:t>
    </w:r>
    <w:r w:rsidR="006C71B0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B32544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3E" w:rsidRDefault="00BA7A3E" w:rsidP="00D17C56">
      <w:r>
        <w:separator/>
      </w:r>
    </w:p>
  </w:footnote>
  <w:footnote w:type="continuationSeparator" w:id="0">
    <w:p w:rsidR="00BA7A3E" w:rsidRDefault="00BA7A3E" w:rsidP="00D1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9A" w:rsidRPr="004976B5" w:rsidRDefault="000E6308" w:rsidP="00154533">
    <w:pPr>
      <w:pStyle w:val="a6"/>
    </w:pPr>
    <w:r>
      <w:rPr>
        <w:rFonts w:hint="eastAsia"/>
      </w:rPr>
      <w:t>关于暂停招商中证香港科技交易型开放式指数证券投资基金（</w:t>
    </w:r>
    <w:r>
      <w:rPr>
        <w:rFonts w:hint="eastAsia"/>
      </w:rPr>
      <w:t>QDII</w:t>
    </w:r>
    <w:r>
      <w:rPr>
        <w:rFonts w:hint="eastAsia"/>
      </w:rPr>
      <w:t>）申购和赎回业务的公告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F" w:rsidRDefault="000E6308" w:rsidP="00154533">
    <w:pPr>
      <w:pStyle w:val="a6"/>
    </w:pPr>
    <w:r>
      <w:rPr>
        <w:rFonts w:hint="eastAsia"/>
      </w:rPr>
      <w:t>关于暂停招商中证香港科技交易型开放式指数证券投资基金（</w:t>
    </w:r>
    <w:r>
      <w:rPr>
        <w:rFonts w:hint="eastAsia"/>
      </w:rPr>
      <w:t>QDII</w:t>
    </w:r>
    <w:r>
      <w:rPr>
        <w:rFonts w:hint="eastAsia"/>
      </w:rPr>
      <w:t>）申购和赎回业务的公告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ACE"/>
    <w:multiLevelType w:val="multilevel"/>
    <w:tmpl w:val="0A5E2194"/>
    <w:lvl w:ilvl="0">
      <w:start w:val="1"/>
      <w:numFmt w:val="decimal"/>
      <w:pStyle w:val="-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-2"/>
      <w:suff w:val="space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-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>
      <w:start w:val="1"/>
      <w:numFmt w:val="decimal"/>
      <w:pStyle w:val="-6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B7A4927"/>
    <w:multiLevelType w:val="hybridMultilevel"/>
    <w:tmpl w:val="60CAB9A4"/>
    <w:lvl w:ilvl="0" w:tplc="3B8861CA">
      <w:start w:val="1"/>
      <w:numFmt w:val="decimal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D4"/>
    <w:rsid w:val="000008DB"/>
    <w:rsid w:val="00003EE6"/>
    <w:rsid w:val="000053DD"/>
    <w:rsid w:val="0006750C"/>
    <w:rsid w:val="0008658E"/>
    <w:rsid w:val="000911A2"/>
    <w:rsid w:val="000B13B9"/>
    <w:rsid w:val="000B3CA1"/>
    <w:rsid w:val="000E6308"/>
    <w:rsid w:val="000E6AC1"/>
    <w:rsid w:val="000F2489"/>
    <w:rsid w:val="001201F8"/>
    <w:rsid w:val="00125BAB"/>
    <w:rsid w:val="00154533"/>
    <w:rsid w:val="00187B2C"/>
    <w:rsid w:val="00190F30"/>
    <w:rsid w:val="00193EA9"/>
    <w:rsid w:val="001978C6"/>
    <w:rsid w:val="001A2F9C"/>
    <w:rsid w:val="001B0F0F"/>
    <w:rsid w:val="001B5550"/>
    <w:rsid w:val="001D737A"/>
    <w:rsid w:val="001E3F04"/>
    <w:rsid w:val="001E67D0"/>
    <w:rsid w:val="00215E43"/>
    <w:rsid w:val="00223D4F"/>
    <w:rsid w:val="00224F3E"/>
    <w:rsid w:val="00241CEB"/>
    <w:rsid w:val="002815AC"/>
    <w:rsid w:val="0028733D"/>
    <w:rsid w:val="00296093"/>
    <w:rsid w:val="002972F4"/>
    <w:rsid w:val="002E4ABB"/>
    <w:rsid w:val="00316817"/>
    <w:rsid w:val="003C0F9E"/>
    <w:rsid w:val="0044723E"/>
    <w:rsid w:val="004543B4"/>
    <w:rsid w:val="00456341"/>
    <w:rsid w:val="00472DF5"/>
    <w:rsid w:val="00491C2B"/>
    <w:rsid w:val="004976B5"/>
    <w:rsid w:val="004A3B54"/>
    <w:rsid w:val="004A57DB"/>
    <w:rsid w:val="004B21F4"/>
    <w:rsid w:val="004B41FD"/>
    <w:rsid w:val="004B7673"/>
    <w:rsid w:val="004F540B"/>
    <w:rsid w:val="00532A63"/>
    <w:rsid w:val="00544CE0"/>
    <w:rsid w:val="005B1CDA"/>
    <w:rsid w:val="005C29BB"/>
    <w:rsid w:val="005C314A"/>
    <w:rsid w:val="005D63D1"/>
    <w:rsid w:val="0061364E"/>
    <w:rsid w:val="00615E54"/>
    <w:rsid w:val="00625A41"/>
    <w:rsid w:val="006604D0"/>
    <w:rsid w:val="00666AF5"/>
    <w:rsid w:val="00685A42"/>
    <w:rsid w:val="006A2E19"/>
    <w:rsid w:val="006C0249"/>
    <w:rsid w:val="006C3766"/>
    <w:rsid w:val="006C71B0"/>
    <w:rsid w:val="00705609"/>
    <w:rsid w:val="007108F0"/>
    <w:rsid w:val="00750C9A"/>
    <w:rsid w:val="0078485C"/>
    <w:rsid w:val="00793ACB"/>
    <w:rsid w:val="00800FA0"/>
    <w:rsid w:val="00801F0A"/>
    <w:rsid w:val="00823E12"/>
    <w:rsid w:val="00842BD2"/>
    <w:rsid w:val="009161C4"/>
    <w:rsid w:val="00920BD9"/>
    <w:rsid w:val="00922090"/>
    <w:rsid w:val="00971CBF"/>
    <w:rsid w:val="00977FBA"/>
    <w:rsid w:val="00981362"/>
    <w:rsid w:val="009A4AD8"/>
    <w:rsid w:val="009A742C"/>
    <w:rsid w:val="009F062D"/>
    <w:rsid w:val="00A11620"/>
    <w:rsid w:val="00A2003F"/>
    <w:rsid w:val="00A5309E"/>
    <w:rsid w:val="00A70C69"/>
    <w:rsid w:val="00AC3470"/>
    <w:rsid w:val="00AE1D3F"/>
    <w:rsid w:val="00AE7A8E"/>
    <w:rsid w:val="00AF0D8D"/>
    <w:rsid w:val="00AF3CA2"/>
    <w:rsid w:val="00B073CA"/>
    <w:rsid w:val="00B2044A"/>
    <w:rsid w:val="00B25090"/>
    <w:rsid w:val="00B32544"/>
    <w:rsid w:val="00B41CCE"/>
    <w:rsid w:val="00B6311F"/>
    <w:rsid w:val="00B85D10"/>
    <w:rsid w:val="00BA48F2"/>
    <w:rsid w:val="00BA7A3E"/>
    <w:rsid w:val="00BC081F"/>
    <w:rsid w:val="00C27E02"/>
    <w:rsid w:val="00C30704"/>
    <w:rsid w:val="00C40EF3"/>
    <w:rsid w:val="00C66B2A"/>
    <w:rsid w:val="00C8294A"/>
    <w:rsid w:val="00C975C3"/>
    <w:rsid w:val="00CA298C"/>
    <w:rsid w:val="00CC63F7"/>
    <w:rsid w:val="00D17C56"/>
    <w:rsid w:val="00D34F8B"/>
    <w:rsid w:val="00D361E6"/>
    <w:rsid w:val="00D44E4D"/>
    <w:rsid w:val="00DB0932"/>
    <w:rsid w:val="00E063EF"/>
    <w:rsid w:val="00E10B01"/>
    <w:rsid w:val="00E1358C"/>
    <w:rsid w:val="00E23A47"/>
    <w:rsid w:val="00E30DC1"/>
    <w:rsid w:val="00E46AD4"/>
    <w:rsid w:val="00E65F29"/>
    <w:rsid w:val="00E8706E"/>
    <w:rsid w:val="00E94850"/>
    <w:rsid w:val="00EA4DB2"/>
    <w:rsid w:val="00EB1A48"/>
    <w:rsid w:val="00EE12CF"/>
    <w:rsid w:val="00EE6178"/>
    <w:rsid w:val="00EE719A"/>
    <w:rsid w:val="00EF566F"/>
    <w:rsid w:val="00F03A80"/>
    <w:rsid w:val="00F448CB"/>
    <w:rsid w:val="00F44B77"/>
    <w:rsid w:val="00F45ADF"/>
    <w:rsid w:val="00F470D7"/>
    <w:rsid w:val="00F6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06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E063E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800F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paragraph" w:customStyle="1" w:styleId="-">
    <w:name w:val="模板-正文"/>
    <w:basedOn w:val="a3"/>
    <w:link w:val="-Char"/>
    <w:qFormat/>
    <w:rsid w:val="003C0F9E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Char">
    <w:name w:val="标题 2 Char"/>
    <w:link w:val="2"/>
    <w:uiPriority w:val="9"/>
    <w:rsid w:val="00E063EF"/>
    <w:rPr>
      <w:rFonts w:ascii="宋体" w:hAnsi="宋体" w:cs="宋体"/>
      <w:b/>
      <w:bCs/>
      <w:sz w:val="18"/>
      <w:szCs w:val="18"/>
    </w:rPr>
  </w:style>
  <w:style w:type="character" w:customStyle="1" w:styleId="Char">
    <w:name w:val="普通(网站) Char"/>
    <w:link w:val="a3"/>
    <w:uiPriority w:val="99"/>
    <w:rsid w:val="00800FA0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3C0F9E"/>
    <w:rPr>
      <w:rFonts w:ascii="宋体" w:hAnsi="宋体"/>
      <w:color w:val="222222"/>
      <w:sz w:val="21"/>
      <w:szCs w:val="21"/>
      <w:shd w:val="clear" w:color="auto" w:fill="FFFFFF"/>
      <w:lang/>
    </w:rPr>
  </w:style>
  <w:style w:type="character" w:customStyle="1" w:styleId="docorderno">
    <w:name w:val="doc_order_no"/>
    <w:rsid w:val="00E063EF"/>
  </w:style>
  <w:style w:type="paragraph" w:customStyle="1" w:styleId="-2">
    <w:name w:val="模板-标题 2"/>
    <w:basedOn w:val="2"/>
    <w:link w:val="-2Char"/>
    <w:qFormat/>
    <w:rsid w:val="0008658E"/>
    <w:pPr>
      <w:numPr>
        <w:ilvl w:val="1"/>
        <w:numId w:val="2"/>
      </w:numPr>
      <w:shd w:val="clear" w:color="auto" w:fill="FFFFFF"/>
      <w:jc w:val="both"/>
    </w:pPr>
    <w:rPr>
      <w:color w:val="222222"/>
      <w:sz w:val="24"/>
    </w:rPr>
  </w:style>
  <w:style w:type="paragraph" w:styleId="20">
    <w:name w:val="toc 2"/>
    <w:basedOn w:val="a"/>
    <w:next w:val="a"/>
    <w:autoRedefine/>
    <w:uiPriority w:val="39"/>
    <w:rsid w:val="00E063EF"/>
    <w:pPr>
      <w:ind w:leftChars="200" w:left="420"/>
    </w:pPr>
  </w:style>
  <w:style w:type="character" w:customStyle="1" w:styleId="-2Char">
    <w:name w:val="模板-标题 2 Char"/>
    <w:link w:val="-2"/>
    <w:rsid w:val="0008658E"/>
    <w:rPr>
      <w:rFonts w:ascii="宋体" w:hAnsi="宋体"/>
      <w:b/>
      <w:bCs/>
      <w:color w:val="222222"/>
      <w:sz w:val="24"/>
      <w:szCs w:val="18"/>
      <w:shd w:val="clear" w:color="auto" w:fill="FFFFFF"/>
      <w:lang/>
    </w:rPr>
  </w:style>
  <w:style w:type="character" w:styleId="a4">
    <w:name w:val="Hyperlink"/>
    <w:uiPriority w:val="99"/>
    <w:unhideWhenUsed/>
    <w:rsid w:val="00E063E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E063EF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793ACB"/>
    <w:pPr>
      <w:keepNext w:val="0"/>
      <w:keepLines w:val="0"/>
      <w:widowControl/>
      <w:numPr>
        <w:numId w:val="2"/>
      </w:numPr>
      <w:shd w:val="clear" w:color="auto" w:fill="FFFFFF"/>
      <w:adjustRightInd w:val="0"/>
      <w:spacing w:before="100" w:beforeAutospacing="1" w:after="100" w:afterAutospacing="1" w:line="240" w:lineRule="auto"/>
      <w:jc w:val="left"/>
    </w:pPr>
    <w:rPr>
      <w:rFonts w:ascii="宋体" w:hAnsi="宋体"/>
      <w:color w:val="222222"/>
      <w:kern w:val="36"/>
      <w:sz w:val="28"/>
      <w:szCs w:val="24"/>
    </w:rPr>
  </w:style>
  <w:style w:type="paragraph" w:styleId="10">
    <w:name w:val="toc 1"/>
    <w:basedOn w:val="a"/>
    <w:next w:val="a"/>
    <w:autoRedefine/>
    <w:uiPriority w:val="39"/>
    <w:rsid w:val="00E063EF"/>
  </w:style>
  <w:style w:type="character" w:customStyle="1" w:styleId="-1Char">
    <w:name w:val="模板-标题 1 Char"/>
    <w:link w:val="-1"/>
    <w:rsid w:val="00793ACB"/>
    <w:rPr>
      <w:rFonts w:ascii="宋体" w:hAnsi="宋体"/>
      <w:b/>
      <w:bCs/>
      <w:color w:val="222222"/>
      <w:kern w:val="36"/>
      <w:sz w:val="28"/>
      <w:szCs w:val="24"/>
      <w:shd w:val="clear" w:color="auto" w:fill="FFFFFF"/>
      <w:lang/>
    </w:rPr>
  </w:style>
  <w:style w:type="paragraph" w:customStyle="1" w:styleId="-3">
    <w:name w:val="模板-标题 3"/>
    <w:basedOn w:val="a"/>
    <w:link w:val="-3Char"/>
    <w:qFormat/>
    <w:rsid w:val="009161C4"/>
    <w:pPr>
      <w:numPr>
        <w:ilvl w:val="2"/>
        <w:numId w:val="2"/>
      </w:numPr>
      <w:spacing w:before="100" w:beforeAutospacing="1" w:after="100" w:afterAutospacing="1"/>
    </w:pPr>
    <w:rPr>
      <w:b/>
      <w:color w:val="222222"/>
      <w:sz w:val="24"/>
      <w:szCs w:val="18"/>
      <w:lang/>
    </w:rPr>
  </w:style>
  <w:style w:type="table" w:styleId="a5">
    <w:name w:val="Table Grid"/>
    <w:basedOn w:val="a1"/>
    <w:rsid w:val="00C9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Char">
    <w:name w:val="模板-标题 3 Char"/>
    <w:link w:val="-3"/>
    <w:rsid w:val="009161C4"/>
    <w:rPr>
      <w:b/>
      <w:color w:val="222222"/>
      <w:kern w:val="2"/>
      <w:sz w:val="24"/>
      <w:szCs w:val="18"/>
      <w:lang/>
    </w:rPr>
  </w:style>
  <w:style w:type="table" w:customStyle="1" w:styleId="-0">
    <w:name w:val="模板-表格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tblPr/>
      <w:tcPr>
        <w:shd w:val="clear" w:color="auto" w:fill="BFBFBF"/>
      </w:tcPr>
    </w:tblStylePr>
  </w:style>
  <w:style w:type="paragraph" w:styleId="a6">
    <w:name w:val="header"/>
    <w:basedOn w:val="a"/>
    <w:link w:val="Char0"/>
    <w:rsid w:val="00D1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17C56"/>
    <w:rPr>
      <w:kern w:val="2"/>
      <w:sz w:val="18"/>
      <w:szCs w:val="18"/>
    </w:rPr>
  </w:style>
  <w:style w:type="paragraph" w:styleId="a7">
    <w:name w:val="footer"/>
    <w:basedOn w:val="a"/>
    <w:link w:val="Char1"/>
    <w:rsid w:val="00D1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D17C56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BA48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BA48F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7">
    <w:name w:val="模板-标题"/>
    <w:basedOn w:val="a8"/>
    <w:qFormat/>
    <w:rsid w:val="00BA48F2"/>
    <w:pPr>
      <w:outlineLvl w:val="9"/>
    </w:pPr>
  </w:style>
  <w:style w:type="paragraph" w:customStyle="1" w:styleId="-4">
    <w:name w:val="模板-标题 4"/>
    <w:basedOn w:val="a"/>
    <w:qFormat/>
    <w:rsid w:val="00CA298C"/>
    <w:pPr>
      <w:numPr>
        <w:ilvl w:val="3"/>
        <w:numId w:val="2"/>
      </w:numPr>
    </w:pPr>
    <w:rPr>
      <w:b/>
      <w:sz w:val="24"/>
    </w:rPr>
  </w:style>
  <w:style w:type="paragraph" w:customStyle="1" w:styleId="-5">
    <w:name w:val="模板-标题 5"/>
    <w:basedOn w:val="-4"/>
    <w:qFormat/>
    <w:rsid w:val="00CA298C"/>
    <w:pPr>
      <w:numPr>
        <w:ilvl w:val="4"/>
      </w:numPr>
    </w:pPr>
  </w:style>
  <w:style w:type="paragraph" w:customStyle="1" w:styleId="-6">
    <w:name w:val="模板-标题 6"/>
    <w:basedOn w:val="-5"/>
    <w:qFormat/>
    <w:rsid w:val="00CA298C"/>
    <w:pPr>
      <w:numPr>
        <w:ilvl w:val="5"/>
      </w:numPr>
    </w:pPr>
  </w:style>
  <w:style w:type="table" w:customStyle="1" w:styleId="-noheader">
    <w:name w:val="模板-表格_noheader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paragraph" w:customStyle="1" w:styleId="-8">
    <w:name w:val="模板-正文无缩进"/>
    <w:basedOn w:val="-"/>
    <w:link w:val="-Char0"/>
    <w:qFormat/>
    <w:rsid w:val="00D44E4D"/>
    <w:pPr>
      <w:ind w:firstLineChars="0" w:firstLine="0"/>
    </w:pPr>
  </w:style>
  <w:style w:type="character" w:customStyle="1" w:styleId="-Char0">
    <w:name w:val="模板-正文无缩进 Char"/>
    <w:basedOn w:val="-Char"/>
    <w:link w:val="-8"/>
    <w:rsid w:val="00D44E4D"/>
    <w:rPr>
      <w:rFonts w:ascii="宋体" w:hAnsi="宋体"/>
      <w:color w:val="222222"/>
      <w:sz w:val="21"/>
      <w:szCs w:val="21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21F9-8B9B-46B5-A529-14BCB4DA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4</DocSecurity>
  <Lines>5</Lines>
  <Paragraphs>1</Paragraphs>
  <ScaleCrop>false</ScaleCrop>
  <Company>MC SYSTEM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ZHONGM</cp:lastModifiedBy>
  <cp:revision>2</cp:revision>
  <dcterms:created xsi:type="dcterms:W3CDTF">2022-11-02T16:01:00Z</dcterms:created>
  <dcterms:modified xsi:type="dcterms:W3CDTF">2022-11-02T16:01:00Z</dcterms:modified>
</cp:coreProperties>
</file>