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530" w:rsidRDefault="00AD471D">
      <w:pPr>
        <w:rPr>
          <w:rStyle w:val="fontstyle01"/>
          <w:rFonts w:ascii="Times New Roman" w:hAnsi="Times New Roman" w:cs="Times New Roman"/>
          <w:b/>
          <w:bCs/>
        </w:rPr>
      </w:pPr>
      <w:r>
        <w:rPr>
          <w:rStyle w:val="fontstyle01"/>
          <w:rFonts w:ascii="Times New Roman" w:hAnsi="Times New Roman" w:cs="Times New Roman"/>
          <w:b/>
          <w:bCs/>
        </w:rPr>
        <w:t>易米</w:t>
      </w:r>
      <w:r>
        <w:rPr>
          <w:rStyle w:val="fontstyle01"/>
          <w:rFonts w:ascii="Times New Roman" w:hAnsi="Times New Roman" w:cs="Times New Roman"/>
          <w:b/>
          <w:bCs/>
        </w:rPr>
        <w:t>基金管理有限公司关于调整</w:t>
      </w:r>
      <w:r>
        <w:rPr>
          <w:rStyle w:val="fontstyle01"/>
          <w:rFonts w:ascii="Times New Roman" w:hAnsi="Times New Roman" w:cs="Times New Roman"/>
          <w:b/>
          <w:bCs/>
        </w:rPr>
        <w:t>旗下基金赎回份额限制</w:t>
      </w:r>
      <w:r>
        <w:rPr>
          <w:rStyle w:val="fontstyle01"/>
          <w:rFonts w:ascii="Times New Roman" w:hAnsi="Times New Roman" w:cs="Times New Roman"/>
          <w:b/>
          <w:bCs/>
        </w:rPr>
        <w:t>的公告</w:t>
      </w:r>
    </w:p>
    <w:p w:rsidR="00EE7530" w:rsidRDefault="00EE7530">
      <w:pPr>
        <w:rPr>
          <w:rStyle w:val="fontstyle01"/>
          <w:rFonts w:ascii="Times New Roman" w:hAnsi="Times New Roman" w:cs="Times New Roman"/>
        </w:rPr>
      </w:pPr>
    </w:p>
    <w:p w:rsidR="00EE7530" w:rsidRDefault="00AD471D">
      <w:pPr>
        <w:spacing w:line="360" w:lineRule="auto"/>
        <w:ind w:firstLineChars="200" w:firstLine="420"/>
        <w:rPr>
          <w:rStyle w:val="fontstyle01"/>
          <w:rFonts w:ascii="Times New Roman" w:hAnsi="Times New Roman" w:cs="Times New Roman"/>
          <w:sz w:val="21"/>
          <w:szCs w:val="21"/>
        </w:rPr>
      </w:pPr>
      <w:r>
        <w:rPr>
          <w:rStyle w:val="fontstyle01"/>
          <w:rFonts w:ascii="Times New Roman" w:hAnsi="Times New Roman" w:cs="Times New Roman"/>
          <w:sz w:val="21"/>
          <w:szCs w:val="21"/>
        </w:rPr>
        <w:t>为了给基金份额持有人提供更好的服务，</w:t>
      </w:r>
      <w:r>
        <w:rPr>
          <w:rStyle w:val="fontstyle01"/>
          <w:rFonts w:ascii="Times New Roman" w:hAnsi="Times New Roman" w:cs="Times New Roman"/>
          <w:sz w:val="21"/>
          <w:szCs w:val="21"/>
        </w:rPr>
        <w:t>易米</w:t>
      </w:r>
      <w:r>
        <w:rPr>
          <w:rStyle w:val="fontstyle01"/>
          <w:rFonts w:ascii="Times New Roman" w:hAnsi="Times New Roman" w:cs="Times New Roman"/>
          <w:sz w:val="21"/>
          <w:szCs w:val="21"/>
        </w:rPr>
        <w:t>基金管理有限公司（以下简称</w:t>
      </w:r>
      <w:r>
        <w:rPr>
          <w:rStyle w:val="fontstyle01"/>
          <w:rFonts w:ascii="Times New Roman" w:hAnsi="Times New Roman" w:cs="Times New Roman"/>
          <w:sz w:val="21"/>
          <w:szCs w:val="21"/>
        </w:rPr>
        <w:t>“</w:t>
      </w:r>
      <w:r>
        <w:rPr>
          <w:rStyle w:val="fontstyle01"/>
          <w:rFonts w:ascii="Times New Roman" w:hAnsi="Times New Roman" w:cs="Times New Roman"/>
          <w:sz w:val="21"/>
          <w:szCs w:val="21"/>
        </w:rPr>
        <w:t>本公司</w:t>
      </w:r>
      <w:r>
        <w:rPr>
          <w:rStyle w:val="fontstyle01"/>
          <w:rFonts w:ascii="Times New Roman" w:hAnsi="Times New Roman" w:cs="Times New Roman"/>
          <w:sz w:val="21"/>
          <w:szCs w:val="21"/>
        </w:rPr>
        <w:t>”</w:t>
      </w:r>
      <w:r>
        <w:rPr>
          <w:rStyle w:val="fontstyle01"/>
          <w:rFonts w:ascii="Times New Roman" w:hAnsi="Times New Roman" w:cs="Times New Roman" w:hint="eastAsia"/>
          <w:sz w:val="21"/>
          <w:szCs w:val="21"/>
        </w:rPr>
        <w:t>或“基金管理人”</w:t>
      </w:r>
      <w:r>
        <w:rPr>
          <w:rStyle w:val="fontstyle01"/>
          <w:rFonts w:ascii="Times New Roman" w:hAnsi="Times New Roman" w:cs="Times New Roman"/>
          <w:sz w:val="21"/>
          <w:szCs w:val="21"/>
        </w:rPr>
        <w:t>）决定于</w:t>
      </w:r>
      <w:r>
        <w:rPr>
          <w:rStyle w:val="fontstyle01"/>
          <w:rFonts w:ascii="Times New Roman" w:hAnsi="Times New Roman" w:cs="Times New Roman"/>
          <w:sz w:val="21"/>
          <w:szCs w:val="21"/>
        </w:rPr>
        <w:t>2022</w:t>
      </w:r>
      <w:r>
        <w:rPr>
          <w:rStyle w:val="fontstyle01"/>
          <w:rFonts w:ascii="Times New Roman" w:hAnsi="Times New Roman" w:cs="Times New Roman"/>
          <w:sz w:val="21"/>
          <w:szCs w:val="21"/>
        </w:rPr>
        <w:t>年</w:t>
      </w:r>
      <w:r>
        <w:rPr>
          <w:rStyle w:val="fontstyle01"/>
          <w:rFonts w:ascii="Times New Roman" w:hAnsi="Times New Roman" w:cs="Times New Roman"/>
          <w:sz w:val="21"/>
          <w:szCs w:val="21"/>
        </w:rPr>
        <w:t>10</w:t>
      </w:r>
      <w:r>
        <w:rPr>
          <w:rStyle w:val="fontstyle01"/>
          <w:rFonts w:ascii="Times New Roman" w:hAnsi="Times New Roman" w:cs="Times New Roman"/>
          <w:sz w:val="21"/>
          <w:szCs w:val="21"/>
        </w:rPr>
        <w:t>月</w:t>
      </w:r>
      <w:r>
        <w:rPr>
          <w:rStyle w:val="fontstyle01"/>
          <w:rFonts w:ascii="Times New Roman" w:hAnsi="Times New Roman" w:cs="Times New Roman"/>
          <w:sz w:val="21"/>
          <w:szCs w:val="21"/>
        </w:rPr>
        <w:t>31</w:t>
      </w:r>
      <w:r>
        <w:rPr>
          <w:rStyle w:val="fontstyle01"/>
          <w:rFonts w:ascii="Times New Roman" w:hAnsi="Times New Roman" w:cs="Times New Roman"/>
          <w:sz w:val="21"/>
          <w:szCs w:val="21"/>
        </w:rPr>
        <w:t>日起调整</w:t>
      </w:r>
      <w:r>
        <w:rPr>
          <w:rStyle w:val="fontstyle01"/>
          <w:rFonts w:ascii="Times New Roman" w:hAnsi="Times New Roman" w:cs="Times New Roman"/>
          <w:sz w:val="21"/>
          <w:szCs w:val="21"/>
        </w:rPr>
        <w:t>旗下基金赎回份额限制</w:t>
      </w:r>
      <w:r>
        <w:rPr>
          <w:rStyle w:val="fontstyle01"/>
          <w:rFonts w:ascii="Times New Roman" w:hAnsi="Times New Roman" w:cs="Times New Roman"/>
          <w:sz w:val="21"/>
          <w:szCs w:val="21"/>
        </w:rPr>
        <w:t>，现将有关事宜公告如下：</w:t>
      </w:r>
    </w:p>
    <w:p w:rsidR="00EE7530" w:rsidRDefault="00AD471D">
      <w:pPr>
        <w:spacing w:line="360" w:lineRule="auto"/>
        <w:ind w:firstLineChars="200" w:firstLine="420"/>
        <w:rPr>
          <w:rStyle w:val="fontstyle01"/>
          <w:rFonts w:ascii="Times New Roman" w:hAnsi="Times New Roman" w:cs="Times New Roman"/>
          <w:sz w:val="21"/>
          <w:szCs w:val="21"/>
        </w:rPr>
      </w:pPr>
      <w:r>
        <w:rPr>
          <w:rStyle w:val="fontstyle01"/>
          <w:rFonts w:ascii="Times New Roman" w:hAnsi="Times New Roman" w:cs="Times New Roman"/>
          <w:sz w:val="21"/>
          <w:szCs w:val="21"/>
        </w:rPr>
        <w:t>一、适用基金范围</w:t>
      </w:r>
    </w:p>
    <w:tbl>
      <w:tblPr>
        <w:tblW w:w="5617" w:type="pct"/>
        <w:tblInd w:w="-489" w:type="dxa"/>
        <w:tblLayout w:type="fixed"/>
        <w:tblLook w:val="04A0"/>
      </w:tblPr>
      <w:tblGrid>
        <w:gridCol w:w="1130"/>
        <w:gridCol w:w="5030"/>
        <w:gridCol w:w="3414"/>
      </w:tblGrid>
      <w:tr w:rsidR="00EE7530">
        <w:trPr>
          <w:trHeight w:val="380"/>
        </w:trPr>
        <w:tc>
          <w:tcPr>
            <w:tcW w:w="5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E7530" w:rsidRDefault="00AD471D">
            <w:pPr>
              <w:widowControl/>
              <w:jc w:val="center"/>
              <w:textAlignment w:val="center"/>
              <w:rPr>
                <w:rFonts w:ascii="Times New Roman" w:eastAsia="宋体" w:hAnsi="Times New Roman" w:cs="Times New Roman"/>
                <w:b/>
                <w:bCs/>
                <w:color w:val="000000"/>
                <w:szCs w:val="21"/>
              </w:rPr>
            </w:pPr>
            <w:r>
              <w:rPr>
                <w:rFonts w:ascii="Times New Roman" w:eastAsia="宋体" w:hAnsi="Times New Roman" w:cs="Times New Roman"/>
                <w:b/>
                <w:bCs/>
                <w:color w:val="000000"/>
                <w:kern w:val="0"/>
                <w:szCs w:val="21"/>
                <w:lang/>
              </w:rPr>
              <w:t>基金代码</w:t>
            </w:r>
          </w:p>
        </w:tc>
        <w:tc>
          <w:tcPr>
            <w:tcW w:w="26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E7530" w:rsidRDefault="00AD471D">
            <w:pPr>
              <w:widowControl/>
              <w:jc w:val="center"/>
              <w:textAlignment w:val="center"/>
              <w:rPr>
                <w:rFonts w:ascii="Times New Roman" w:eastAsia="宋体" w:hAnsi="Times New Roman" w:cs="Times New Roman"/>
                <w:b/>
                <w:bCs/>
                <w:color w:val="000000"/>
                <w:szCs w:val="21"/>
              </w:rPr>
            </w:pPr>
            <w:r>
              <w:rPr>
                <w:rFonts w:ascii="Times New Roman" w:eastAsia="宋体" w:hAnsi="Times New Roman" w:cs="Times New Roman"/>
                <w:b/>
                <w:bCs/>
                <w:color w:val="000000"/>
                <w:kern w:val="0"/>
                <w:szCs w:val="21"/>
                <w:lang/>
              </w:rPr>
              <w:t>基金全称</w:t>
            </w:r>
          </w:p>
        </w:tc>
        <w:tc>
          <w:tcPr>
            <w:tcW w:w="17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E7530" w:rsidRDefault="00AD471D">
            <w:pPr>
              <w:widowControl/>
              <w:jc w:val="center"/>
              <w:textAlignment w:val="center"/>
              <w:rPr>
                <w:rFonts w:ascii="Times New Roman" w:eastAsia="宋体" w:hAnsi="Times New Roman" w:cs="Times New Roman"/>
                <w:b/>
                <w:bCs/>
                <w:color w:val="000000"/>
                <w:szCs w:val="21"/>
              </w:rPr>
            </w:pPr>
            <w:r>
              <w:rPr>
                <w:rFonts w:ascii="Times New Roman" w:eastAsia="宋体" w:hAnsi="Times New Roman" w:cs="Times New Roman"/>
                <w:b/>
                <w:bCs/>
                <w:color w:val="000000"/>
                <w:kern w:val="0"/>
                <w:szCs w:val="21"/>
                <w:lang/>
              </w:rPr>
              <w:t>基金简称</w:t>
            </w:r>
          </w:p>
        </w:tc>
      </w:tr>
      <w:tr w:rsidR="00EE7530">
        <w:trPr>
          <w:trHeight w:val="380"/>
        </w:trPr>
        <w:tc>
          <w:tcPr>
            <w:tcW w:w="5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E7530" w:rsidRDefault="00AD471D">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013926</w:t>
            </w:r>
          </w:p>
        </w:tc>
        <w:tc>
          <w:tcPr>
            <w:tcW w:w="26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E7530" w:rsidRDefault="00AD471D">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易米国证消费</w:t>
            </w:r>
            <w:r>
              <w:rPr>
                <w:rFonts w:ascii="Times New Roman" w:eastAsia="宋体" w:hAnsi="Times New Roman" w:cs="Times New Roman"/>
                <w:color w:val="000000"/>
                <w:kern w:val="0"/>
                <w:szCs w:val="21"/>
                <w:lang/>
              </w:rPr>
              <w:t>100</w:t>
            </w:r>
            <w:r>
              <w:rPr>
                <w:rFonts w:ascii="Times New Roman" w:eastAsia="宋体" w:hAnsi="Times New Roman" w:cs="Times New Roman"/>
                <w:color w:val="000000"/>
                <w:kern w:val="0"/>
                <w:szCs w:val="21"/>
                <w:lang/>
              </w:rPr>
              <w:t>指数增强型发起式证券投资基金</w:t>
            </w:r>
            <w:r>
              <w:rPr>
                <w:rFonts w:ascii="Times New Roman" w:eastAsia="宋体" w:hAnsi="Times New Roman" w:cs="Times New Roman"/>
                <w:color w:val="000000"/>
                <w:kern w:val="0"/>
                <w:szCs w:val="21"/>
                <w:lang/>
              </w:rPr>
              <w:t>A</w:t>
            </w:r>
          </w:p>
        </w:tc>
        <w:tc>
          <w:tcPr>
            <w:tcW w:w="17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E7530" w:rsidRDefault="00AD471D">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易米国证消费</w:t>
            </w:r>
            <w:r>
              <w:rPr>
                <w:rFonts w:ascii="Times New Roman" w:eastAsia="宋体" w:hAnsi="Times New Roman" w:cs="Times New Roman"/>
                <w:color w:val="000000"/>
                <w:kern w:val="0"/>
                <w:szCs w:val="21"/>
                <w:lang/>
              </w:rPr>
              <w:t>100</w:t>
            </w:r>
            <w:r>
              <w:rPr>
                <w:rFonts w:ascii="Times New Roman" w:eastAsia="宋体" w:hAnsi="Times New Roman" w:cs="Times New Roman"/>
                <w:color w:val="000000"/>
                <w:kern w:val="0"/>
                <w:szCs w:val="21"/>
                <w:lang/>
              </w:rPr>
              <w:t>指数增强发起</w:t>
            </w:r>
            <w:r>
              <w:rPr>
                <w:rFonts w:ascii="Times New Roman" w:eastAsia="宋体" w:hAnsi="Times New Roman" w:cs="Times New Roman"/>
                <w:color w:val="000000"/>
                <w:kern w:val="0"/>
                <w:szCs w:val="21"/>
                <w:lang/>
              </w:rPr>
              <w:t>A</w:t>
            </w:r>
          </w:p>
        </w:tc>
      </w:tr>
      <w:tr w:rsidR="00EE7530">
        <w:trPr>
          <w:trHeight w:val="380"/>
        </w:trPr>
        <w:tc>
          <w:tcPr>
            <w:tcW w:w="5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E7530" w:rsidRDefault="00AD471D">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013927</w:t>
            </w:r>
          </w:p>
        </w:tc>
        <w:tc>
          <w:tcPr>
            <w:tcW w:w="26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E7530" w:rsidRDefault="00AD471D">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易米国证消费</w:t>
            </w:r>
            <w:r>
              <w:rPr>
                <w:rFonts w:ascii="Times New Roman" w:eastAsia="宋体" w:hAnsi="Times New Roman" w:cs="Times New Roman"/>
                <w:color w:val="000000"/>
                <w:kern w:val="0"/>
                <w:szCs w:val="21"/>
                <w:lang/>
              </w:rPr>
              <w:t>100</w:t>
            </w:r>
            <w:r>
              <w:rPr>
                <w:rFonts w:ascii="Times New Roman" w:eastAsia="宋体" w:hAnsi="Times New Roman" w:cs="Times New Roman"/>
                <w:color w:val="000000"/>
                <w:kern w:val="0"/>
                <w:szCs w:val="21"/>
                <w:lang/>
              </w:rPr>
              <w:t>指数增强型发起式证券投资基金</w:t>
            </w:r>
            <w:r>
              <w:rPr>
                <w:rFonts w:ascii="Times New Roman" w:eastAsia="宋体" w:hAnsi="Times New Roman" w:cs="Times New Roman"/>
                <w:color w:val="000000"/>
                <w:kern w:val="0"/>
                <w:szCs w:val="21"/>
                <w:lang/>
              </w:rPr>
              <w:t>C</w:t>
            </w:r>
          </w:p>
        </w:tc>
        <w:tc>
          <w:tcPr>
            <w:tcW w:w="17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E7530" w:rsidRDefault="00AD471D">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易米国证消费</w:t>
            </w:r>
            <w:r>
              <w:rPr>
                <w:rFonts w:ascii="Times New Roman" w:eastAsia="宋体" w:hAnsi="Times New Roman" w:cs="Times New Roman"/>
                <w:color w:val="000000"/>
                <w:kern w:val="0"/>
                <w:szCs w:val="21"/>
                <w:lang/>
              </w:rPr>
              <w:t>100</w:t>
            </w:r>
            <w:r>
              <w:rPr>
                <w:rFonts w:ascii="Times New Roman" w:eastAsia="宋体" w:hAnsi="Times New Roman" w:cs="Times New Roman"/>
                <w:color w:val="000000"/>
                <w:kern w:val="0"/>
                <w:szCs w:val="21"/>
                <w:lang/>
              </w:rPr>
              <w:t>指数增强发起</w:t>
            </w:r>
            <w:r>
              <w:rPr>
                <w:rFonts w:ascii="Times New Roman" w:eastAsia="宋体" w:hAnsi="Times New Roman" w:cs="Times New Roman"/>
                <w:color w:val="000000"/>
                <w:kern w:val="0"/>
                <w:szCs w:val="21"/>
                <w:lang/>
              </w:rPr>
              <w:t>C</w:t>
            </w:r>
          </w:p>
        </w:tc>
      </w:tr>
      <w:tr w:rsidR="00EE7530">
        <w:trPr>
          <w:trHeight w:val="380"/>
        </w:trPr>
        <w:tc>
          <w:tcPr>
            <w:tcW w:w="5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E7530" w:rsidRDefault="00AD471D">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015663</w:t>
            </w:r>
          </w:p>
        </w:tc>
        <w:tc>
          <w:tcPr>
            <w:tcW w:w="26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E7530" w:rsidRDefault="00AD471D">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易米开鑫价值优选混合型证券投资基金</w:t>
            </w:r>
            <w:r>
              <w:rPr>
                <w:rFonts w:ascii="Times New Roman" w:eastAsia="宋体" w:hAnsi="Times New Roman" w:cs="Times New Roman"/>
                <w:color w:val="000000"/>
                <w:kern w:val="0"/>
                <w:szCs w:val="21"/>
                <w:lang/>
              </w:rPr>
              <w:t>A</w:t>
            </w:r>
          </w:p>
        </w:tc>
        <w:tc>
          <w:tcPr>
            <w:tcW w:w="17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E7530" w:rsidRDefault="00AD471D">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易米开鑫价值优选混合</w:t>
            </w:r>
            <w:r>
              <w:rPr>
                <w:rFonts w:ascii="Times New Roman" w:eastAsia="宋体" w:hAnsi="Times New Roman" w:cs="Times New Roman"/>
                <w:color w:val="000000"/>
                <w:kern w:val="0"/>
                <w:szCs w:val="21"/>
                <w:lang/>
              </w:rPr>
              <w:t>A</w:t>
            </w:r>
          </w:p>
        </w:tc>
      </w:tr>
      <w:tr w:rsidR="00EE7530">
        <w:trPr>
          <w:trHeight w:val="380"/>
        </w:trPr>
        <w:tc>
          <w:tcPr>
            <w:tcW w:w="5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E7530" w:rsidRDefault="00AD471D">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015664</w:t>
            </w:r>
          </w:p>
        </w:tc>
        <w:tc>
          <w:tcPr>
            <w:tcW w:w="26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E7530" w:rsidRDefault="00AD471D">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易米开鑫价值优选混合型证券投资基金</w:t>
            </w:r>
            <w:r>
              <w:rPr>
                <w:rFonts w:ascii="Times New Roman" w:eastAsia="宋体" w:hAnsi="Times New Roman" w:cs="Times New Roman"/>
                <w:color w:val="000000"/>
                <w:kern w:val="0"/>
                <w:szCs w:val="21"/>
                <w:lang/>
              </w:rPr>
              <w:t>C</w:t>
            </w:r>
          </w:p>
        </w:tc>
        <w:tc>
          <w:tcPr>
            <w:tcW w:w="17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E7530" w:rsidRDefault="00AD471D">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易米开鑫价值优选混合</w:t>
            </w:r>
            <w:r>
              <w:rPr>
                <w:rFonts w:ascii="Times New Roman" w:eastAsia="宋体" w:hAnsi="Times New Roman" w:cs="Times New Roman"/>
                <w:color w:val="000000"/>
                <w:kern w:val="0"/>
                <w:szCs w:val="21"/>
                <w:lang/>
              </w:rPr>
              <w:t>C</w:t>
            </w:r>
          </w:p>
        </w:tc>
      </w:tr>
      <w:tr w:rsidR="00EE7530">
        <w:trPr>
          <w:trHeight w:val="380"/>
        </w:trPr>
        <w:tc>
          <w:tcPr>
            <w:tcW w:w="5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E7530" w:rsidRDefault="00AD471D">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015703</w:t>
            </w:r>
          </w:p>
        </w:tc>
        <w:tc>
          <w:tcPr>
            <w:tcW w:w="26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E7530" w:rsidRDefault="00AD471D">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易米开泰混合型证券投资基金</w:t>
            </w:r>
            <w:r>
              <w:rPr>
                <w:rFonts w:ascii="Times New Roman" w:eastAsia="宋体" w:hAnsi="Times New Roman" w:cs="Times New Roman"/>
                <w:color w:val="000000"/>
                <w:kern w:val="0"/>
                <w:szCs w:val="21"/>
                <w:lang/>
              </w:rPr>
              <w:t>A</w:t>
            </w:r>
          </w:p>
        </w:tc>
        <w:tc>
          <w:tcPr>
            <w:tcW w:w="17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E7530" w:rsidRDefault="00AD471D">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易米开泰混合</w:t>
            </w:r>
            <w:r>
              <w:rPr>
                <w:rFonts w:ascii="Times New Roman" w:eastAsia="宋体" w:hAnsi="Times New Roman" w:cs="Times New Roman"/>
                <w:color w:val="000000"/>
                <w:kern w:val="0"/>
                <w:szCs w:val="21"/>
                <w:lang/>
              </w:rPr>
              <w:t>A</w:t>
            </w:r>
          </w:p>
        </w:tc>
      </w:tr>
      <w:tr w:rsidR="00EE7530">
        <w:trPr>
          <w:trHeight w:val="380"/>
        </w:trPr>
        <w:tc>
          <w:tcPr>
            <w:tcW w:w="5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E7530" w:rsidRDefault="00AD471D">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015704</w:t>
            </w:r>
          </w:p>
        </w:tc>
        <w:tc>
          <w:tcPr>
            <w:tcW w:w="26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E7530" w:rsidRDefault="00AD471D">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易米开泰混合型证券投资基金</w:t>
            </w:r>
            <w:r>
              <w:rPr>
                <w:rFonts w:ascii="Times New Roman" w:eastAsia="宋体" w:hAnsi="Times New Roman" w:cs="Times New Roman"/>
                <w:color w:val="000000"/>
                <w:kern w:val="0"/>
                <w:szCs w:val="21"/>
                <w:lang/>
              </w:rPr>
              <w:t>C</w:t>
            </w:r>
          </w:p>
        </w:tc>
        <w:tc>
          <w:tcPr>
            <w:tcW w:w="17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E7530" w:rsidRDefault="00AD471D">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易米开泰混合</w:t>
            </w:r>
            <w:r>
              <w:rPr>
                <w:rFonts w:ascii="Times New Roman" w:eastAsia="宋体" w:hAnsi="Times New Roman" w:cs="Times New Roman"/>
                <w:color w:val="000000"/>
                <w:kern w:val="0"/>
                <w:szCs w:val="21"/>
                <w:lang/>
              </w:rPr>
              <w:t>C</w:t>
            </w:r>
          </w:p>
        </w:tc>
      </w:tr>
    </w:tbl>
    <w:p w:rsidR="00EE7530" w:rsidRDefault="00AD471D">
      <w:pPr>
        <w:spacing w:line="360" w:lineRule="auto"/>
        <w:ind w:firstLineChars="200" w:firstLine="420"/>
        <w:rPr>
          <w:rStyle w:val="fontstyle01"/>
          <w:rFonts w:ascii="Times New Roman" w:hAnsi="Times New Roman" w:cs="Times New Roman"/>
          <w:sz w:val="21"/>
          <w:szCs w:val="21"/>
        </w:rPr>
      </w:pPr>
      <w:r>
        <w:rPr>
          <w:rStyle w:val="fontstyle01"/>
          <w:rFonts w:ascii="Times New Roman" w:hAnsi="Times New Roman" w:cs="Times New Roman"/>
          <w:sz w:val="21"/>
          <w:szCs w:val="21"/>
        </w:rPr>
        <w:t>二、调整内容</w:t>
      </w:r>
    </w:p>
    <w:p w:rsidR="00EE7530" w:rsidRDefault="00AD471D">
      <w:pPr>
        <w:spacing w:line="360" w:lineRule="auto"/>
        <w:ind w:firstLineChars="200" w:firstLine="420"/>
        <w:rPr>
          <w:rFonts w:ascii="Times New Roman" w:hAnsi="Times New Roman" w:cs="Times New Roman"/>
          <w:szCs w:val="21"/>
        </w:rPr>
      </w:pPr>
      <w:r>
        <w:rPr>
          <w:rFonts w:ascii="Times New Roman" w:hAnsi="Times New Roman" w:cs="Times New Roman"/>
          <w:bCs/>
          <w:szCs w:val="21"/>
        </w:rPr>
        <w:t>1</w:t>
      </w:r>
      <w:r>
        <w:rPr>
          <w:rFonts w:ascii="Times New Roman" w:hAnsi="Times New Roman" w:cs="Times New Roman"/>
          <w:bCs/>
          <w:szCs w:val="21"/>
        </w:rPr>
        <w:t>、</w:t>
      </w:r>
      <w:r>
        <w:rPr>
          <w:rFonts w:ascii="Times New Roman" w:hAnsi="Times New Roman" w:cs="Times New Roman"/>
          <w:szCs w:val="21"/>
        </w:rPr>
        <w:t>基金份额持有人在销售机构赎回时，每次赎回申请不得低于</w:t>
      </w:r>
      <w:r>
        <w:rPr>
          <w:rFonts w:ascii="Times New Roman" w:hAnsi="Times New Roman" w:cs="Times New Roman"/>
          <w:szCs w:val="21"/>
        </w:rPr>
        <w:t>0.0</w:t>
      </w:r>
      <w:r>
        <w:rPr>
          <w:rFonts w:ascii="Times New Roman" w:hAnsi="Times New Roman" w:cs="Times New Roman"/>
          <w:szCs w:val="21"/>
        </w:rPr>
        <w:t>1</w:t>
      </w:r>
      <w:r>
        <w:rPr>
          <w:rFonts w:ascii="Times New Roman" w:hAnsi="Times New Roman" w:cs="Times New Roman"/>
          <w:szCs w:val="21"/>
        </w:rPr>
        <w:t>份基金份额，如果销售机构另有规定最低单笔赎回份额高于</w:t>
      </w:r>
      <w:r>
        <w:rPr>
          <w:rFonts w:ascii="Times New Roman" w:hAnsi="Times New Roman" w:cs="Times New Roman"/>
          <w:szCs w:val="21"/>
        </w:rPr>
        <w:t>0.01</w:t>
      </w:r>
      <w:r>
        <w:rPr>
          <w:rFonts w:ascii="Times New Roman" w:hAnsi="Times New Roman" w:cs="Times New Roman"/>
          <w:szCs w:val="21"/>
        </w:rPr>
        <w:t>份，从其规定；基金份额持有人赎回时或赎回后在销售机构保留的基金份额余额不足</w:t>
      </w:r>
      <w:r>
        <w:rPr>
          <w:rFonts w:ascii="Times New Roman" w:hAnsi="Times New Roman" w:cs="Times New Roman"/>
          <w:szCs w:val="21"/>
        </w:rPr>
        <w:t>0.01</w:t>
      </w:r>
      <w:r>
        <w:rPr>
          <w:rFonts w:ascii="Times New Roman" w:hAnsi="Times New Roman" w:cs="Times New Roman"/>
          <w:szCs w:val="21"/>
        </w:rPr>
        <w:t>份的，在赎回时需一次全部赎回；</w:t>
      </w:r>
    </w:p>
    <w:p w:rsidR="00EE7530" w:rsidRDefault="00AD471D">
      <w:pPr>
        <w:spacing w:line="360"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、若某笔赎回将导致基金份额持有人在销售机构（网点）保留的基金份额余额不足</w:t>
      </w:r>
      <w:r>
        <w:rPr>
          <w:rFonts w:ascii="Times New Roman" w:hAnsi="Times New Roman" w:cs="Times New Roman"/>
          <w:szCs w:val="21"/>
        </w:rPr>
        <w:t>0.01</w:t>
      </w:r>
      <w:r>
        <w:rPr>
          <w:rFonts w:ascii="Times New Roman" w:hAnsi="Times New Roman" w:cs="Times New Roman"/>
          <w:szCs w:val="21"/>
        </w:rPr>
        <w:t>份的，基金管理人有权将投资者在该销售机构保留的该类基金剩余份额一次性全部赎回</w:t>
      </w:r>
      <w:r>
        <w:rPr>
          <w:rFonts w:ascii="Times New Roman" w:hAnsi="Times New Roman" w:cs="Times New Roman"/>
          <w:szCs w:val="21"/>
        </w:rPr>
        <w:t>；</w:t>
      </w:r>
    </w:p>
    <w:p w:rsidR="00EE7530" w:rsidRDefault="00AD471D">
      <w:pPr>
        <w:spacing w:line="360"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w:t>
      </w:r>
      <w:r>
        <w:rPr>
          <w:rFonts w:ascii="Times New Roman" w:hAnsi="Times New Roman" w:cs="Times New Roman"/>
          <w:bCs/>
          <w:szCs w:val="21"/>
        </w:rPr>
        <w:t>基金管理人可在法律法规允许的情况下，调整上述规定赎回份额的数量限制。基金管理人必须在调整实施前依照《信息披露办法》的有关规定在规定媒介上公告</w:t>
      </w:r>
      <w:r>
        <w:rPr>
          <w:rFonts w:ascii="Times New Roman" w:hAnsi="Times New Roman" w:cs="Times New Roman"/>
          <w:szCs w:val="21"/>
        </w:rPr>
        <w:t>。</w:t>
      </w:r>
    </w:p>
    <w:p w:rsidR="00EE7530" w:rsidRDefault="00AD471D">
      <w:pPr>
        <w:spacing w:line="360" w:lineRule="auto"/>
        <w:ind w:firstLineChars="200" w:firstLine="420"/>
        <w:rPr>
          <w:rFonts w:ascii="Times New Roman" w:hAnsi="Times New Roman" w:cs="Times New Roman"/>
          <w:szCs w:val="21"/>
        </w:rPr>
      </w:pPr>
      <w:r>
        <w:rPr>
          <w:rFonts w:ascii="Times New Roman" w:hAnsi="Times New Roman" w:cs="Times New Roman"/>
          <w:szCs w:val="21"/>
        </w:rPr>
        <w:t>三、本公司承诺以诚实信用、勤勉尽责的原则管理和运用基金资产，但不保证基金一定盈利，也不保证最低收益</w:t>
      </w:r>
      <w:r>
        <w:rPr>
          <w:rFonts w:ascii="Times New Roman" w:hAnsi="Times New Roman" w:cs="Times New Roman" w:hint="eastAsia"/>
          <w:szCs w:val="21"/>
        </w:rPr>
        <w:t>，</w:t>
      </w:r>
      <w:r>
        <w:rPr>
          <w:rFonts w:ascii="Times New Roman" w:hAnsi="Times New Roman" w:cs="Times New Roman"/>
          <w:szCs w:val="21"/>
        </w:rPr>
        <w:t>敬请投资人注意投资风险。投资人投资于上述基金前应认真阅读基金的基金合同</w:t>
      </w:r>
      <w:r>
        <w:rPr>
          <w:rFonts w:ascii="Times New Roman" w:hAnsi="Times New Roman" w:cs="Times New Roman"/>
          <w:szCs w:val="21"/>
        </w:rPr>
        <w:t>、招募说明书</w:t>
      </w:r>
      <w:r>
        <w:rPr>
          <w:rFonts w:ascii="Times New Roman" w:hAnsi="Times New Roman" w:cs="Times New Roman" w:hint="eastAsia"/>
          <w:szCs w:val="21"/>
        </w:rPr>
        <w:t>和基金产品资料概要</w:t>
      </w:r>
      <w:r>
        <w:rPr>
          <w:rFonts w:ascii="Times New Roman" w:hAnsi="Times New Roman" w:cs="Times New Roman"/>
          <w:szCs w:val="21"/>
        </w:rPr>
        <w:t>。</w:t>
      </w:r>
    </w:p>
    <w:p w:rsidR="00EE7530" w:rsidRDefault="00AD471D">
      <w:pPr>
        <w:spacing w:line="360" w:lineRule="auto"/>
        <w:ind w:firstLineChars="200" w:firstLine="420"/>
        <w:rPr>
          <w:rFonts w:ascii="Times New Roman" w:hAnsi="Times New Roman" w:cs="Times New Roman"/>
          <w:szCs w:val="21"/>
        </w:rPr>
      </w:pPr>
      <w:r>
        <w:rPr>
          <w:rFonts w:ascii="Times New Roman" w:hAnsi="Times New Roman" w:cs="Times New Roman"/>
          <w:szCs w:val="21"/>
        </w:rPr>
        <w:t>四、投资人可访问本公司网站（</w:t>
      </w:r>
      <w:r>
        <w:rPr>
          <w:rFonts w:ascii="Times New Roman" w:hAnsi="Times New Roman" w:cs="Times New Roman"/>
          <w:szCs w:val="21"/>
        </w:rPr>
        <w:t>www.yimifund.com</w:t>
      </w:r>
      <w:r>
        <w:rPr>
          <w:rFonts w:ascii="Times New Roman" w:hAnsi="Times New Roman" w:cs="Times New Roman"/>
          <w:szCs w:val="21"/>
        </w:rPr>
        <w:t>）或拨打本</w:t>
      </w:r>
      <w:r>
        <w:rPr>
          <w:rFonts w:ascii="Times New Roman" w:hAnsi="Times New Roman" w:cs="Times New Roman" w:hint="eastAsia"/>
          <w:szCs w:val="21"/>
        </w:rPr>
        <w:t>公司</w:t>
      </w:r>
      <w:r>
        <w:rPr>
          <w:rFonts w:ascii="Times New Roman" w:hAnsi="Times New Roman" w:cs="Times New Roman"/>
          <w:szCs w:val="21"/>
        </w:rPr>
        <w:t>客服热线（</w:t>
      </w:r>
      <w:r>
        <w:rPr>
          <w:rFonts w:ascii="Times New Roman" w:hAnsi="Times New Roman" w:cs="Times New Roman"/>
          <w:szCs w:val="21"/>
        </w:rPr>
        <w:t>4006-046-899</w:t>
      </w:r>
      <w:r>
        <w:rPr>
          <w:rFonts w:ascii="Times New Roman" w:hAnsi="Times New Roman" w:cs="Times New Roman"/>
          <w:szCs w:val="21"/>
        </w:rPr>
        <w:t>）咨询相关情况。</w:t>
      </w:r>
    </w:p>
    <w:p w:rsidR="00EE7530" w:rsidRDefault="00AD471D">
      <w:pPr>
        <w:spacing w:line="360" w:lineRule="auto"/>
        <w:ind w:firstLineChars="200" w:firstLine="420"/>
        <w:rPr>
          <w:rFonts w:ascii="Times New Roman" w:hAnsi="Times New Roman" w:cs="Times New Roman"/>
          <w:szCs w:val="21"/>
        </w:rPr>
      </w:pPr>
      <w:r>
        <w:rPr>
          <w:rFonts w:ascii="Times New Roman" w:hAnsi="Times New Roman" w:cs="Times New Roman"/>
          <w:szCs w:val="21"/>
        </w:rPr>
        <w:t>特此公告。</w:t>
      </w:r>
    </w:p>
    <w:p w:rsidR="00EE7530" w:rsidRDefault="00AD471D">
      <w:pPr>
        <w:spacing w:line="360" w:lineRule="auto"/>
        <w:ind w:firstLineChars="200" w:firstLine="420"/>
        <w:jc w:val="right"/>
        <w:rPr>
          <w:rFonts w:ascii="Times New Roman" w:hAnsi="Times New Roman" w:cs="Times New Roman"/>
          <w:szCs w:val="21"/>
        </w:rPr>
      </w:pPr>
      <w:r>
        <w:rPr>
          <w:rFonts w:ascii="Times New Roman" w:hAnsi="Times New Roman" w:cs="Times New Roman"/>
          <w:szCs w:val="21"/>
        </w:rPr>
        <w:t>易米基金管理有限公司</w:t>
      </w:r>
    </w:p>
    <w:p w:rsidR="00EE7530" w:rsidRDefault="00AD471D">
      <w:pPr>
        <w:spacing w:line="360" w:lineRule="auto"/>
        <w:ind w:firstLineChars="200" w:firstLine="420"/>
        <w:jc w:val="right"/>
        <w:rPr>
          <w:rFonts w:ascii="Times New Roman" w:hAnsi="Times New Roman" w:cs="Times New Roman"/>
          <w:szCs w:val="21"/>
        </w:rPr>
      </w:pPr>
      <w:r>
        <w:rPr>
          <w:rFonts w:ascii="Times New Roman" w:hAnsi="Times New Roman" w:cs="Times New Roman"/>
          <w:szCs w:val="21"/>
        </w:rPr>
        <w:t>2022</w:t>
      </w:r>
      <w:r>
        <w:rPr>
          <w:rFonts w:ascii="Times New Roman" w:hAnsi="Times New Roman" w:cs="Times New Roman"/>
          <w:szCs w:val="21"/>
        </w:rPr>
        <w:t>年</w:t>
      </w:r>
      <w:r>
        <w:rPr>
          <w:rFonts w:ascii="Times New Roman" w:hAnsi="Times New Roman" w:cs="Times New Roman"/>
          <w:szCs w:val="21"/>
        </w:rPr>
        <w:t>10</w:t>
      </w:r>
      <w:r>
        <w:rPr>
          <w:rFonts w:ascii="Times New Roman" w:hAnsi="Times New Roman" w:cs="Times New Roman"/>
          <w:szCs w:val="21"/>
        </w:rPr>
        <w:t>月</w:t>
      </w:r>
      <w:r>
        <w:rPr>
          <w:rFonts w:ascii="Times New Roman" w:hAnsi="Times New Roman" w:cs="Times New Roman"/>
          <w:szCs w:val="21"/>
        </w:rPr>
        <w:t>29</w:t>
      </w:r>
      <w:r>
        <w:rPr>
          <w:rFonts w:ascii="Times New Roman" w:hAnsi="Times New Roman" w:cs="Times New Roman"/>
          <w:szCs w:val="21"/>
        </w:rPr>
        <w:t>日</w:t>
      </w:r>
    </w:p>
    <w:sectPr w:rsidR="00EE7530" w:rsidSect="00EE753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00EE7530"/>
    <w:rsid w:val="00AD471D"/>
    <w:rsid w:val="00EE7530"/>
    <w:rsid w:val="0E7C7296"/>
    <w:rsid w:val="5B6E2712"/>
    <w:rsid w:val="65B40AF5"/>
    <w:rsid w:val="713056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753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EE7530"/>
    <w:rPr>
      <w:rFonts w:ascii="宋体" w:eastAsia="宋体" w:hAnsi="宋体" w:cs="宋体"/>
      <w:color w:val="000000"/>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4</DocSecurity>
  <Lines>6</Lines>
  <Paragraphs>1</Paragraphs>
  <ScaleCrop>false</ScaleCrop>
  <Company>CNSTOCK</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qiyr</dc:creator>
  <cp:lastModifiedBy>ZHONGM</cp:lastModifiedBy>
  <cp:revision>2</cp:revision>
  <dcterms:created xsi:type="dcterms:W3CDTF">2022-10-28T16:01:00Z</dcterms:created>
  <dcterms:modified xsi:type="dcterms:W3CDTF">2022-10-28T16:01:00Z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2052-11.8.6.11546</vt:lpwstr>
  </property>
  <property fmtid="{D5CDD505-2E9C-101B-9397-08002B2CF9AE}" pid="3" name="ICV">
    <vt:lpwstr>6FC93204BCB14F899078A76586DA5D71</vt:lpwstr>
  </property>
</Properties>
</file>