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C7" w:rsidRDefault="00007006" w:rsidP="008B49C7">
      <w:pPr>
        <w:jc w:val="center"/>
        <w:rPr>
          <w:b/>
          <w:sz w:val="32"/>
        </w:rPr>
      </w:pPr>
      <w:r w:rsidRPr="008B49C7">
        <w:rPr>
          <w:rFonts w:hint="eastAsia"/>
          <w:b/>
          <w:sz w:val="32"/>
        </w:rPr>
        <w:t>关于</w:t>
      </w:r>
      <w:r w:rsidR="00C300B0">
        <w:rPr>
          <w:rFonts w:hint="eastAsia"/>
          <w:b/>
          <w:sz w:val="32"/>
        </w:rPr>
        <w:t>泰达宏利量化增强股票型证券投资基金</w:t>
      </w:r>
    </w:p>
    <w:p w:rsidR="00553082" w:rsidRDefault="00007006" w:rsidP="008B49C7">
      <w:pPr>
        <w:jc w:val="center"/>
        <w:rPr>
          <w:b/>
          <w:sz w:val="32"/>
        </w:rPr>
      </w:pPr>
      <w:r w:rsidRPr="008B49C7">
        <w:rPr>
          <w:rFonts w:hint="eastAsia"/>
          <w:b/>
          <w:sz w:val="32"/>
        </w:rPr>
        <w:t>基金合同终止及财产清算的公告</w:t>
      </w:r>
    </w:p>
    <w:p w:rsidR="008B49C7" w:rsidRDefault="008B49C7" w:rsidP="0078424C">
      <w:pPr>
        <w:spacing w:line="360" w:lineRule="auto"/>
        <w:ind w:firstLineChars="200" w:firstLine="480"/>
        <w:rPr>
          <w:rFonts w:ascii="宋体" w:eastAsia="宋体" w:hAnsi="宋体" w:cs="Times New Roman"/>
          <w:sz w:val="24"/>
          <w:szCs w:val="24"/>
        </w:rPr>
      </w:pPr>
    </w:p>
    <w:p w:rsidR="00553082" w:rsidRPr="007A676F" w:rsidRDefault="00007006"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根据《中华人民共和国证券投资基金法》、《公开募集证券投资基金运作管理办法》、</w:t>
      </w:r>
      <w:r w:rsidR="00BF475F" w:rsidRPr="007A676F">
        <w:rPr>
          <w:rFonts w:ascii="宋体" w:eastAsia="宋体" w:hAnsi="宋体" w:cs="Times New Roman" w:hint="eastAsia"/>
          <w:sz w:val="24"/>
          <w:szCs w:val="24"/>
        </w:rPr>
        <w:t>《</w:t>
      </w:r>
      <w:r w:rsidR="00C300B0">
        <w:rPr>
          <w:rFonts w:ascii="宋体" w:eastAsia="宋体" w:hAnsi="宋体" w:cs="Times New Roman" w:hint="eastAsia"/>
          <w:sz w:val="24"/>
          <w:szCs w:val="24"/>
        </w:rPr>
        <w:t>泰达宏利量化增强股票型证券投资基金</w:t>
      </w:r>
      <w:r w:rsidR="00BF475F" w:rsidRPr="007A676F">
        <w:rPr>
          <w:rFonts w:ascii="宋体" w:eastAsia="宋体" w:hAnsi="宋体" w:cs="Times New Roman" w:hint="eastAsia"/>
          <w:sz w:val="24"/>
          <w:szCs w:val="24"/>
        </w:rPr>
        <w:t>基金合同》</w:t>
      </w:r>
      <w:r w:rsidRPr="007A676F">
        <w:rPr>
          <w:rFonts w:ascii="宋体" w:eastAsia="宋体" w:hAnsi="宋体" w:cs="Times New Roman" w:hint="eastAsia"/>
          <w:sz w:val="24"/>
          <w:szCs w:val="24"/>
        </w:rPr>
        <w:t>（以下简称“《基金合同》”）的有关规定，</w:t>
      </w:r>
      <w:r w:rsidR="00C300B0">
        <w:rPr>
          <w:rFonts w:ascii="宋体" w:eastAsia="宋体" w:hAnsi="宋体" w:cs="Times New Roman" w:hint="eastAsia"/>
          <w:sz w:val="24"/>
          <w:szCs w:val="24"/>
        </w:rPr>
        <w:t>泰达宏利量化增强股票型证券投资基金</w:t>
      </w:r>
      <w:r w:rsidRPr="007A676F">
        <w:rPr>
          <w:rFonts w:ascii="宋体" w:eastAsia="宋体" w:hAnsi="宋体" w:cs="Times New Roman" w:hint="eastAsia"/>
          <w:sz w:val="24"/>
          <w:szCs w:val="24"/>
        </w:rPr>
        <w:t>（以下简称“本基金”）</w:t>
      </w:r>
      <w:r w:rsidR="008B45AC" w:rsidRPr="007A676F">
        <w:rPr>
          <w:rFonts w:ascii="宋体" w:eastAsia="宋体" w:hAnsi="宋体" w:cs="Times New Roman" w:hint="eastAsia"/>
          <w:sz w:val="24"/>
          <w:szCs w:val="24"/>
        </w:rPr>
        <w:t>已触发《基金合同》终止的情形</w:t>
      </w:r>
      <w:r w:rsidRPr="007A676F">
        <w:rPr>
          <w:rFonts w:ascii="宋体" w:eastAsia="宋体" w:hAnsi="宋体" w:cs="Times New Roman" w:hint="eastAsia"/>
          <w:sz w:val="24"/>
          <w:szCs w:val="24"/>
        </w:rPr>
        <w:t>，</w:t>
      </w:r>
      <w:r w:rsidR="00093F8C" w:rsidRPr="007A676F">
        <w:rPr>
          <w:rFonts w:ascii="宋体" w:eastAsia="宋体" w:hAnsi="宋体" w:cs="Times New Roman" w:hint="eastAsia"/>
          <w:sz w:val="24"/>
          <w:szCs w:val="24"/>
        </w:rPr>
        <w:t>泰达宏利</w:t>
      </w:r>
      <w:r w:rsidRPr="007A676F">
        <w:rPr>
          <w:rFonts w:ascii="宋体" w:eastAsia="宋体" w:hAnsi="宋体" w:cs="Times New Roman" w:hint="eastAsia"/>
          <w:sz w:val="24"/>
          <w:szCs w:val="24"/>
        </w:rPr>
        <w:t>基金管理有限公司（以下简称“基金管理人”）应当在上述</w:t>
      </w:r>
      <w:r w:rsidR="00F60AE0" w:rsidRPr="007A676F">
        <w:rPr>
          <w:rFonts w:ascii="宋体" w:eastAsia="宋体" w:hAnsi="宋体" w:cs="Times New Roman" w:hint="eastAsia"/>
          <w:sz w:val="24"/>
          <w:szCs w:val="24"/>
        </w:rPr>
        <w:t>终止情形</w:t>
      </w:r>
      <w:r w:rsidRPr="007A676F">
        <w:rPr>
          <w:rFonts w:ascii="宋体" w:eastAsia="宋体" w:hAnsi="宋体" w:cs="Times New Roman" w:hint="eastAsia"/>
          <w:sz w:val="24"/>
          <w:szCs w:val="24"/>
        </w:rPr>
        <w:t>出现后终止基金合同并依法履行基金财产清算程序。本基金的最后运作日为</w:t>
      </w:r>
      <w:r w:rsidR="00630EBB" w:rsidRPr="007A676F">
        <w:rPr>
          <w:rFonts w:ascii="宋体" w:eastAsia="宋体" w:hAnsi="宋体" w:cs="Times New Roman" w:hint="eastAsia"/>
          <w:sz w:val="24"/>
          <w:szCs w:val="24"/>
        </w:rPr>
        <w:t>20</w:t>
      </w:r>
      <w:r w:rsidR="00C82558" w:rsidRPr="007A676F">
        <w:rPr>
          <w:rFonts w:ascii="宋体" w:eastAsia="宋体" w:hAnsi="宋体" w:cs="Times New Roman"/>
          <w:sz w:val="24"/>
          <w:szCs w:val="24"/>
        </w:rPr>
        <w:t>2</w:t>
      </w:r>
      <w:r w:rsidR="00B839B1">
        <w:rPr>
          <w:rFonts w:ascii="宋体" w:eastAsia="宋体" w:hAnsi="宋体" w:cs="Times New Roman"/>
          <w:sz w:val="24"/>
          <w:szCs w:val="24"/>
        </w:rPr>
        <w:t>2</w:t>
      </w:r>
      <w:r w:rsidR="002864E5" w:rsidRPr="007A676F">
        <w:rPr>
          <w:rFonts w:ascii="宋体" w:eastAsia="宋体" w:hAnsi="宋体" w:cs="Times New Roman" w:hint="eastAsia"/>
          <w:sz w:val="24"/>
          <w:szCs w:val="24"/>
        </w:rPr>
        <w:t>年</w:t>
      </w:r>
      <w:r w:rsidR="00C300B0">
        <w:rPr>
          <w:rFonts w:ascii="宋体" w:eastAsia="宋体" w:hAnsi="宋体" w:cs="Times New Roman"/>
          <w:sz w:val="24"/>
          <w:szCs w:val="24"/>
        </w:rPr>
        <w:t>10</w:t>
      </w:r>
      <w:r w:rsidR="002864E5" w:rsidRPr="007A676F">
        <w:rPr>
          <w:rFonts w:ascii="宋体" w:eastAsia="宋体" w:hAnsi="宋体" w:cs="Times New Roman" w:hint="eastAsia"/>
          <w:sz w:val="24"/>
          <w:szCs w:val="24"/>
        </w:rPr>
        <w:t>月</w:t>
      </w:r>
      <w:r w:rsidR="00C300B0">
        <w:rPr>
          <w:rFonts w:ascii="宋体" w:eastAsia="宋体" w:hAnsi="宋体" w:cs="Times New Roman"/>
          <w:sz w:val="24"/>
          <w:szCs w:val="24"/>
        </w:rPr>
        <w:t>2</w:t>
      </w:r>
      <w:r w:rsidR="00B839B1">
        <w:rPr>
          <w:rFonts w:ascii="宋体" w:eastAsia="宋体" w:hAnsi="宋体" w:cs="Times New Roman"/>
          <w:sz w:val="24"/>
          <w:szCs w:val="24"/>
        </w:rPr>
        <w:t>0</w:t>
      </w:r>
      <w:r w:rsidR="00885926" w:rsidRPr="007A676F">
        <w:rPr>
          <w:rFonts w:ascii="宋体" w:eastAsia="宋体" w:hAnsi="宋体" w:cs="Times New Roman" w:hint="eastAsia"/>
          <w:sz w:val="24"/>
          <w:szCs w:val="24"/>
        </w:rPr>
        <w:t>日</w:t>
      </w:r>
      <w:r w:rsidRPr="007A676F">
        <w:rPr>
          <w:rFonts w:ascii="宋体" w:eastAsia="宋体" w:hAnsi="宋体" w:cs="Times New Roman" w:hint="eastAsia"/>
          <w:sz w:val="24"/>
          <w:szCs w:val="24"/>
        </w:rPr>
        <w:t>，并于</w:t>
      </w:r>
      <w:r w:rsidR="00630EBB" w:rsidRPr="007A676F">
        <w:rPr>
          <w:rFonts w:ascii="宋体" w:eastAsia="宋体" w:hAnsi="宋体" w:cs="Times New Roman" w:hint="eastAsia"/>
          <w:sz w:val="24"/>
          <w:szCs w:val="24"/>
        </w:rPr>
        <w:t>20</w:t>
      </w:r>
      <w:r w:rsidR="00C82558" w:rsidRPr="007A676F">
        <w:rPr>
          <w:rFonts w:ascii="宋体" w:eastAsia="宋体" w:hAnsi="宋体" w:cs="Times New Roman"/>
          <w:sz w:val="24"/>
          <w:szCs w:val="24"/>
        </w:rPr>
        <w:t>2</w:t>
      </w:r>
      <w:r w:rsidR="00B839B1">
        <w:rPr>
          <w:rFonts w:ascii="宋体" w:eastAsia="宋体" w:hAnsi="宋体" w:cs="Times New Roman"/>
          <w:sz w:val="24"/>
          <w:szCs w:val="24"/>
        </w:rPr>
        <w:t>2</w:t>
      </w:r>
      <w:r w:rsidR="00630EBB" w:rsidRPr="007A676F">
        <w:rPr>
          <w:rFonts w:ascii="宋体" w:eastAsia="宋体" w:hAnsi="宋体" w:cs="Times New Roman" w:hint="eastAsia"/>
          <w:sz w:val="24"/>
          <w:szCs w:val="24"/>
        </w:rPr>
        <w:t>年</w:t>
      </w:r>
      <w:r w:rsidR="00C300B0">
        <w:rPr>
          <w:rFonts w:ascii="宋体" w:eastAsia="宋体" w:hAnsi="宋体" w:cs="Times New Roman"/>
          <w:sz w:val="24"/>
          <w:szCs w:val="24"/>
        </w:rPr>
        <w:t>10</w:t>
      </w:r>
      <w:r w:rsidR="00885926" w:rsidRPr="007A676F">
        <w:rPr>
          <w:rFonts w:ascii="宋体" w:eastAsia="宋体" w:hAnsi="宋体" w:cs="Times New Roman" w:hint="eastAsia"/>
          <w:sz w:val="24"/>
          <w:szCs w:val="24"/>
        </w:rPr>
        <w:t>月</w:t>
      </w:r>
      <w:r w:rsidR="00C300B0">
        <w:rPr>
          <w:rFonts w:ascii="宋体" w:eastAsia="宋体" w:hAnsi="宋体" w:cs="Times New Roman"/>
          <w:sz w:val="24"/>
          <w:szCs w:val="24"/>
        </w:rPr>
        <w:t>2</w:t>
      </w:r>
      <w:r w:rsidR="00B839B1">
        <w:rPr>
          <w:rFonts w:ascii="宋体" w:eastAsia="宋体" w:hAnsi="宋体" w:cs="Times New Roman"/>
          <w:sz w:val="24"/>
          <w:szCs w:val="24"/>
        </w:rPr>
        <w:t>1</w:t>
      </w:r>
      <w:r w:rsidR="00885926" w:rsidRPr="007A676F">
        <w:rPr>
          <w:rFonts w:ascii="宋体" w:eastAsia="宋体" w:hAnsi="宋体" w:cs="Times New Roman" w:hint="eastAsia"/>
          <w:sz w:val="24"/>
          <w:szCs w:val="24"/>
        </w:rPr>
        <w:t>日</w:t>
      </w:r>
      <w:r w:rsidRPr="007A676F">
        <w:rPr>
          <w:rFonts w:ascii="宋体" w:eastAsia="宋体" w:hAnsi="宋体" w:cs="Times New Roman" w:hint="eastAsia"/>
          <w:sz w:val="24"/>
          <w:szCs w:val="24"/>
        </w:rPr>
        <w:t>进入</w:t>
      </w:r>
      <w:r w:rsidR="00CA3939" w:rsidRPr="007A676F">
        <w:rPr>
          <w:rFonts w:ascii="宋体" w:eastAsia="宋体" w:hAnsi="宋体" w:cs="Times New Roman" w:hint="eastAsia"/>
          <w:sz w:val="24"/>
          <w:szCs w:val="24"/>
        </w:rPr>
        <w:t>清算</w:t>
      </w:r>
      <w:r w:rsidRPr="007A676F">
        <w:rPr>
          <w:rFonts w:ascii="宋体" w:eastAsia="宋体" w:hAnsi="宋体" w:cs="Times New Roman" w:hint="eastAsia"/>
          <w:sz w:val="24"/>
          <w:szCs w:val="24"/>
        </w:rPr>
        <w:t>程序。</w:t>
      </w:r>
    </w:p>
    <w:p w:rsidR="00553082" w:rsidRPr="007A676F" w:rsidRDefault="00007006"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现将相关事宜公告如下：</w:t>
      </w:r>
    </w:p>
    <w:p w:rsidR="00553082" w:rsidRPr="007A676F" w:rsidRDefault="00007006" w:rsidP="0078424C">
      <w:pPr>
        <w:spacing w:line="360" w:lineRule="auto"/>
        <w:ind w:firstLineChars="200" w:firstLine="482"/>
        <w:rPr>
          <w:rFonts w:ascii="宋体" w:eastAsia="宋体" w:hAnsi="宋体" w:cs="Times New Roman"/>
          <w:b/>
          <w:sz w:val="24"/>
          <w:szCs w:val="24"/>
        </w:rPr>
      </w:pPr>
      <w:r w:rsidRPr="007A676F">
        <w:rPr>
          <w:rFonts w:ascii="宋体" w:eastAsia="宋体" w:hAnsi="宋体" w:cs="Times New Roman" w:hint="eastAsia"/>
          <w:b/>
          <w:sz w:val="24"/>
          <w:szCs w:val="24"/>
        </w:rPr>
        <w:t>一、本基金基本信息</w:t>
      </w:r>
    </w:p>
    <w:p w:rsidR="00C300B0" w:rsidRPr="002A175C" w:rsidRDefault="00C300B0" w:rsidP="00C300B0">
      <w:pPr>
        <w:autoSpaceDE w:val="0"/>
        <w:autoSpaceDN w:val="0"/>
        <w:adjustRightInd w:val="0"/>
        <w:spacing w:line="470" w:lineRule="exact"/>
        <w:ind w:firstLineChars="200" w:firstLine="480"/>
        <w:rPr>
          <w:rFonts w:ascii="Times New Roman" w:eastAsia="宋体" w:hAnsi="Times New Roman"/>
          <w:sz w:val="24"/>
        </w:rPr>
      </w:pPr>
      <w:r w:rsidRPr="002A175C">
        <w:rPr>
          <w:rFonts w:ascii="Times New Roman" w:eastAsia="宋体" w:hAnsi="Times New Roman" w:hint="eastAsia"/>
          <w:sz w:val="24"/>
        </w:rPr>
        <w:t>基金名称：</w:t>
      </w:r>
      <w:r>
        <w:rPr>
          <w:rFonts w:ascii="Times New Roman" w:eastAsia="宋体" w:hAnsi="Times New Roman" w:hint="eastAsia"/>
          <w:sz w:val="24"/>
        </w:rPr>
        <w:t>泰达宏利量化增强股票型证券投资基金</w:t>
      </w:r>
    </w:p>
    <w:p w:rsidR="00C300B0" w:rsidRPr="007C36CF" w:rsidRDefault="00C300B0" w:rsidP="00C300B0">
      <w:pPr>
        <w:autoSpaceDE w:val="0"/>
        <w:autoSpaceDN w:val="0"/>
        <w:adjustRightInd w:val="0"/>
        <w:spacing w:line="470" w:lineRule="exact"/>
        <w:ind w:firstLineChars="200" w:firstLine="480"/>
        <w:rPr>
          <w:rFonts w:ascii="Times New Roman" w:eastAsia="宋体" w:hAnsi="Times New Roman"/>
          <w:sz w:val="24"/>
        </w:rPr>
      </w:pPr>
      <w:bookmarkStart w:id="0" w:name="_Hlk116548355"/>
      <w:r w:rsidRPr="002A175C">
        <w:rPr>
          <w:rFonts w:ascii="Times New Roman" w:eastAsia="宋体" w:hAnsi="Times New Roman" w:hint="eastAsia"/>
          <w:sz w:val="24"/>
        </w:rPr>
        <w:t>基金简称：</w:t>
      </w:r>
      <w:r w:rsidRPr="004A39B8">
        <w:rPr>
          <w:rFonts w:ascii="Times New Roman" w:eastAsia="宋体" w:hAnsi="Times New Roman" w:hint="eastAsia"/>
          <w:sz w:val="24"/>
        </w:rPr>
        <w:t>泰达宏利量化股票</w:t>
      </w:r>
    </w:p>
    <w:p w:rsidR="00C300B0" w:rsidRPr="002A175C" w:rsidRDefault="00C300B0" w:rsidP="00C300B0">
      <w:pPr>
        <w:autoSpaceDE w:val="0"/>
        <w:autoSpaceDN w:val="0"/>
        <w:adjustRightInd w:val="0"/>
        <w:spacing w:line="470" w:lineRule="exact"/>
        <w:ind w:firstLineChars="200" w:firstLine="480"/>
        <w:rPr>
          <w:rFonts w:ascii="Times New Roman" w:eastAsia="宋体" w:hAnsi="Times New Roman"/>
          <w:sz w:val="24"/>
        </w:rPr>
      </w:pPr>
      <w:r w:rsidRPr="002A175C">
        <w:rPr>
          <w:rFonts w:ascii="Times New Roman" w:eastAsia="宋体" w:hAnsi="Times New Roman" w:hint="eastAsia"/>
          <w:sz w:val="24"/>
        </w:rPr>
        <w:t>基金代码：</w:t>
      </w:r>
      <w:r>
        <w:rPr>
          <w:rFonts w:ascii="Times New Roman" w:eastAsia="宋体" w:hAnsi="Times New Roman"/>
          <w:sz w:val="24"/>
        </w:rPr>
        <w:t>001733</w:t>
      </w:r>
    </w:p>
    <w:p w:rsidR="00C300B0" w:rsidRPr="002A175C" w:rsidRDefault="00C300B0" w:rsidP="00C300B0">
      <w:pPr>
        <w:autoSpaceDE w:val="0"/>
        <w:autoSpaceDN w:val="0"/>
        <w:adjustRightInd w:val="0"/>
        <w:spacing w:line="470" w:lineRule="exact"/>
        <w:ind w:firstLineChars="200" w:firstLine="480"/>
        <w:rPr>
          <w:rFonts w:ascii="Times New Roman" w:eastAsia="宋体" w:hAnsi="Times New Roman"/>
          <w:sz w:val="24"/>
        </w:rPr>
      </w:pPr>
      <w:r w:rsidRPr="002A175C">
        <w:rPr>
          <w:rFonts w:ascii="Times New Roman" w:eastAsia="宋体" w:hAnsi="Times New Roman" w:hint="eastAsia"/>
          <w:sz w:val="24"/>
        </w:rPr>
        <w:t>基金运作方式：契约型开放式</w:t>
      </w:r>
    </w:p>
    <w:p w:rsidR="00C300B0" w:rsidRPr="002A175C" w:rsidRDefault="00C300B0" w:rsidP="00C300B0">
      <w:pPr>
        <w:autoSpaceDE w:val="0"/>
        <w:autoSpaceDN w:val="0"/>
        <w:adjustRightInd w:val="0"/>
        <w:spacing w:line="470" w:lineRule="exact"/>
        <w:ind w:firstLineChars="200" w:firstLine="480"/>
        <w:rPr>
          <w:rFonts w:ascii="Times New Roman" w:eastAsia="宋体" w:hAnsi="Times New Roman"/>
          <w:sz w:val="24"/>
        </w:rPr>
      </w:pPr>
      <w:r w:rsidRPr="002A175C">
        <w:rPr>
          <w:rFonts w:ascii="Times New Roman" w:eastAsia="宋体" w:hAnsi="Times New Roman" w:hint="eastAsia"/>
          <w:sz w:val="24"/>
        </w:rPr>
        <w:t>基金合同生效日：</w:t>
      </w:r>
      <w:r w:rsidRPr="002A175C">
        <w:rPr>
          <w:rFonts w:ascii="Times New Roman" w:eastAsia="宋体" w:hAnsi="Times New Roman"/>
          <w:sz w:val="24"/>
        </w:rPr>
        <w:t>201</w:t>
      </w:r>
      <w:r>
        <w:rPr>
          <w:rFonts w:ascii="Times New Roman" w:eastAsia="宋体" w:hAnsi="Times New Roman"/>
          <w:sz w:val="24"/>
        </w:rPr>
        <w:t>6</w:t>
      </w:r>
      <w:r w:rsidRPr="002A175C">
        <w:rPr>
          <w:rFonts w:ascii="Times New Roman" w:eastAsia="宋体" w:hAnsi="Times New Roman"/>
          <w:sz w:val="24"/>
        </w:rPr>
        <w:t>年</w:t>
      </w:r>
      <w:r>
        <w:rPr>
          <w:rFonts w:ascii="Times New Roman" w:eastAsia="宋体" w:hAnsi="Times New Roman"/>
          <w:sz w:val="24"/>
        </w:rPr>
        <w:t>8</w:t>
      </w:r>
      <w:r w:rsidRPr="002A175C">
        <w:rPr>
          <w:rFonts w:ascii="Times New Roman" w:eastAsia="宋体" w:hAnsi="Times New Roman"/>
          <w:sz w:val="24"/>
        </w:rPr>
        <w:t>月</w:t>
      </w:r>
      <w:r>
        <w:rPr>
          <w:rFonts w:ascii="Times New Roman" w:eastAsia="宋体" w:hAnsi="Times New Roman"/>
          <w:sz w:val="24"/>
        </w:rPr>
        <w:t>30</w:t>
      </w:r>
      <w:r w:rsidRPr="002A175C">
        <w:rPr>
          <w:rFonts w:ascii="Times New Roman" w:eastAsia="宋体" w:hAnsi="Times New Roman"/>
          <w:sz w:val="24"/>
        </w:rPr>
        <w:t>日</w:t>
      </w:r>
    </w:p>
    <w:p w:rsidR="00C300B0" w:rsidRPr="002A175C" w:rsidRDefault="00C300B0" w:rsidP="00C300B0">
      <w:pPr>
        <w:autoSpaceDE w:val="0"/>
        <w:autoSpaceDN w:val="0"/>
        <w:adjustRightInd w:val="0"/>
        <w:spacing w:line="470" w:lineRule="exact"/>
        <w:ind w:firstLineChars="200" w:firstLine="480"/>
        <w:rPr>
          <w:rFonts w:ascii="Times New Roman" w:eastAsia="宋体" w:hAnsi="Times New Roman"/>
          <w:sz w:val="24"/>
        </w:rPr>
      </w:pPr>
      <w:r w:rsidRPr="002A175C">
        <w:rPr>
          <w:rFonts w:ascii="Times New Roman" w:eastAsia="宋体" w:hAnsi="Times New Roman" w:hint="eastAsia"/>
          <w:sz w:val="24"/>
        </w:rPr>
        <w:t>基金管理人名称：泰达宏利基金管理有限公司</w:t>
      </w:r>
    </w:p>
    <w:p w:rsidR="00C300B0" w:rsidRDefault="00C300B0" w:rsidP="00C300B0">
      <w:pPr>
        <w:spacing w:line="360" w:lineRule="auto"/>
        <w:ind w:firstLineChars="200" w:firstLine="480"/>
        <w:rPr>
          <w:rFonts w:ascii="Times New Roman" w:eastAsia="宋体" w:hAnsi="Times New Roman"/>
          <w:sz w:val="24"/>
        </w:rPr>
      </w:pPr>
      <w:r w:rsidRPr="002A175C">
        <w:rPr>
          <w:rFonts w:ascii="Times New Roman" w:eastAsia="宋体" w:hAnsi="Times New Roman" w:hint="eastAsia"/>
          <w:sz w:val="24"/>
        </w:rPr>
        <w:t>基金托管人名称：</w:t>
      </w:r>
      <w:r>
        <w:rPr>
          <w:rFonts w:ascii="Times New Roman" w:eastAsia="宋体" w:hAnsi="Times New Roman" w:hint="eastAsia"/>
          <w:sz w:val="24"/>
        </w:rPr>
        <w:t>中国</w:t>
      </w:r>
      <w:r w:rsidRPr="002A175C">
        <w:rPr>
          <w:rFonts w:ascii="Times New Roman" w:eastAsia="宋体" w:hAnsi="Times New Roman" w:hint="eastAsia"/>
          <w:sz w:val="24"/>
        </w:rPr>
        <w:t>银行股份有限公司</w:t>
      </w:r>
      <w:bookmarkEnd w:id="0"/>
    </w:p>
    <w:p w:rsidR="00630EBB" w:rsidRPr="007A676F" w:rsidRDefault="00007006" w:rsidP="00C300B0">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公告依据：《中华人民共和国证券投资基金法》、《公开募集证券投资基金运作管理办法》、《</w:t>
      </w:r>
      <w:r w:rsidR="00BC5CA5" w:rsidRPr="007A676F">
        <w:rPr>
          <w:rFonts w:ascii="宋体" w:eastAsia="宋体" w:hAnsi="宋体" w:cs="Times New Roman" w:hint="eastAsia"/>
          <w:sz w:val="24"/>
          <w:szCs w:val="24"/>
        </w:rPr>
        <w:t>公开募集</w:t>
      </w:r>
      <w:r w:rsidRPr="007A676F">
        <w:rPr>
          <w:rFonts w:ascii="宋体" w:eastAsia="宋体" w:hAnsi="宋体" w:cs="Times New Roman" w:hint="eastAsia"/>
          <w:sz w:val="24"/>
          <w:szCs w:val="24"/>
        </w:rPr>
        <w:t>证券投资基金信息披露管理办法》、</w:t>
      </w:r>
      <w:r w:rsidR="00BF475F" w:rsidRPr="007A676F">
        <w:rPr>
          <w:rFonts w:ascii="宋体" w:eastAsia="宋体" w:hAnsi="宋体" w:cs="Times New Roman" w:hint="eastAsia"/>
          <w:sz w:val="24"/>
          <w:szCs w:val="24"/>
        </w:rPr>
        <w:t>《</w:t>
      </w:r>
      <w:r w:rsidR="00C300B0">
        <w:rPr>
          <w:rFonts w:ascii="宋体" w:eastAsia="宋体" w:hAnsi="宋体" w:cs="Times New Roman" w:hint="eastAsia"/>
          <w:sz w:val="24"/>
          <w:szCs w:val="24"/>
        </w:rPr>
        <w:t>泰达宏利量化增强股票型证券投资基金</w:t>
      </w:r>
      <w:r w:rsidR="00BF475F" w:rsidRPr="007A676F">
        <w:rPr>
          <w:rFonts w:ascii="宋体" w:eastAsia="宋体" w:hAnsi="宋体" w:cs="Times New Roman" w:hint="eastAsia"/>
          <w:sz w:val="24"/>
          <w:szCs w:val="24"/>
        </w:rPr>
        <w:t>基金合同》</w:t>
      </w:r>
      <w:r w:rsidRPr="007A676F">
        <w:rPr>
          <w:rFonts w:ascii="宋体" w:eastAsia="宋体" w:hAnsi="宋体" w:cs="Times New Roman" w:hint="eastAsia"/>
          <w:sz w:val="24"/>
          <w:szCs w:val="24"/>
        </w:rPr>
        <w:t>、</w:t>
      </w:r>
      <w:r w:rsidR="00BF475F" w:rsidRPr="007A676F">
        <w:rPr>
          <w:rFonts w:ascii="宋体" w:eastAsia="宋体" w:hAnsi="宋体" w:cs="Times New Roman" w:hint="eastAsia"/>
          <w:sz w:val="24"/>
          <w:szCs w:val="24"/>
        </w:rPr>
        <w:t>《</w:t>
      </w:r>
      <w:r w:rsidR="00C300B0">
        <w:rPr>
          <w:rFonts w:ascii="宋体" w:eastAsia="宋体" w:hAnsi="宋体" w:cs="Times New Roman" w:hint="eastAsia"/>
          <w:sz w:val="24"/>
          <w:szCs w:val="24"/>
        </w:rPr>
        <w:t>泰达宏利量化增强股票型证券投资基金</w:t>
      </w:r>
      <w:r w:rsidR="00BF475F" w:rsidRPr="007A676F">
        <w:rPr>
          <w:rFonts w:ascii="宋体" w:eastAsia="宋体" w:hAnsi="宋体" w:cs="Times New Roman" w:hint="eastAsia"/>
          <w:sz w:val="24"/>
          <w:szCs w:val="24"/>
        </w:rPr>
        <w:t>招募说明书</w:t>
      </w:r>
      <w:r w:rsidR="00B839B1" w:rsidRPr="007A676F">
        <w:rPr>
          <w:rFonts w:ascii="宋体" w:eastAsia="宋体" w:hAnsi="宋体" w:cs="Times New Roman" w:hint="eastAsia"/>
          <w:sz w:val="24"/>
          <w:szCs w:val="24"/>
        </w:rPr>
        <w:t>》</w:t>
      </w:r>
      <w:r w:rsidRPr="007A676F">
        <w:rPr>
          <w:rFonts w:ascii="宋体" w:eastAsia="宋体" w:hAnsi="宋体" w:cs="Times New Roman" w:hint="eastAsia"/>
          <w:sz w:val="24"/>
          <w:szCs w:val="24"/>
        </w:rPr>
        <w:t>。</w:t>
      </w:r>
    </w:p>
    <w:p w:rsidR="00553082" w:rsidRPr="007A676F" w:rsidRDefault="00007006" w:rsidP="0078424C">
      <w:pPr>
        <w:spacing w:line="360" w:lineRule="auto"/>
        <w:ind w:firstLineChars="200" w:firstLine="482"/>
        <w:rPr>
          <w:rFonts w:ascii="宋体" w:eastAsia="宋体" w:hAnsi="宋体" w:cs="Times New Roman"/>
          <w:b/>
          <w:sz w:val="24"/>
          <w:szCs w:val="24"/>
        </w:rPr>
      </w:pPr>
      <w:r w:rsidRPr="007A676F">
        <w:rPr>
          <w:rFonts w:ascii="宋体" w:eastAsia="宋体" w:hAnsi="宋体" w:cs="Times New Roman" w:hint="eastAsia"/>
          <w:b/>
          <w:sz w:val="24"/>
          <w:szCs w:val="24"/>
        </w:rPr>
        <w:t>二、基金合同终止事由</w:t>
      </w:r>
    </w:p>
    <w:p w:rsidR="008B49C7" w:rsidRPr="008B49C7" w:rsidRDefault="008B49C7" w:rsidP="008B49C7">
      <w:pPr>
        <w:spacing w:line="360" w:lineRule="auto"/>
        <w:ind w:firstLineChars="200" w:firstLine="480"/>
        <w:rPr>
          <w:rFonts w:ascii="宋体" w:eastAsia="宋体" w:hAnsi="宋体" w:cs="Times New Roman"/>
          <w:sz w:val="24"/>
          <w:szCs w:val="24"/>
        </w:rPr>
      </w:pPr>
      <w:bookmarkStart w:id="1" w:name="_Hlk116552072"/>
      <w:r w:rsidRPr="008B49C7">
        <w:rPr>
          <w:rFonts w:ascii="宋体" w:eastAsia="宋体" w:hAnsi="宋体" w:cs="Times New Roman" w:hint="eastAsia"/>
          <w:sz w:val="24"/>
          <w:szCs w:val="24"/>
        </w:rPr>
        <w:t>根据《基金合同》“第五部分 基金备案”之“三、基金存续期内的基金份额持有人数量和资产规模”的约定：</w:t>
      </w:r>
    </w:p>
    <w:p w:rsidR="00C300B0" w:rsidRPr="004A39B8" w:rsidRDefault="00C300B0" w:rsidP="00C300B0">
      <w:pPr>
        <w:autoSpaceDE w:val="0"/>
        <w:autoSpaceDN w:val="0"/>
        <w:adjustRightInd w:val="0"/>
        <w:spacing w:line="470" w:lineRule="exact"/>
        <w:ind w:firstLineChars="200" w:firstLine="480"/>
        <w:rPr>
          <w:rFonts w:ascii="Times New Roman" w:eastAsia="宋体" w:hAnsi="Times New Roman"/>
          <w:bCs/>
          <w:sz w:val="24"/>
        </w:rPr>
      </w:pPr>
      <w:r w:rsidRPr="002A175C">
        <w:rPr>
          <w:rFonts w:ascii="Times New Roman" w:eastAsia="宋体" w:hAnsi="Times New Roman" w:hint="eastAsia"/>
          <w:sz w:val="24"/>
        </w:rPr>
        <w:t>“</w:t>
      </w:r>
      <w:bookmarkStart w:id="2" w:name="_Hlk116552196"/>
      <w:bookmarkStart w:id="3" w:name="_Hlk114230554"/>
      <w:r w:rsidRPr="004A39B8">
        <w:rPr>
          <w:rFonts w:ascii="Times New Roman" w:eastAsia="宋体" w:hAnsi="Times New Roman" w:hint="eastAsia"/>
          <w:bCs/>
          <w:sz w:val="24"/>
        </w:rPr>
        <w:t>《基金合同》生效后，连续</w:t>
      </w:r>
      <w:r w:rsidRPr="004A39B8">
        <w:rPr>
          <w:rFonts w:ascii="Times New Roman" w:eastAsia="宋体" w:hAnsi="Times New Roman"/>
          <w:bCs/>
          <w:sz w:val="24"/>
        </w:rPr>
        <w:t>20</w:t>
      </w:r>
      <w:r w:rsidRPr="004A39B8">
        <w:rPr>
          <w:rFonts w:ascii="Times New Roman" w:eastAsia="宋体" w:hAnsi="Times New Roman"/>
          <w:bCs/>
          <w:sz w:val="24"/>
        </w:rPr>
        <w:t>个工作日出现基金份额持有人数量不满</w:t>
      </w:r>
      <w:r w:rsidRPr="004A39B8">
        <w:rPr>
          <w:rFonts w:ascii="Times New Roman" w:eastAsia="宋体" w:hAnsi="Times New Roman"/>
          <w:bCs/>
          <w:sz w:val="24"/>
        </w:rPr>
        <w:t>200</w:t>
      </w:r>
      <w:r w:rsidRPr="004A39B8">
        <w:rPr>
          <w:rFonts w:ascii="Times New Roman" w:eastAsia="宋体" w:hAnsi="Times New Roman"/>
          <w:bCs/>
          <w:sz w:val="24"/>
        </w:rPr>
        <w:t>人或者基金资产净值低于</w:t>
      </w:r>
      <w:r w:rsidRPr="004A39B8">
        <w:rPr>
          <w:rFonts w:ascii="Times New Roman" w:eastAsia="宋体" w:hAnsi="Times New Roman"/>
          <w:bCs/>
          <w:sz w:val="24"/>
        </w:rPr>
        <w:t>5000</w:t>
      </w:r>
      <w:r w:rsidRPr="004A39B8">
        <w:rPr>
          <w:rFonts w:ascii="Times New Roman" w:eastAsia="宋体" w:hAnsi="Times New Roman"/>
          <w:bCs/>
          <w:sz w:val="24"/>
        </w:rPr>
        <w:t>万元情形的，基金管理人应当在定期报告中予以披露。连续</w:t>
      </w:r>
      <w:r w:rsidRPr="004A39B8">
        <w:rPr>
          <w:rFonts w:ascii="Times New Roman" w:eastAsia="宋体" w:hAnsi="Times New Roman"/>
          <w:bCs/>
          <w:sz w:val="24"/>
        </w:rPr>
        <w:t>60</w:t>
      </w:r>
      <w:r w:rsidRPr="004A39B8">
        <w:rPr>
          <w:rFonts w:ascii="Times New Roman" w:eastAsia="宋体" w:hAnsi="Times New Roman"/>
          <w:bCs/>
          <w:sz w:val="24"/>
        </w:rPr>
        <w:t>个工作日出现上述情形的，基金合同应当终止并根据基金合同的约定</w:t>
      </w:r>
      <w:r w:rsidRPr="004A39B8">
        <w:rPr>
          <w:rFonts w:ascii="Times New Roman" w:eastAsia="宋体" w:hAnsi="Times New Roman"/>
          <w:bCs/>
          <w:sz w:val="24"/>
        </w:rPr>
        <w:lastRenderedPageBreak/>
        <w:t>进行基金财产清算，而无需召开基金份额持有人大会。</w:t>
      </w:r>
      <w:bookmarkEnd w:id="2"/>
    </w:p>
    <w:p w:rsidR="008B49C7" w:rsidRDefault="00C300B0" w:rsidP="00C300B0">
      <w:pPr>
        <w:spacing w:line="360" w:lineRule="auto"/>
        <w:ind w:firstLineChars="200" w:firstLine="480"/>
        <w:rPr>
          <w:rFonts w:ascii="宋体" w:eastAsia="宋体" w:hAnsi="宋体" w:cs="Times New Roman"/>
          <w:sz w:val="24"/>
          <w:szCs w:val="24"/>
        </w:rPr>
      </w:pPr>
      <w:r w:rsidRPr="004A39B8">
        <w:rPr>
          <w:rFonts w:ascii="Times New Roman" w:eastAsia="宋体" w:hAnsi="Times New Roman" w:hint="eastAsia"/>
          <w:bCs/>
          <w:sz w:val="24"/>
        </w:rPr>
        <w:t>法律法规另有规定时，从其规定。</w:t>
      </w:r>
      <w:bookmarkEnd w:id="3"/>
      <w:r w:rsidRPr="002A175C">
        <w:rPr>
          <w:rFonts w:ascii="Times New Roman" w:eastAsia="宋体" w:hAnsi="Times New Roman" w:hint="eastAsia"/>
          <w:sz w:val="24"/>
        </w:rPr>
        <w:t>”</w:t>
      </w:r>
    </w:p>
    <w:p w:rsidR="00553082" w:rsidRPr="007A676F" w:rsidRDefault="004B26C1" w:rsidP="008B49C7">
      <w:pPr>
        <w:spacing w:line="360" w:lineRule="auto"/>
        <w:ind w:firstLineChars="200" w:firstLine="480"/>
        <w:rPr>
          <w:rFonts w:ascii="宋体" w:eastAsia="宋体" w:hAnsi="宋体" w:cs="Times New Roman"/>
          <w:sz w:val="24"/>
          <w:szCs w:val="24"/>
        </w:rPr>
      </w:pPr>
      <w:r w:rsidRPr="007A676F">
        <w:rPr>
          <w:rFonts w:ascii="宋体" w:eastAsia="宋体" w:hAnsi="宋体" w:hint="eastAsia"/>
          <w:sz w:val="24"/>
        </w:rPr>
        <w:t>截至20</w:t>
      </w:r>
      <w:r w:rsidR="00DE4DB0" w:rsidRPr="007A676F">
        <w:rPr>
          <w:rFonts w:ascii="宋体" w:eastAsia="宋体" w:hAnsi="宋体"/>
          <w:sz w:val="24"/>
        </w:rPr>
        <w:t>2</w:t>
      </w:r>
      <w:r w:rsidR="001A595C">
        <w:rPr>
          <w:rFonts w:ascii="宋体" w:eastAsia="宋体" w:hAnsi="宋体"/>
          <w:sz w:val="24"/>
        </w:rPr>
        <w:t>2</w:t>
      </w:r>
      <w:r w:rsidRPr="007A676F">
        <w:rPr>
          <w:rFonts w:ascii="宋体" w:eastAsia="宋体" w:hAnsi="宋体" w:hint="eastAsia"/>
          <w:sz w:val="24"/>
        </w:rPr>
        <w:t>年</w:t>
      </w:r>
      <w:r w:rsidR="00C300B0">
        <w:rPr>
          <w:rFonts w:ascii="宋体" w:eastAsia="宋体" w:hAnsi="宋体"/>
          <w:sz w:val="24"/>
        </w:rPr>
        <w:t>10</w:t>
      </w:r>
      <w:r w:rsidRPr="007A676F">
        <w:rPr>
          <w:rFonts w:ascii="宋体" w:eastAsia="宋体" w:hAnsi="宋体" w:hint="eastAsia"/>
          <w:sz w:val="24"/>
        </w:rPr>
        <w:t>月</w:t>
      </w:r>
      <w:r w:rsidR="00C300B0">
        <w:rPr>
          <w:rFonts w:ascii="宋体" w:eastAsia="宋体" w:hAnsi="宋体"/>
          <w:sz w:val="24"/>
        </w:rPr>
        <w:t>2</w:t>
      </w:r>
      <w:r w:rsidR="001A595C">
        <w:rPr>
          <w:rFonts w:ascii="宋体" w:eastAsia="宋体" w:hAnsi="宋体"/>
          <w:sz w:val="24"/>
        </w:rPr>
        <w:t>0</w:t>
      </w:r>
      <w:r w:rsidRPr="007A676F">
        <w:rPr>
          <w:rFonts w:ascii="宋体" w:eastAsia="宋体" w:hAnsi="宋体" w:hint="eastAsia"/>
          <w:sz w:val="24"/>
        </w:rPr>
        <w:t>日日终，已出现连续</w:t>
      </w:r>
      <w:r w:rsidRPr="007A676F">
        <w:rPr>
          <w:rFonts w:ascii="宋体" w:eastAsia="宋体" w:hAnsi="宋体"/>
          <w:sz w:val="24"/>
        </w:rPr>
        <w:t>60</w:t>
      </w:r>
      <w:r w:rsidRPr="007A676F">
        <w:rPr>
          <w:rFonts w:ascii="宋体" w:eastAsia="宋体" w:hAnsi="宋体" w:hint="eastAsia"/>
          <w:sz w:val="24"/>
        </w:rPr>
        <w:t>个工作日基金资产净值低于</w:t>
      </w:r>
      <w:r w:rsidRPr="007A676F">
        <w:rPr>
          <w:rFonts w:ascii="宋体" w:eastAsia="宋体" w:hAnsi="宋体"/>
          <w:sz w:val="24"/>
        </w:rPr>
        <w:t>5000</w:t>
      </w:r>
      <w:r w:rsidRPr="007A676F">
        <w:rPr>
          <w:rFonts w:ascii="宋体" w:eastAsia="宋体" w:hAnsi="宋体" w:hint="eastAsia"/>
          <w:sz w:val="24"/>
        </w:rPr>
        <w:t>万元的情形。</w:t>
      </w:r>
      <w:r w:rsidR="00007006" w:rsidRPr="007A676F">
        <w:rPr>
          <w:rFonts w:ascii="宋体" w:eastAsia="宋体" w:hAnsi="宋体" w:cs="Times New Roman" w:hint="eastAsia"/>
          <w:sz w:val="24"/>
          <w:szCs w:val="24"/>
        </w:rPr>
        <w:t>为维护基金份额持有人利益，</w:t>
      </w:r>
      <w:r w:rsidR="00007006" w:rsidRPr="00F01113">
        <w:rPr>
          <w:rFonts w:ascii="宋体" w:eastAsia="宋体" w:hAnsi="宋体" w:cs="Times New Roman" w:hint="eastAsia"/>
          <w:sz w:val="24"/>
          <w:szCs w:val="24"/>
        </w:rPr>
        <w:t>根据</w:t>
      </w:r>
      <w:r w:rsidR="008B45AC" w:rsidRPr="00F01113">
        <w:rPr>
          <w:rFonts w:ascii="宋体" w:eastAsia="宋体" w:hAnsi="宋体" w:cs="Times New Roman" w:hint="eastAsia"/>
          <w:sz w:val="24"/>
          <w:szCs w:val="24"/>
        </w:rPr>
        <w:t>《</w:t>
      </w:r>
      <w:r w:rsidR="00007006" w:rsidRPr="00F01113">
        <w:rPr>
          <w:rFonts w:ascii="宋体" w:eastAsia="宋体" w:hAnsi="宋体" w:cs="Times New Roman" w:hint="eastAsia"/>
          <w:sz w:val="24"/>
          <w:szCs w:val="24"/>
        </w:rPr>
        <w:t>基金合同</w:t>
      </w:r>
      <w:r w:rsidR="008B45AC" w:rsidRPr="00F01113">
        <w:rPr>
          <w:rFonts w:ascii="宋体" w:eastAsia="宋体" w:hAnsi="宋体" w:cs="Times New Roman" w:hint="eastAsia"/>
          <w:sz w:val="24"/>
          <w:szCs w:val="24"/>
        </w:rPr>
        <w:t>》</w:t>
      </w:r>
      <w:r w:rsidR="00007006" w:rsidRPr="00F01113">
        <w:rPr>
          <w:rFonts w:ascii="宋体" w:eastAsia="宋体" w:hAnsi="宋体" w:cs="Times New Roman" w:hint="eastAsia"/>
          <w:sz w:val="24"/>
          <w:szCs w:val="24"/>
        </w:rPr>
        <w:t>约定，基金管理人应终止</w:t>
      </w:r>
      <w:r w:rsidR="00BF475F" w:rsidRPr="00F01113">
        <w:rPr>
          <w:rFonts w:ascii="宋体" w:eastAsia="宋体" w:hAnsi="宋体" w:cs="Times New Roman" w:hint="eastAsia"/>
          <w:sz w:val="24"/>
          <w:szCs w:val="24"/>
        </w:rPr>
        <w:t>《</w:t>
      </w:r>
      <w:r w:rsidR="00007006" w:rsidRPr="00F01113">
        <w:rPr>
          <w:rFonts w:ascii="宋体" w:eastAsia="宋体" w:hAnsi="宋体" w:cs="Times New Roman" w:hint="eastAsia"/>
          <w:sz w:val="24"/>
          <w:szCs w:val="24"/>
        </w:rPr>
        <w:t>基金合同</w:t>
      </w:r>
      <w:r w:rsidR="00BF475F" w:rsidRPr="00F01113">
        <w:rPr>
          <w:rFonts w:ascii="宋体" w:eastAsia="宋体" w:hAnsi="宋体" w:cs="Times New Roman" w:hint="eastAsia"/>
          <w:sz w:val="24"/>
          <w:szCs w:val="24"/>
        </w:rPr>
        <w:t>》</w:t>
      </w:r>
      <w:r w:rsidR="00007006" w:rsidRPr="00F01113">
        <w:rPr>
          <w:rFonts w:ascii="宋体" w:eastAsia="宋体" w:hAnsi="宋体" w:cs="Times New Roman" w:hint="eastAsia"/>
          <w:sz w:val="24"/>
          <w:szCs w:val="24"/>
        </w:rPr>
        <w:t>并依法履行基金财产清算程序。</w:t>
      </w:r>
      <w:bookmarkEnd w:id="1"/>
    </w:p>
    <w:p w:rsidR="00C93AD2" w:rsidRPr="007A676F" w:rsidRDefault="00C93AD2" w:rsidP="0078424C">
      <w:pPr>
        <w:spacing w:line="360" w:lineRule="auto"/>
        <w:ind w:firstLineChars="200" w:firstLine="482"/>
        <w:rPr>
          <w:rFonts w:ascii="宋体" w:eastAsia="宋体" w:hAnsi="宋体" w:cs="Times New Roman"/>
          <w:b/>
          <w:sz w:val="24"/>
          <w:szCs w:val="24"/>
        </w:rPr>
      </w:pPr>
      <w:r w:rsidRPr="007A676F">
        <w:rPr>
          <w:rFonts w:ascii="宋体" w:eastAsia="宋体" w:hAnsi="宋体" w:cs="Times New Roman"/>
          <w:b/>
          <w:sz w:val="24"/>
          <w:szCs w:val="24"/>
        </w:rPr>
        <w:t>三、基金财产的清算</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（一）基金财产清算安排</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1、</w:t>
      </w:r>
      <w:r w:rsidR="00CA3939" w:rsidRPr="007A676F">
        <w:rPr>
          <w:rFonts w:ascii="宋体" w:eastAsia="宋体" w:hAnsi="宋体" w:cs="Times New Roman" w:hint="eastAsia"/>
          <w:sz w:val="24"/>
          <w:szCs w:val="24"/>
        </w:rPr>
        <w:t>本基金最后一个运作日为</w:t>
      </w:r>
      <w:r w:rsidR="00BF475F" w:rsidRPr="007A676F">
        <w:rPr>
          <w:rFonts w:ascii="宋体" w:eastAsia="宋体" w:hAnsi="宋体" w:cs="Times New Roman"/>
          <w:sz w:val="24"/>
          <w:szCs w:val="24"/>
        </w:rPr>
        <w:t>20</w:t>
      </w:r>
      <w:r w:rsidR="00E84F98" w:rsidRPr="007A676F">
        <w:rPr>
          <w:rFonts w:ascii="宋体" w:eastAsia="宋体" w:hAnsi="宋体" w:cs="Times New Roman"/>
          <w:sz w:val="24"/>
          <w:szCs w:val="24"/>
        </w:rPr>
        <w:t>2</w:t>
      </w:r>
      <w:r w:rsidR="001A595C">
        <w:rPr>
          <w:rFonts w:ascii="宋体" w:eastAsia="宋体" w:hAnsi="宋体" w:cs="Times New Roman"/>
          <w:sz w:val="24"/>
          <w:szCs w:val="24"/>
        </w:rPr>
        <w:t>2</w:t>
      </w:r>
      <w:r w:rsidR="00BF475F" w:rsidRPr="007A676F">
        <w:rPr>
          <w:rFonts w:ascii="宋体" w:eastAsia="宋体" w:hAnsi="宋体" w:cs="Times New Roman" w:hint="eastAsia"/>
          <w:sz w:val="24"/>
          <w:szCs w:val="24"/>
        </w:rPr>
        <w:t>年</w:t>
      </w:r>
      <w:r w:rsidR="00C300B0">
        <w:rPr>
          <w:rFonts w:ascii="宋体" w:eastAsia="宋体" w:hAnsi="宋体" w:cs="Times New Roman"/>
          <w:sz w:val="24"/>
          <w:szCs w:val="24"/>
        </w:rPr>
        <w:t>10</w:t>
      </w:r>
      <w:r w:rsidR="00CA3939" w:rsidRPr="007A676F">
        <w:rPr>
          <w:rFonts w:ascii="宋体" w:eastAsia="宋体" w:hAnsi="宋体" w:cs="Times New Roman" w:hint="eastAsia"/>
          <w:sz w:val="24"/>
          <w:szCs w:val="24"/>
        </w:rPr>
        <w:t>月</w:t>
      </w:r>
      <w:r w:rsidR="00C300B0">
        <w:rPr>
          <w:rFonts w:ascii="宋体" w:eastAsia="宋体" w:hAnsi="宋体" w:cs="Times New Roman"/>
          <w:sz w:val="24"/>
          <w:szCs w:val="24"/>
        </w:rPr>
        <w:t>2</w:t>
      </w:r>
      <w:r w:rsidR="001A595C">
        <w:rPr>
          <w:rFonts w:ascii="宋体" w:eastAsia="宋体" w:hAnsi="宋体" w:cs="Times New Roman"/>
          <w:sz w:val="24"/>
          <w:szCs w:val="24"/>
        </w:rPr>
        <w:t>0</w:t>
      </w:r>
      <w:r w:rsidR="00CA3939" w:rsidRPr="007A676F">
        <w:rPr>
          <w:rFonts w:ascii="宋体" w:eastAsia="宋体" w:hAnsi="宋体" w:cs="Times New Roman" w:hint="eastAsia"/>
          <w:sz w:val="24"/>
          <w:szCs w:val="24"/>
        </w:rPr>
        <w:t>日，</w:t>
      </w:r>
      <w:r w:rsidRPr="007A676F">
        <w:rPr>
          <w:rFonts w:ascii="宋体" w:eastAsia="宋体" w:hAnsi="宋体" w:cs="Times New Roman"/>
          <w:sz w:val="24"/>
          <w:szCs w:val="24"/>
        </w:rPr>
        <w:t>自</w:t>
      </w:r>
      <w:r w:rsidR="002864E5" w:rsidRPr="007A676F">
        <w:rPr>
          <w:rFonts w:ascii="宋体" w:eastAsia="宋体" w:hAnsi="宋体" w:cs="Times New Roman"/>
          <w:sz w:val="24"/>
          <w:szCs w:val="24"/>
        </w:rPr>
        <w:t>20</w:t>
      </w:r>
      <w:r w:rsidR="00CC6456">
        <w:rPr>
          <w:rFonts w:ascii="宋体" w:eastAsia="宋体" w:hAnsi="宋体" w:cs="Times New Roman"/>
          <w:sz w:val="24"/>
          <w:szCs w:val="24"/>
        </w:rPr>
        <w:t>2</w:t>
      </w:r>
      <w:r w:rsidR="001A595C">
        <w:rPr>
          <w:rFonts w:ascii="宋体" w:eastAsia="宋体" w:hAnsi="宋体" w:cs="Times New Roman"/>
          <w:sz w:val="24"/>
          <w:szCs w:val="24"/>
        </w:rPr>
        <w:t>2</w:t>
      </w:r>
      <w:r w:rsidR="002864E5" w:rsidRPr="007A676F">
        <w:rPr>
          <w:rFonts w:ascii="宋体" w:eastAsia="宋体" w:hAnsi="宋体" w:cs="Times New Roman"/>
          <w:sz w:val="24"/>
          <w:szCs w:val="24"/>
        </w:rPr>
        <w:t>年</w:t>
      </w:r>
      <w:r w:rsidR="00C300B0">
        <w:rPr>
          <w:rFonts w:ascii="宋体" w:eastAsia="宋体" w:hAnsi="宋体" w:cs="Times New Roman"/>
          <w:sz w:val="24"/>
          <w:szCs w:val="24"/>
        </w:rPr>
        <w:t>10</w:t>
      </w:r>
      <w:r w:rsidRPr="007A676F">
        <w:rPr>
          <w:rFonts w:ascii="宋体" w:eastAsia="宋体" w:hAnsi="宋体" w:cs="Times New Roman"/>
          <w:sz w:val="24"/>
          <w:szCs w:val="24"/>
        </w:rPr>
        <w:t>月</w:t>
      </w:r>
      <w:r w:rsidR="00C300B0">
        <w:rPr>
          <w:rFonts w:ascii="宋体" w:eastAsia="宋体" w:hAnsi="宋体" w:cs="Times New Roman"/>
          <w:sz w:val="24"/>
          <w:szCs w:val="24"/>
        </w:rPr>
        <w:t>2</w:t>
      </w:r>
      <w:r w:rsidR="001A595C">
        <w:rPr>
          <w:rFonts w:ascii="宋体" w:eastAsia="宋体" w:hAnsi="宋体" w:cs="Times New Roman"/>
          <w:sz w:val="24"/>
          <w:szCs w:val="24"/>
        </w:rPr>
        <w:t>1</w:t>
      </w:r>
      <w:r w:rsidRPr="007A676F">
        <w:rPr>
          <w:rFonts w:ascii="宋体" w:eastAsia="宋体" w:hAnsi="宋体" w:cs="Times New Roman"/>
          <w:sz w:val="24"/>
          <w:szCs w:val="24"/>
        </w:rPr>
        <w:t>日</w:t>
      </w:r>
      <w:r w:rsidR="0085623D" w:rsidRPr="007A676F">
        <w:rPr>
          <w:rFonts w:ascii="宋体" w:eastAsia="宋体" w:hAnsi="宋体" w:cs="Times New Roman" w:hint="eastAsia"/>
          <w:sz w:val="24"/>
          <w:szCs w:val="24"/>
        </w:rPr>
        <w:t>（最后运作日的下一日）</w:t>
      </w:r>
      <w:r w:rsidR="00630EBB" w:rsidRPr="007A676F">
        <w:rPr>
          <w:rFonts w:ascii="宋体" w:eastAsia="宋体" w:hAnsi="宋体" w:cs="Times New Roman"/>
          <w:sz w:val="24"/>
          <w:szCs w:val="24"/>
        </w:rPr>
        <w:t>起进入清算程序</w:t>
      </w:r>
      <w:r w:rsidR="005E1531" w:rsidRPr="007A676F">
        <w:rPr>
          <w:rFonts w:ascii="宋体" w:eastAsia="宋体" w:hAnsi="宋体" w:cs="Times New Roman" w:hint="eastAsia"/>
          <w:sz w:val="24"/>
          <w:szCs w:val="24"/>
        </w:rPr>
        <w:t>，停止办理申购、赎回、转换等业务，并且之后不再恢复。本基金进入清算程序后，停止收取基金管理费</w:t>
      </w:r>
      <w:r w:rsidR="00D13969">
        <w:rPr>
          <w:rFonts w:ascii="宋体" w:eastAsia="宋体" w:hAnsi="宋体" w:cs="Times New Roman" w:hint="eastAsia"/>
          <w:sz w:val="24"/>
          <w:szCs w:val="24"/>
        </w:rPr>
        <w:t>和</w:t>
      </w:r>
      <w:r w:rsidR="005E1531" w:rsidRPr="007A676F">
        <w:rPr>
          <w:rFonts w:ascii="宋体" w:eastAsia="宋体" w:hAnsi="宋体" w:cs="Times New Roman" w:hint="eastAsia"/>
          <w:sz w:val="24"/>
          <w:szCs w:val="24"/>
        </w:rPr>
        <w:t>基金托管费</w:t>
      </w:r>
      <w:r w:rsidR="0085623D" w:rsidRPr="007A676F">
        <w:rPr>
          <w:rFonts w:ascii="宋体" w:eastAsia="宋体" w:hAnsi="宋体" w:cs="Times New Roman" w:hint="eastAsia"/>
          <w:sz w:val="24"/>
          <w:szCs w:val="24"/>
        </w:rPr>
        <w:t>。</w:t>
      </w:r>
    </w:p>
    <w:p w:rsidR="00C93AD2" w:rsidRPr="007A676F" w:rsidRDefault="00C93AD2" w:rsidP="0078424C">
      <w:pPr>
        <w:spacing w:line="360" w:lineRule="auto"/>
        <w:ind w:firstLineChars="200" w:firstLine="480"/>
        <w:rPr>
          <w:rFonts w:ascii="宋体" w:eastAsia="宋体" w:hAnsi="宋体" w:cs="Times New Roman"/>
          <w:sz w:val="24"/>
          <w:szCs w:val="24"/>
        </w:rPr>
      </w:pPr>
      <w:bookmarkStart w:id="4" w:name="_Hlk33737255"/>
      <w:r w:rsidRPr="007A676F">
        <w:rPr>
          <w:rFonts w:ascii="宋体" w:eastAsia="宋体" w:hAnsi="宋体" w:cs="Times New Roman"/>
          <w:sz w:val="24"/>
          <w:szCs w:val="24"/>
        </w:rPr>
        <w:t>2、基金管理人组织基金财产清算小组并在中国证监会的监督下进行基金清算。基金财产清算小组成员由基金管理人、基金托管人、</w:t>
      </w:r>
      <w:r w:rsidR="00522BFE" w:rsidRPr="007A676F">
        <w:rPr>
          <w:rFonts w:ascii="宋体" w:eastAsia="宋体" w:hAnsi="宋体" w:cs="Times New Roman" w:hint="eastAsia"/>
          <w:sz w:val="24"/>
          <w:szCs w:val="24"/>
        </w:rPr>
        <w:t>符合《中华人民共和国证券法》规定</w:t>
      </w:r>
      <w:r w:rsidRPr="007A676F">
        <w:rPr>
          <w:rFonts w:ascii="宋体" w:eastAsia="宋体" w:hAnsi="宋体" w:cs="Times New Roman"/>
          <w:sz w:val="24"/>
          <w:szCs w:val="24"/>
        </w:rPr>
        <w:t>的注册会计师、律师以</w:t>
      </w:r>
      <w:r w:rsidR="00E84F98" w:rsidRPr="007A676F">
        <w:rPr>
          <w:rFonts w:ascii="宋体" w:eastAsia="宋体" w:hAnsi="宋体"/>
          <w:bCs/>
          <w:sz w:val="24"/>
        </w:rPr>
        <w:t>及</w:t>
      </w:r>
      <w:r w:rsidR="00A45946" w:rsidRPr="00A45946">
        <w:rPr>
          <w:rFonts w:ascii="宋体" w:eastAsia="宋体" w:hAnsi="宋体" w:hint="eastAsia"/>
          <w:bCs/>
          <w:sz w:val="24"/>
        </w:rPr>
        <w:t>法律法规规定的其他</w:t>
      </w:r>
      <w:r w:rsidR="00A45946" w:rsidRPr="00A45946">
        <w:rPr>
          <w:rFonts w:ascii="宋体" w:eastAsia="宋体" w:hAnsi="宋体"/>
          <w:bCs/>
          <w:sz w:val="24"/>
        </w:rPr>
        <w:t>人员组成</w:t>
      </w:r>
      <w:r w:rsidRPr="007A676F">
        <w:rPr>
          <w:rFonts w:ascii="宋体" w:eastAsia="宋体" w:hAnsi="宋体" w:cs="Times New Roman"/>
          <w:sz w:val="24"/>
          <w:szCs w:val="24"/>
        </w:rPr>
        <w:t>。基金财产清算小组可以聘用必要的工作人员。</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3、基金财产清算小组负责基金财产的保管、清理、估价、变现和分配。基金财产清算小组可以依法进行必要的民事活动。</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4、基金财产清算程序：</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（1）《基金合同》终止情形出现时，由基金财产清算小组统一接管基金；</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（2）对基金财产和债权债务进行清理和确认；</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（3）对基金财产进行估值和变现；</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（4）制作清算报告；</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（5）聘请会计师事务所对清算报告进行外部审计，聘请律师事务所对清算报告出具法律意见书；</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（6）将清算报告报中国证监会备案并公告；</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（7）对基金剩余财产进行分配。</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5、基金财产清算的期限为6个月。</w:t>
      </w:r>
    </w:p>
    <w:p w:rsidR="00F874EC"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（二）清算费用</w:t>
      </w:r>
    </w:p>
    <w:p w:rsidR="001558B2" w:rsidRPr="007A676F" w:rsidRDefault="00114F33"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清算费用是指基金财产清算小组在进行基金清算过程中发生的所有合理费用，清算费用由基金财产清算小组优先从基金财产中支付</w:t>
      </w:r>
      <w:r w:rsidR="001558B2" w:rsidRPr="007A676F">
        <w:rPr>
          <w:rFonts w:ascii="宋体" w:eastAsia="宋体" w:hAnsi="宋体" w:cs="Times New Roman" w:hint="eastAsia"/>
          <w:sz w:val="24"/>
          <w:szCs w:val="24"/>
        </w:rPr>
        <w:t>。</w:t>
      </w:r>
    </w:p>
    <w:p w:rsidR="00F874EC"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lastRenderedPageBreak/>
        <w:t>（三）基金财产清算剩余资产的分配</w:t>
      </w:r>
    </w:p>
    <w:p w:rsidR="003562D7" w:rsidRPr="007A676F" w:rsidRDefault="003562D7"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F874EC"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（四）基金财产清算的公告</w:t>
      </w:r>
    </w:p>
    <w:p w:rsidR="003562D7" w:rsidRPr="007A676F" w:rsidRDefault="003562D7" w:rsidP="0078424C">
      <w:pPr>
        <w:spacing w:line="360" w:lineRule="auto"/>
        <w:ind w:firstLineChars="200" w:firstLine="480"/>
        <w:rPr>
          <w:rFonts w:ascii="宋体" w:eastAsia="宋体" w:hAnsi="宋体"/>
          <w:bCs/>
          <w:sz w:val="24"/>
        </w:rPr>
      </w:pPr>
      <w:r w:rsidRPr="007A676F">
        <w:rPr>
          <w:rFonts w:ascii="宋体" w:eastAsia="宋体" w:hAnsi="宋体" w:hint="eastAsia"/>
          <w:bCs/>
          <w:sz w:val="24"/>
        </w:rPr>
        <w:t>清算过程中的有关重大事项须及时公告；基金财产清算报告经</w:t>
      </w:r>
      <w:r w:rsidR="00522BFE" w:rsidRPr="007A676F">
        <w:rPr>
          <w:rFonts w:ascii="宋体" w:eastAsia="宋体" w:hAnsi="宋体" w:hint="eastAsia"/>
          <w:bCs/>
          <w:sz w:val="24"/>
        </w:rPr>
        <w:t>符合《中华人民共和国证券法》规定</w:t>
      </w:r>
      <w:r w:rsidR="007046E6" w:rsidRPr="007A676F">
        <w:rPr>
          <w:rFonts w:ascii="宋体" w:eastAsia="宋体" w:hAnsi="宋体" w:hint="eastAsia"/>
          <w:bCs/>
          <w:sz w:val="24"/>
        </w:rPr>
        <w:t>的</w:t>
      </w:r>
      <w:r w:rsidRPr="007A676F">
        <w:rPr>
          <w:rFonts w:ascii="宋体" w:eastAsia="宋体" w:hAnsi="宋体" w:hint="eastAsia"/>
          <w:bCs/>
          <w:sz w:val="24"/>
        </w:rPr>
        <w:t>会计师事务所审计并由律师事务所出具法律意见书后报中国证监会备案并公告。基金财产清算公告于基金财产清算报告报中国证监会备案后5个工作日内由基金财产清算小组进行公告</w:t>
      </w:r>
      <w:r w:rsidR="007046E6" w:rsidRPr="007A676F">
        <w:rPr>
          <w:rFonts w:ascii="宋体" w:eastAsia="宋体" w:hAnsi="宋体" w:hint="eastAsia"/>
          <w:bCs/>
          <w:sz w:val="24"/>
        </w:rPr>
        <w:t>，基金财产清算小组应当将清算报告登载在</w:t>
      </w:r>
      <w:r w:rsidR="00522BFE" w:rsidRPr="007A676F">
        <w:rPr>
          <w:rFonts w:ascii="宋体" w:eastAsia="宋体" w:hAnsi="宋体" w:hint="eastAsia"/>
          <w:bCs/>
          <w:sz w:val="24"/>
        </w:rPr>
        <w:t>规定</w:t>
      </w:r>
      <w:r w:rsidR="007046E6" w:rsidRPr="007A676F">
        <w:rPr>
          <w:rFonts w:ascii="宋体" w:eastAsia="宋体" w:hAnsi="宋体" w:hint="eastAsia"/>
          <w:bCs/>
          <w:sz w:val="24"/>
        </w:rPr>
        <w:t>网站上，并将清算报告提示性公告登载在</w:t>
      </w:r>
      <w:r w:rsidR="00522BFE" w:rsidRPr="007A676F">
        <w:rPr>
          <w:rFonts w:ascii="宋体" w:eastAsia="宋体" w:hAnsi="宋体" w:hint="eastAsia"/>
          <w:bCs/>
          <w:sz w:val="24"/>
        </w:rPr>
        <w:t>规定</w:t>
      </w:r>
      <w:r w:rsidR="007046E6" w:rsidRPr="007A676F">
        <w:rPr>
          <w:rFonts w:ascii="宋体" w:eastAsia="宋体" w:hAnsi="宋体" w:hint="eastAsia"/>
          <w:bCs/>
          <w:sz w:val="24"/>
        </w:rPr>
        <w:t>报刊上</w:t>
      </w:r>
      <w:r w:rsidRPr="007A676F">
        <w:rPr>
          <w:rFonts w:ascii="宋体" w:eastAsia="宋体" w:hAnsi="宋体" w:hint="eastAsia"/>
          <w:bCs/>
          <w:sz w:val="24"/>
        </w:rPr>
        <w:t>。</w:t>
      </w:r>
    </w:p>
    <w:p w:rsidR="00C7340B"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（五）基金财产清算账册及文件的保存</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基金财产清算账册及有关文件由基金托管人保存</w:t>
      </w:r>
      <w:r w:rsidR="00A45946" w:rsidRPr="00A45946">
        <w:rPr>
          <w:rFonts w:ascii="宋体" w:eastAsia="宋体" w:hAnsi="宋体" w:cs="Times New Roman" w:hint="eastAsia"/>
          <w:sz w:val="24"/>
          <w:szCs w:val="24"/>
        </w:rPr>
        <w:t>不低于法律法规规定</w:t>
      </w:r>
      <w:r w:rsidR="00615BE5">
        <w:rPr>
          <w:rFonts w:ascii="宋体" w:eastAsia="宋体" w:hAnsi="宋体" w:cs="Times New Roman" w:hint="eastAsia"/>
          <w:sz w:val="24"/>
          <w:szCs w:val="24"/>
        </w:rPr>
        <w:t>及基金合同约定</w:t>
      </w:r>
      <w:r w:rsidR="00A45946" w:rsidRPr="00A45946">
        <w:rPr>
          <w:rFonts w:ascii="宋体" w:eastAsia="宋体" w:hAnsi="宋体" w:cs="Times New Roman" w:hint="eastAsia"/>
          <w:sz w:val="24"/>
          <w:szCs w:val="24"/>
        </w:rPr>
        <w:t>的期限</w:t>
      </w:r>
      <w:r w:rsidRPr="007A676F">
        <w:rPr>
          <w:rFonts w:ascii="宋体" w:eastAsia="宋体" w:hAnsi="宋体" w:cs="Times New Roman"/>
          <w:sz w:val="24"/>
          <w:szCs w:val="24"/>
        </w:rPr>
        <w:t>。</w:t>
      </w:r>
    </w:p>
    <w:bookmarkEnd w:id="4"/>
    <w:p w:rsidR="00166226" w:rsidRPr="007A676F" w:rsidRDefault="00166226" w:rsidP="0078424C">
      <w:pPr>
        <w:spacing w:line="360" w:lineRule="auto"/>
        <w:ind w:firstLineChars="200" w:firstLine="482"/>
        <w:rPr>
          <w:rFonts w:ascii="宋体" w:eastAsia="宋体" w:hAnsi="宋体" w:cs="Times New Roman"/>
          <w:b/>
          <w:sz w:val="24"/>
          <w:szCs w:val="24"/>
        </w:rPr>
      </w:pPr>
      <w:r w:rsidRPr="007A676F">
        <w:rPr>
          <w:rFonts w:ascii="宋体" w:eastAsia="宋体" w:hAnsi="宋体" w:cs="Times New Roman" w:hint="eastAsia"/>
          <w:b/>
          <w:sz w:val="24"/>
          <w:szCs w:val="24"/>
        </w:rPr>
        <w:t>四、基金财产清算中的事项说明</w:t>
      </w:r>
    </w:p>
    <w:p w:rsidR="00166226" w:rsidRPr="007A676F" w:rsidRDefault="00166226"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（一）停牌证券或其他无法及时变现证券</w:t>
      </w:r>
    </w:p>
    <w:p w:rsidR="00166226" w:rsidRPr="007A676F" w:rsidRDefault="00166226"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如清算期内仍有持仓证券停牌或其他无法及时变现的证券，则本基金可能需要进行多次清算。</w:t>
      </w:r>
      <w:r w:rsidR="006F5B0D" w:rsidRPr="007A676F">
        <w:rPr>
          <w:rFonts w:ascii="宋体" w:eastAsia="宋体" w:hAnsi="宋体" w:cs="Times New Roman" w:hint="eastAsia"/>
          <w:sz w:val="24"/>
          <w:szCs w:val="24"/>
        </w:rPr>
        <w:t>停牌证券或其他无法及时变现的证券的恢复流通时间具有一定的不确定性，且锁定期内价格波动亦存在不确定性，故投资者存在无法及时获得清算款，或获得的清算款远低于</w:t>
      </w:r>
      <w:r w:rsidR="00AA484A">
        <w:rPr>
          <w:rFonts w:ascii="宋体" w:eastAsia="宋体" w:hAnsi="宋体" w:cs="Times New Roman" w:hint="eastAsia"/>
          <w:sz w:val="24"/>
          <w:szCs w:val="24"/>
        </w:rPr>
        <w:t>最后</w:t>
      </w:r>
      <w:r w:rsidR="006F5B0D" w:rsidRPr="007A676F">
        <w:rPr>
          <w:rFonts w:ascii="宋体" w:eastAsia="宋体" w:hAnsi="宋体" w:cs="Times New Roman" w:hint="eastAsia"/>
          <w:sz w:val="24"/>
          <w:szCs w:val="24"/>
        </w:rPr>
        <w:t>运作日份额净值的风险。</w:t>
      </w:r>
    </w:p>
    <w:p w:rsidR="00166226" w:rsidRPr="007A676F" w:rsidRDefault="00212EF1" w:rsidP="0078424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w:t>
      </w:r>
      <w:r w:rsidR="00166226" w:rsidRPr="007A676F">
        <w:rPr>
          <w:rFonts w:ascii="宋体" w:eastAsia="宋体" w:hAnsi="宋体" w:cs="Times New Roman" w:hint="eastAsia"/>
          <w:sz w:val="24"/>
          <w:szCs w:val="24"/>
        </w:rPr>
        <w:t>结算备付金、保证金及应收利息</w:t>
      </w:r>
    </w:p>
    <w:p w:rsidR="00166226" w:rsidRDefault="00166226"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为了提高清算效率，基金管理人可以使用自有资金先行垫付</w:t>
      </w:r>
      <w:r w:rsidR="00A47109" w:rsidRPr="007A676F">
        <w:rPr>
          <w:rFonts w:ascii="宋体" w:eastAsia="宋体" w:hAnsi="宋体" w:cs="Times New Roman" w:hint="eastAsia"/>
          <w:sz w:val="24"/>
          <w:szCs w:val="24"/>
        </w:rPr>
        <w:t>最低</w:t>
      </w:r>
      <w:r w:rsidRPr="007A676F">
        <w:rPr>
          <w:rFonts w:ascii="宋体" w:eastAsia="宋体" w:hAnsi="宋体" w:cs="Times New Roman" w:hint="eastAsia"/>
          <w:sz w:val="24"/>
          <w:szCs w:val="24"/>
        </w:rPr>
        <w:t>结算备付金和交易席位保证金，以及清算期间产生的应收利息等，该垫付资金及垫付资金到账日起孳生的利息将于收回款项、结息后返还给基金管理人。</w:t>
      </w:r>
    </w:p>
    <w:p w:rsidR="00553082" w:rsidRPr="007A676F" w:rsidRDefault="00166226" w:rsidP="0078424C">
      <w:pPr>
        <w:spacing w:line="360" w:lineRule="auto"/>
        <w:ind w:firstLineChars="200" w:firstLine="482"/>
        <w:rPr>
          <w:rFonts w:ascii="宋体" w:eastAsia="宋体" w:hAnsi="宋体" w:cs="Times New Roman"/>
          <w:sz w:val="24"/>
          <w:szCs w:val="24"/>
        </w:rPr>
      </w:pPr>
      <w:r w:rsidRPr="007A676F">
        <w:rPr>
          <w:rFonts w:ascii="宋体" w:eastAsia="宋体" w:hAnsi="宋体" w:cs="Times New Roman" w:hint="eastAsia"/>
          <w:b/>
          <w:sz w:val="24"/>
          <w:szCs w:val="24"/>
        </w:rPr>
        <w:t>五</w:t>
      </w:r>
      <w:r w:rsidR="009D052C" w:rsidRPr="007A676F">
        <w:rPr>
          <w:rFonts w:ascii="宋体" w:eastAsia="宋体" w:hAnsi="宋体" w:cs="Times New Roman" w:hint="eastAsia"/>
          <w:b/>
          <w:sz w:val="24"/>
          <w:szCs w:val="24"/>
        </w:rPr>
        <w:t>、</w:t>
      </w:r>
      <w:r w:rsidR="00C93AD2" w:rsidRPr="007A676F">
        <w:rPr>
          <w:rFonts w:ascii="宋体" w:eastAsia="宋体" w:hAnsi="宋体" w:cs="Times New Roman" w:hint="eastAsia"/>
          <w:b/>
          <w:sz w:val="24"/>
          <w:szCs w:val="24"/>
        </w:rPr>
        <w:t>特别</w:t>
      </w:r>
      <w:r w:rsidR="00007006" w:rsidRPr="007A676F">
        <w:rPr>
          <w:rFonts w:ascii="宋体" w:eastAsia="宋体" w:hAnsi="宋体" w:cs="Times New Roman" w:hint="eastAsia"/>
          <w:b/>
          <w:sz w:val="24"/>
          <w:szCs w:val="24"/>
        </w:rPr>
        <w:t>提示</w:t>
      </w:r>
    </w:p>
    <w:p w:rsidR="00C93AD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1、敬请投资者关注基金清算的相关后续公告。</w:t>
      </w:r>
    </w:p>
    <w:p w:rsidR="00553082" w:rsidRPr="007A676F" w:rsidRDefault="00C93AD2" w:rsidP="0078424C">
      <w:pPr>
        <w:spacing w:line="360" w:lineRule="auto"/>
        <w:ind w:firstLineChars="200" w:firstLine="480"/>
        <w:rPr>
          <w:rFonts w:ascii="宋体" w:eastAsia="宋体" w:hAnsi="宋体" w:cs="Times New Roman"/>
          <w:sz w:val="24"/>
          <w:szCs w:val="24"/>
        </w:rPr>
      </w:pPr>
      <w:r w:rsidRPr="007A676F">
        <w:rPr>
          <w:rFonts w:ascii="宋体" w:eastAsia="宋体" w:hAnsi="宋体" w:cs="Times New Roman"/>
          <w:sz w:val="24"/>
          <w:szCs w:val="24"/>
        </w:rPr>
        <w:t>2、</w:t>
      </w:r>
      <w:r w:rsidR="00007006" w:rsidRPr="007A676F">
        <w:rPr>
          <w:rFonts w:ascii="宋体" w:eastAsia="宋体" w:hAnsi="宋体" w:cs="Times New Roman" w:hint="eastAsia"/>
          <w:sz w:val="24"/>
          <w:szCs w:val="24"/>
        </w:rPr>
        <w:t>投资者可以登陆</w:t>
      </w:r>
      <w:r w:rsidR="00C2640E" w:rsidRPr="007A676F">
        <w:rPr>
          <w:rFonts w:ascii="宋体" w:eastAsia="宋体" w:hAnsi="宋体" w:cs="Times New Roman" w:hint="eastAsia"/>
          <w:sz w:val="24"/>
          <w:szCs w:val="24"/>
        </w:rPr>
        <w:t>泰达宏利</w:t>
      </w:r>
      <w:r w:rsidR="00007006" w:rsidRPr="007A676F">
        <w:rPr>
          <w:rFonts w:ascii="宋体" w:eastAsia="宋体" w:hAnsi="宋体" w:cs="Times New Roman" w:hint="eastAsia"/>
          <w:sz w:val="24"/>
          <w:szCs w:val="24"/>
        </w:rPr>
        <w:t>基金管理有限公司网站（</w:t>
      </w:r>
      <w:r w:rsidR="00C2640E" w:rsidRPr="007A676F">
        <w:rPr>
          <w:rFonts w:ascii="宋体" w:eastAsia="宋体" w:hAnsi="宋体" w:cs="Times New Roman" w:hint="eastAsia"/>
          <w:sz w:val="24"/>
          <w:szCs w:val="24"/>
        </w:rPr>
        <w:t>www.mfcteda.com</w:t>
      </w:r>
      <w:r w:rsidR="00007006" w:rsidRPr="007A676F">
        <w:rPr>
          <w:rFonts w:ascii="宋体" w:eastAsia="宋体" w:hAnsi="宋体" w:cs="Times New Roman" w:hint="eastAsia"/>
          <w:sz w:val="24"/>
          <w:szCs w:val="24"/>
        </w:rPr>
        <w:t>）</w:t>
      </w:r>
      <w:r w:rsidR="00522BFE" w:rsidRPr="007A676F">
        <w:rPr>
          <w:rFonts w:ascii="宋体" w:eastAsia="宋体" w:hAnsi="宋体" w:cs="Times New Roman" w:hint="eastAsia"/>
          <w:sz w:val="24"/>
          <w:szCs w:val="24"/>
        </w:rPr>
        <w:t>和中国证监会基金电子披露网站（http://eid.csrc.gov.cn/fund）</w:t>
      </w:r>
      <w:r w:rsidR="00007006" w:rsidRPr="007A676F">
        <w:rPr>
          <w:rFonts w:ascii="宋体" w:eastAsia="宋体" w:hAnsi="宋体" w:cs="Times New Roman" w:hint="eastAsia"/>
          <w:sz w:val="24"/>
          <w:szCs w:val="24"/>
        </w:rPr>
        <w:t>或拨打</w:t>
      </w:r>
      <w:r w:rsidR="00C2640E" w:rsidRPr="007A676F">
        <w:rPr>
          <w:rFonts w:ascii="宋体" w:eastAsia="宋体" w:hAnsi="宋体" w:cs="Times New Roman" w:hint="eastAsia"/>
          <w:sz w:val="24"/>
          <w:szCs w:val="24"/>
        </w:rPr>
        <w:t>泰达宏利</w:t>
      </w:r>
      <w:r w:rsidR="00007006" w:rsidRPr="007A676F">
        <w:rPr>
          <w:rFonts w:ascii="宋体" w:eastAsia="宋体" w:hAnsi="宋体" w:cs="Times New Roman" w:hint="eastAsia"/>
          <w:sz w:val="24"/>
          <w:szCs w:val="24"/>
        </w:rPr>
        <w:t>基金管理有限公司全国统一客户服务号码</w:t>
      </w:r>
      <w:r w:rsidR="00C2640E" w:rsidRPr="007A676F">
        <w:rPr>
          <w:rFonts w:ascii="宋体" w:eastAsia="宋体" w:hAnsi="宋体" w:cs="Times New Roman" w:hint="eastAsia"/>
          <w:sz w:val="24"/>
          <w:szCs w:val="24"/>
        </w:rPr>
        <w:t>400-698-8888</w:t>
      </w:r>
      <w:r w:rsidR="00EE7BFC" w:rsidRPr="007A676F">
        <w:rPr>
          <w:rFonts w:ascii="宋体" w:eastAsia="宋体" w:hAnsi="宋体" w:cs="Times New Roman"/>
          <w:sz w:val="24"/>
          <w:szCs w:val="24"/>
        </w:rPr>
        <w:t>（</w:t>
      </w:r>
      <w:r w:rsidRPr="007A676F">
        <w:rPr>
          <w:rFonts w:ascii="宋体" w:eastAsia="宋体" w:hAnsi="宋体" w:cs="Times New Roman"/>
          <w:sz w:val="24"/>
          <w:szCs w:val="24"/>
        </w:rPr>
        <w:t>免长途话费</w:t>
      </w:r>
      <w:r w:rsidR="00EE7BFC" w:rsidRPr="007A676F">
        <w:rPr>
          <w:rFonts w:ascii="宋体" w:eastAsia="宋体" w:hAnsi="宋体" w:cs="Times New Roman"/>
          <w:sz w:val="24"/>
          <w:szCs w:val="24"/>
        </w:rPr>
        <w:t>）</w:t>
      </w:r>
      <w:r w:rsidR="00007006" w:rsidRPr="007A676F">
        <w:rPr>
          <w:rFonts w:ascii="宋体" w:eastAsia="宋体" w:hAnsi="宋体" w:cs="Times New Roman" w:hint="eastAsia"/>
          <w:sz w:val="24"/>
          <w:szCs w:val="24"/>
        </w:rPr>
        <w:t>咨询相关情况。</w:t>
      </w:r>
    </w:p>
    <w:p w:rsidR="00553082" w:rsidRPr="007A676F" w:rsidRDefault="00007006" w:rsidP="0078424C">
      <w:pPr>
        <w:tabs>
          <w:tab w:val="left" w:pos="6090"/>
        </w:tabs>
        <w:spacing w:line="360" w:lineRule="auto"/>
        <w:ind w:firstLineChars="200" w:firstLine="480"/>
        <w:rPr>
          <w:rFonts w:ascii="宋体" w:eastAsia="宋体" w:hAnsi="宋体" w:cs="Times New Roman"/>
          <w:sz w:val="24"/>
          <w:szCs w:val="24"/>
        </w:rPr>
      </w:pPr>
      <w:r w:rsidRPr="007A676F">
        <w:rPr>
          <w:rFonts w:ascii="宋体" w:eastAsia="宋体" w:hAnsi="宋体" w:cs="Times New Roman" w:hint="eastAsia"/>
          <w:sz w:val="24"/>
          <w:szCs w:val="24"/>
        </w:rPr>
        <w:t>特此公告。</w:t>
      </w:r>
      <w:r w:rsidR="00810C92" w:rsidRPr="007A676F">
        <w:rPr>
          <w:rFonts w:ascii="宋体" w:eastAsia="宋体" w:hAnsi="宋体" w:cs="Times New Roman"/>
          <w:sz w:val="24"/>
          <w:szCs w:val="24"/>
        </w:rPr>
        <w:tab/>
      </w:r>
    </w:p>
    <w:p w:rsidR="0078424C" w:rsidRPr="007A676F" w:rsidRDefault="0078424C" w:rsidP="0078424C">
      <w:pPr>
        <w:widowControl/>
        <w:shd w:val="clear" w:color="auto" w:fill="FFFFFF"/>
        <w:spacing w:line="360" w:lineRule="auto"/>
        <w:ind w:firstLine="360"/>
        <w:jc w:val="right"/>
        <w:textAlignment w:val="baseline"/>
        <w:rPr>
          <w:rFonts w:ascii="宋体" w:eastAsia="宋体" w:hAnsi="宋体" w:cs="Times New Roman"/>
          <w:sz w:val="24"/>
          <w:szCs w:val="24"/>
        </w:rPr>
      </w:pPr>
    </w:p>
    <w:p w:rsidR="00553082" w:rsidRPr="007A676F" w:rsidRDefault="00C2640E" w:rsidP="0078424C">
      <w:pPr>
        <w:widowControl/>
        <w:shd w:val="clear" w:color="auto" w:fill="FFFFFF"/>
        <w:spacing w:line="360" w:lineRule="auto"/>
        <w:ind w:firstLine="360"/>
        <w:jc w:val="right"/>
        <w:textAlignment w:val="baseline"/>
        <w:rPr>
          <w:rFonts w:ascii="宋体" w:eastAsia="宋体" w:hAnsi="宋体" w:cs="Times New Roman"/>
          <w:sz w:val="24"/>
          <w:szCs w:val="24"/>
        </w:rPr>
      </w:pPr>
      <w:r w:rsidRPr="007A676F">
        <w:rPr>
          <w:rFonts w:ascii="宋体" w:eastAsia="宋体" w:hAnsi="宋体" w:cs="Times New Roman" w:hint="eastAsia"/>
          <w:sz w:val="24"/>
          <w:szCs w:val="24"/>
        </w:rPr>
        <w:t>泰达宏利</w:t>
      </w:r>
      <w:r w:rsidR="00007006" w:rsidRPr="007A676F">
        <w:rPr>
          <w:rFonts w:ascii="宋体" w:eastAsia="宋体" w:hAnsi="宋体" w:cs="Times New Roman" w:hint="eastAsia"/>
          <w:sz w:val="24"/>
          <w:szCs w:val="24"/>
        </w:rPr>
        <w:t>基金管理有限公司</w:t>
      </w:r>
    </w:p>
    <w:p w:rsidR="00553082" w:rsidRPr="004F799E" w:rsidRDefault="002864E5" w:rsidP="0078424C">
      <w:pPr>
        <w:widowControl/>
        <w:shd w:val="clear" w:color="auto" w:fill="FFFFFF"/>
        <w:wordWrap w:val="0"/>
        <w:spacing w:line="360" w:lineRule="auto"/>
        <w:ind w:firstLine="360"/>
        <w:jc w:val="right"/>
        <w:textAlignment w:val="baseline"/>
        <w:rPr>
          <w:rFonts w:ascii="Times New Roman" w:eastAsia="宋体" w:hAnsi="Times New Roman" w:cs="Times New Roman"/>
          <w:sz w:val="24"/>
          <w:szCs w:val="24"/>
        </w:rPr>
      </w:pPr>
      <w:r w:rsidRPr="004F799E">
        <w:rPr>
          <w:rFonts w:ascii="Times New Roman" w:eastAsia="宋体" w:hAnsi="Times New Roman" w:cs="Times New Roman" w:hint="eastAsia"/>
          <w:sz w:val="24"/>
          <w:szCs w:val="24"/>
        </w:rPr>
        <w:t>20</w:t>
      </w:r>
      <w:r w:rsidR="00E84F98" w:rsidRPr="004F799E">
        <w:rPr>
          <w:rFonts w:ascii="Times New Roman" w:eastAsia="宋体" w:hAnsi="Times New Roman" w:cs="Times New Roman"/>
          <w:sz w:val="24"/>
          <w:szCs w:val="24"/>
        </w:rPr>
        <w:t>2</w:t>
      </w:r>
      <w:r w:rsidR="005033C0">
        <w:rPr>
          <w:rFonts w:ascii="Times New Roman" w:eastAsia="宋体" w:hAnsi="Times New Roman" w:cs="Times New Roman"/>
          <w:sz w:val="24"/>
          <w:szCs w:val="24"/>
        </w:rPr>
        <w:t>2</w:t>
      </w:r>
      <w:r w:rsidRPr="004F799E">
        <w:rPr>
          <w:rFonts w:ascii="Times New Roman" w:eastAsia="宋体" w:hAnsi="Times New Roman" w:cs="Times New Roman" w:hint="eastAsia"/>
          <w:sz w:val="24"/>
          <w:szCs w:val="24"/>
        </w:rPr>
        <w:t>年</w:t>
      </w:r>
      <w:r w:rsidR="00C300B0">
        <w:rPr>
          <w:rFonts w:ascii="Times New Roman" w:eastAsia="宋体" w:hAnsi="Times New Roman" w:cs="Times New Roman"/>
          <w:sz w:val="24"/>
          <w:szCs w:val="24"/>
        </w:rPr>
        <w:t>10</w:t>
      </w:r>
      <w:r w:rsidR="00B2367D" w:rsidRPr="004F799E">
        <w:rPr>
          <w:rFonts w:ascii="Times New Roman" w:eastAsia="宋体" w:hAnsi="Times New Roman" w:cs="Times New Roman" w:hint="eastAsia"/>
          <w:sz w:val="24"/>
          <w:szCs w:val="24"/>
        </w:rPr>
        <w:t>月</w:t>
      </w:r>
      <w:r w:rsidR="00C300B0">
        <w:rPr>
          <w:rFonts w:ascii="Times New Roman" w:eastAsia="宋体" w:hAnsi="Times New Roman" w:cs="Times New Roman"/>
          <w:sz w:val="24"/>
          <w:szCs w:val="24"/>
        </w:rPr>
        <w:t>2</w:t>
      </w:r>
      <w:r w:rsidR="005033C0">
        <w:rPr>
          <w:rFonts w:ascii="Times New Roman" w:eastAsia="宋体" w:hAnsi="Times New Roman" w:cs="Times New Roman"/>
          <w:sz w:val="24"/>
          <w:szCs w:val="24"/>
        </w:rPr>
        <w:t>1</w:t>
      </w:r>
      <w:r w:rsidR="00B2367D" w:rsidRPr="004F799E">
        <w:rPr>
          <w:rFonts w:ascii="Times New Roman" w:eastAsia="宋体" w:hAnsi="Times New Roman" w:cs="Times New Roman" w:hint="eastAsia"/>
          <w:sz w:val="24"/>
          <w:szCs w:val="24"/>
        </w:rPr>
        <w:t>日</w:t>
      </w:r>
    </w:p>
    <w:sectPr w:rsidR="00553082" w:rsidRPr="004F799E"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2EF" w:rsidRDefault="008742EF" w:rsidP="004A00AA">
      <w:r>
        <w:separator/>
      </w:r>
    </w:p>
  </w:endnote>
  <w:endnote w:type="continuationSeparator" w:id="0">
    <w:p w:rsidR="008742EF" w:rsidRDefault="008742EF"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2EF" w:rsidRDefault="008742EF" w:rsidP="004A00AA">
      <w:r>
        <w:separator/>
      </w:r>
    </w:p>
  </w:footnote>
  <w:footnote w:type="continuationSeparator" w:id="0">
    <w:p w:rsidR="008742EF" w:rsidRDefault="008742EF"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4CB"/>
    <w:rsid w:val="00007006"/>
    <w:rsid w:val="00007C41"/>
    <w:rsid w:val="00017329"/>
    <w:rsid w:val="000264C6"/>
    <w:rsid w:val="000327D4"/>
    <w:rsid w:val="000351AA"/>
    <w:rsid w:val="000405B9"/>
    <w:rsid w:val="00052D4B"/>
    <w:rsid w:val="0008467B"/>
    <w:rsid w:val="00093F8C"/>
    <w:rsid w:val="000B11CF"/>
    <w:rsid w:val="000C603B"/>
    <w:rsid w:val="000E3430"/>
    <w:rsid w:val="000E5CA7"/>
    <w:rsid w:val="000F6AA5"/>
    <w:rsid w:val="001034D6"/>
    <w:rsid w:val="00114F33"/>
    <w:rsid w:val="00120A8C"/>
    <w:rsid w:val="0013027E"/>
    <w:rsid w:val="00146396"/>
    <w:rsid w:val="001558B2"/>
    <w:rsid w:val="00166226"/>
    <w:rsid w:val="001A595C"/>
    <w:rsid w:val="001E6E79"/>
    <w:rsid w:val="001F1600"/>
    <w:rsid w:val="001F6968"/>
    <w:rsid w:val="0020088D"/>
    <w:rsid w:val="002107E3"/>
    <w:rsid w:val="00212EF1"/>
    <w:rsid w:val="00232088"/>
    <w:rsid w:val="00252112"/>
    <w:rsid w:val="002536FF"/>
    <w:rsid w:val="002809F9"/>
    <w:rsid w:val="0028393F"/>
    <w:rsid w:val="002864E5"/>
    <w:rsid w:val="002908E7"/>
    <w:rsid w:val="00290CDF"/>
    <w:rsid w:val="002C24CF"/>
    <w:rsid w:val="002D3105"/>
    <w:rsid w:val="002D7E5A"/>
    <w:rsid w:val="00300005"/>
    <w:rsid w:val="00335779"/>
    <w:rsid w:val="00351DE7"/>
    <w:rsid w:val="00355017"/>
    <w:rsid w:val="003562D7"/>
    <w:rsid w:val="00373AB1"/>
    <w:rsid w:val="00376F37"/>
    <w:rsid w:val="00377BF4"/>
    <w:rsid w:val="0038790D"/>
    <w:rsid w:val="003B7193"/>
    <w:rsid w:val="003F1A3E"/>
    <w:rsid w:val="004035E1"/>
    <w:rsid w:val="004168B2"/>
    <w:rsid w:val="00417DBC"/>
    <w:rsid w:val="00442E01"/>
    <w:rsid w:val="004704BA"/>
    <w:rsid w:val="00474043"/>
    <w:rsid w:val="00492652"/>
    <w:rsid w:val="004953F3"/>
    <w:rsid w:val="00495416"/>
    <w:rsid w:val="00496F8D"/>
    <w:rsid w:val="004A00AA"/>
    <w:rsid w:val="004A2805"/>
    <w:rsid w:val="004B26C1"/>
    <w:rsid w:val="004D7EB2"/>
    <w:rsid w:val="004F2588"/>
    <w:rsid w:val="004F3378"/>
    <w:rsid w:val="004F799E"/>
    <w:rsid w:val="005033C0"/>
    <w:rsid w:val="00517D1F"/>
    <w:rsid w:val="00522BFE"/>
    <w:rsid w:val="00522C17"/>
    <w:rsid w:val="00530944"/>
    <w:rsid w:val="00533071"/>
    <w:rsid w:val="0053757C"/>
    <w:rsid w:val="00543A2A"/>
    <w:rsid w:val="005445F6"/>
    <w:rsid w:val="00553082"/>
    <w:rsid w:val="0055342E"/>
    <w:rsid w:val="005714A9"/>
    <w:rsid w:val="00572D1D"/>
    <w:rsid w:val="00585696"/>
    <w:rsid w:val="00585953"/>
    <w:rsid w:val="005B6B2B"/>
    <w:rsid w:val="005E1531"/>
    <w:rsid w:val="006133EA"/>
    <w:rsid w:val="00615BE5"/>
    <w:rsid w:val="00630EBB"/>
    <w:rsid w:val="00643C31"/>
    <w:rsid w:val="00693718"/>
    <w:rsid w:val="006C01C3"/>
    <w:rsid w:val="006D0775"/>
    <w:rsid w:val="006D72C3"/>
    <w:rsid w:val="006F5B0D"/>
    <w:rsid w:val="007045FE"/>
    <w:rsid w:val="007046E6"/>
    <w:rsid w:val="007242CF"/>
    <w:rsid w:val="00741196"/>
    <w:rsid w:val="0074529B"/>
    <w:rsid w:val="00756295"/>
    <w:rsid w:val="0077702A"/>
    <w:rsid w:val="0078424C"/>
    <w:rsid w:val="0078439C"/>
    <w:rsid w:val="0079078F"/>
    <w:rsid w:val="007A676F"/>
    <w:rsid w:val="007D2B50"/>
    <w:rsid w:val="007D2FD8"/>
    <w:rsid w:val="007D395B"/>
    <w:rsid w:val="00810AA6"/>
    <w:rsid w:val="00810C92"/>
    <w:rsid w:val="00836F39"/>
    <w:rsid w:val="0083749E"/>
    <w:rsid w:val="0085623D"/>
    <w:rsid w:val="008742EF"/>
    <w:rsid w:val="00885926"/>
    <w:rsid w:val="008A29E0"/>
    <w:rsid w:val="008B45AC"/>
    <w:rsid w:val="008B49C7"/>
    <w:rsid w:val="008C265E"/>
    <w:rsid w:val="008D2A07"/>
    <w:rsid w:val="008D604D"/>
    <w:rsid w:val="009146EE"/>
    <w:rsid w:val="009341A1"/>
    <w:rsid w:val="00937FFB"/>
    <w:rsid w:val="009632AA"/>
    <w:rsid w:val="00970D61"/>
    <w:rsid w:val="00981A0F"/>
    <w:rsid w:val="00990CBC"/>
    <w:rsid w:val="00997943"/>
    <w:rsid w:val="009A6F76"/>
    <w:rsid w:val="009B7F05"/>
    <w:rsid w:val="009C5515"/>
    <w:rsid w:val="009C7A9F"/>
    <w:rsid w:val="009D052C"/>
    <w:rsid w:val="009D2714"/>
    <w:rsid w:val="009D3FC1"/>
    <w:rsid w:val="009E7725"/>
    <w:rsid w:val="009F203C"/>
    <w:rsid w:val="009F74CB"/>
    <w:rsid w:val="00A07747"/>
    <w:rsid w:val="00A3193B"/>
    <w:rsid w:val="00A45946"/>
    <w:rsid w:val="00A47109"/>
    <w:rsid w:val="00A47340"/>
    <w:rsid w:val="00A711A1"/>
    <w:rsid w:val="00AA484A"/>
    <w:rsid w:val="00AA77A5"/>
    <w:rsid w:val="00AD1A3E"/>
    <w:rsid w:val="00AD5EB1"/>
    <w:rsid w:val="00AE1ECF"/>
    <w:rsid w:val="00B104F1"/>
    <w:rsid w:val="00B2367D"/>
    <w:rsid w:val="00B45FD9"/>
    <w:rsid w:val="00B51957"/>
    <w:rsid w:val="00B7142E"/>
    <w:rsid w:val="00B72C5E"/>
    <w:rsid w:val="00B839B1"/>
    <w:rsid w:val="00B9102C"/>
    <w:rsid w:val="00B95478"/>
    <w:rsid w:val="00BA50D1"/>
    <w:rsid w:val="00BB36EF"/>
    <w:rsid w:val="00BC5CA5"/>
    <w:rsid w:val="00BC69D7"/>
    <w:rsid w:val="00BF475F"/>
    <w:rsid w:val="00C01B57"/>
    <w:rsid w:val="00C2640E"/>
    <w:rsid w:val="00C300B0"/>
    <w:rsid w:val="00C5134E"/>
    <w:rsid w:val="00C53284"/>
    <w:rsid w:val="00C60825"/>
    <w:rsid w:val="00C71D7B"/>
    <w:rsid w:val="00C7340B"/>
    <w:rsid w:val="00C765D2"/>
    <w:rsid w:val="00C82558"/>
    <w:rsid w:val="00C86924"/>
    <w:rsid w:val="00C93AD2"/>
    <w:rsid w:val="00CA3939"/>
    <w:rsid w:val="00CC2441"/>
    <w:rsid w:val="00CC6456"/>
    <w:rsid w:val="00CD2C6C"/>
    <w:rsid w:val="00CE0925"/>
    <w:rsid w:val="00CF49D5"/>
    <w:rsid w:val="00CF5DCE"/>
    <w:rsid w:val="00D05044"/>
    <w:rsid w:val="00D0682C"/>
    <w:rsid w:val="00D13969"/>
    <w:rsid w:val="00D2273B"/>
    <w:rsid w:val="00D2752A"/>
    <w:rsid w:val="00D90079"/>
    <w:rsid w:val="00D9266B"/>
    <w:rsid w:val="00D96DE1"/>
    <w:rsid w:val="00DB6D1C"/>
    <w:rsid w:val="00DC70F8"/>
    <w:rsid w:val="00DE15BC"/>
    <w:rsid w:val="00DE4DB0"/>
    <w:rsid w:val="00E07518"/>
    <w:rsid w:val="00E10F34"/>
    <w:rsid w:val="00E316EA"/>
    <w:rsid w:val="00E46E9A"/>
    <w:rsid w:val="00E56CBA"/>
    <w:rsid w:val="00E64A46"/>
    <w:rsid w:val="00E84F98"/>
    <w:rsid w:val="00E879CB"/>
    <w:rsid w:val="00E91617"/>
    <w:rsid w:val="00EA1505"/>
    <w:rsid w:val="00EA3D07"/>
    <w:rsid w:val="00EC086C"/>
    <w:rsid w:val="00ED60BD"/>
    <w:rsid w:val="00EE7BFC"/>
    <w:rsid w:val="00F01113"/>
    <w:rsid w:val="00F05EC9"/>
    <w:rsid w:val="00F07DC0"/>
    <w:rsid w:val="00F13A45"/>
    <w:rsid w:val="00F30B85"/>
    <w:rsid w:val="00F60AE0"/>
    <w:rsid w:val="00F755DC"/>
    <w:rsid w:val="00F874EC"/>
    <w:rsid w:val="00FC429D"/>
    <w:rsid w:val="00FD1BED"/>
    <w:rsid w:val="00FE6A9F"/>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810908365">
      <w:bodyDiv w:val="1"/>
      <w:marLeft w:val="0"/>
      <w:marRight w:val="0"/>
      <w:marTop w:val="0"/>
      <w:marBottom w:val="0"/>
      <w:divBdr>
        <w:top w:val="none" w:sz="0" w:space="0" w:color="auto"/>
        <w:left w:val="none" w:sz="0" w:space="0" w:color="auto"/>
        <w:bottom w:val="none" w:sz="0" w:space="0" w:color="auto"/>
        <w:right w:val="none" w:sz="0" w:space="0" w:color="auto"/>
      </w:divBdr>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1877</Characters>
  <Application>Microsoft Office Word</Application>
  <DocSecurity>4</DocSecurity>
  <Lines>15</Lines>
  <Paragraphs>4</Paragraphs>
  <ScaleCrop>false</ScaleCrop>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2022-10-20T16:02:00Z</dcterms:created>
  <dcterms:modified xsi:type="dcterms:W3CDTF">2022-10-20T16:02:00Z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