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891F5D">
        <w:rPr>
          <w:rFonts w:ascii="仿宋" w:eastAsia="仿宋" w:hAnsi="仿宋" w:hint="eastAsia"/>
          <w:b/>
          <w:sz w:val="32"/>
          <w:szCs w:val="32"/>
        </w:rPr>
        <w:t>42</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年第</w:t>
      </w:r>
      <w:r w:rsidR="00891F5D">
        <w:rPr>
          <w:rFonts w:ascii="仿宋" w:eastAsia="仿宋" w:hAnsi="仿宋" w:hint="eastAsia"/>
          <w:b/>
          <w:sz w:val="32"/>
          <w:szCs w:val="32"/>
        </w:rPr>
        <w:t>四</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891F5D">
        <w:rPr>
          <w:rFonts w:ascii="仿宋" w:eastAsia="仿宋" w:hAnsi="仿宋" w:hint="eastAsia"/>
          <w:color w:val="000000" w:themeColor="text1"/>
          <w:sz w:val="32"/>
          <w:szCs w:val="32"/>
        </w:rPr>
        <w:t>42</w:t>
      </w:r>
      <w:r>
        <w:rPr>
          <w:rFonts w:ascii="仿宋" w:eastAsia="仿宋" w:hAnsi="仿宋" w:hint="eastAsia"/>
          <w:color w:val="000000" w:themeColor="text1"/>
          <w:sz w:val="32"/>
          <w:szCs w:val="32"/>
        </w:rPr>
        <w:t>只基金</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891F5D">
        <w:rPr>
          <w:rFonts w:ascii="仿宋" w:eastAsia="仿宋" w:hAnsi="仿宋" w:hint="eastAsia"/>
          <w:color w:val="000000" w:themeColor="text1"/>
          <w:sz w:val="32"/>
          <w:szCs w:val="32"/>
        </w:rPr>
        <w:t>四</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w:t>
      </w:r>
      <w:r w:rsidR="00891F5D">
        <w:rPr>
          <w:rFonts w:ascii="仿宋" w:eastAsia="仿宋" w:hAnsi="仿宋" w:hint="eastAsia"/>
          <w:color w:val="000000" w:themeColor="text1"/>
          <w:sz w:val="32"/>
          <w:szCs w:val="32"/>
        </w:rPr>
        <w:t>42</w:t>
      </w:r>
      <w:r>
        <w:rPr>
          <w:rFonts w:ascii="仿宋" w:eastAsia="仿宋" w:hAnsi="仿宋" w:hint="eastAsia"/>
          <w:color w:val="000000" w:themeColor="text1"/>
          <w:sz w:val="32"/>
          <w:szCs w:val="32"/>
        </w:rPr>
        <w:t>只基金的</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891F5D">
        <w:rPr>
          <w:rFonts w:ascii="仿宋" w:eastAsia="仿宋" w:hAnsi="仿宋" w:hint="eastAsia"/>
          <w:color w:val="000000" w:themeColor="text1"/>
          <w:sz w:val="32"/>
          <w:szCs w:val="32"/>
        </w:rPr>
        <w:t>四</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FC046F">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891F5D">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600655" w:rsidTr="00600655">
        <w:trPr>
          <w:trHeight w:val="288"/>
        </w:trPr>
        <w:tc>
          <w:tcPr>
            <w:tcW w:w="1008" w:type="dxa"/>
            <w:tcBorders>
              <w:top w:val="single" w:sz="4" w:space="0" w:color="auto"/>
              <w:left w:val="single" w:sz="4" w:space="0" w:color="auto"/>
              <w:bottom w:val="single" w:sz="4" w:space="0" w:color="auto"/>
              <w:right w:val="single" w:sz="4" w:space="0" w:color="auto"/>
            </w:tcBorders>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基金名称</w:t>
            </w:r>
          </w:p>
        </w:tc>
      </w:tr>
      <w:tr w:rsidR="005705CB" w:rsidTr="007409E8">
        <w:trPr>
          <w:trHeight w:val="288"/>
        </w:trPr>
        <w:tc>
          <w:tcPr>
            <w:tcW w:w="1008" w:type="dxa"/>
            <w:tcBorders>
              <w:top w:val="single" w:sz="4" w:space="0" w:color="auto"/>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建信MSCI中国A股国际通交易型开放式指数证券投资基金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建信MSCI中国A股国际通交易型开放式指数证券投资基金发起式联接基金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建信MSCI中国A股指数增强型证券投资基金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建信安心回报6个月定期开放债券型证券投资基金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建信安心回报定期开放债券型证券投资基金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建信创新驱动混合型证券投资基金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建信创新中国混合型证券投资基金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建信创业板交易型开放式指数证券投资基金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建信创业板交易型开放式指数证券投资基金发起式联接基金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lastRenderedPageBreak/>
              <w:t>11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建信大安全战略精选股票型证券投资基金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建信短债债券型证券投资基金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建信多因子量化股票型证券投资基金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建信丰裕多策略灵活配置混合型证券投资基金(LOF)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建信福泽安泰混合型基金中基金(FOF)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建信福泽裕泰混合型基金中基金(FOF)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建信富时100指数型证券投资基金(QDII)</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建信改革红利股票型证券投资基金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建信港股通恒生中国企业交易型开放式指数证券投资基金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建信港股通精选混合型证券投资基金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建信高端医疗股票型证券投资基金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建信高端装备股票型证券投资基金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23</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建信高股息主题股票型证券投资基金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建信核心精选混合型证券投资基金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建信恒安一年定期开放债券型证券投资基金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建信恒久价值混合型证券投资基金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建信恒瑞一年定期开放债券型证券投资基金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建信恒稳价值混合型证券投资基金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建信恒远一年定期开放债券型证券投资基金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建信弘利灵活配置混合型证券投资基金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建信泓利一年持有期债券型证券投资基金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32</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建信互联网+产业升级股票型证券投资基金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lastRenderedPageBreak/>
              <w:t>33</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建信沪深300红利交易型开放式指数证券投资基金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建信沪深300红利交易型开放式指数证券投资基金发起式联接基金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建信沪深300指数增强型证券投资基金(LOF)</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建信沪深300指数证券投资基金(LOF)</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建信环保产业股票型证券投资基金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建信汇利灵活配置混合型证券投资基金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建信积极配置混合型证券投资基金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建信嘉薪宝货币市场基金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建信健康民生混合型证券投资基金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建信精工制造指数增强型证券投资基金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建信科技创新3年封闭运作灵活配置混合型证券投资基金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建信科技创新混合型证券投资基金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建信利率债策略纯债债券型证券投资基金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建信利率债债券型证券投资基金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建信量化事件驱动股票型证券投资基金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建信量化优享定期开放灵活配置混合型证券投资基金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建信龙头企业股票型证券投资基金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建信民丰回报定期开放混合型证券投资基金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建信纳斯达克100指数型证券投资基金(QDII)</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建信内生动力混合型证券投资基金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建信普泽养老目标日期2040三年持有期混合型发起式基金中基金(FOF)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建信潜力新蓝筹股票型证券投资基金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建信荣禧一年定期开放债券型证券投资基金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建信荣元一年定期开放债券型发起式证券投资基金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建信睿丰纯债定期开放债券型发起式证券投资基金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建信睿富纯债债券型证券投资基金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建信睿和纯债定期开放债券型发起式证券投资基金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建信睿享纯债债券型证券投资基金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建信睿信三个月定期开放债券型发起式证券投资基金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建信睿兴纯债债券型证券投资基金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建信睿阳一年定期开放债券型发起式证券投资基金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建信睿怡纯债债券型证券投资基金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67</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建信睿盈灵活配置混合型证券投资基金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68</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建信润利增强债券型证券投资基金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69</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建信上海金交易型开放式证券投资基金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70</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建信上海金交易型开放式证券投资基金联接基金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71</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建信上证50交易型开放式指数证券投资基金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72</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建信上证50交易型开放式指数证券投资基金发起式联接基金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建信上证社会责任交易型开放式指数证券投资基金联接基金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建信社会责任混合型证券投资基金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建信深证100指数增强型证券投资基金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建信深证基本面60交易型开放式指数证券投资基金联接基金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建信食品饮料行业股票型证券投资基金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建信收益增强债券型证券投资基金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建信双息红利债券型证券投资基金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80</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建信双债增强债券型证券投资基金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建信天添益货币市场基金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建信稳定得利债券型证券投资基金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建信稳定鑫利债券型证券投资基金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建信稳定增利债券型证券投资基金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建信现代服务业股票型证券投资基金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建信现金添利货币市场基金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建信现金添益交易型货币市场基金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建信现金增利货币市场基金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建信消费升级混合型证券投资基金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建信新经济灵活配置混合型证券投资基金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建信新能源行业股票型证券投资基金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建信新兴市场优选混合型证券投资基金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建信鑫安回报灵活配置混合型证券投资基金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建信鑫利回报灵活配置混合型证券投资基金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建信鑫荣回报灵活配置混合型证券投资基金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建信鑫瑞回报灵活配置混合型证券投资基金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建信鑫稳回报灵活配置混合型证券投资基金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建信鑫悦90天滚动持有中短债债券型发起式证券投资基金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建信鑫泽回报灵活配置混合型证券投资基金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101</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建信信息产业股票型证券投资基金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建信信用增强债券型证券投资基金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建信兴利灵活配置混合型证券投资基金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建信兴润一年持有期混合型证券投资基金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建信央视财经50指数证券投资基金(LOF)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建信易盛郑商所能源化工期货交易型开放式指数证券投资基金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建信易盛郑商所能源化工期货交易型开放式指数证券投资基金发起式联接基金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建信优化配置混合型证券投资基金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建信优势动力混合型证券投资基金(LOF)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建信优享稳健养老目标一年持有期混合型基金中基金(FOF)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建信优选成长混合型证券投资基金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建信裕丰利率债三个月定期开放债券型证券投资基金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建信裕利灵活配置混合型证券投资基金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建信战略精选灵活配置混合型证券投资基金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115</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建信臻选混合型证券投资基金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建信智汇优选一年持有期混合型管理人中管理人(MOM)证券投资基金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建信智能汽车股票型证券投资基金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建信智能生活混合型证券投资基金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建信中短债纯债债券型证券投资基金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建信中国制造2025股票型证券投资基金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建信中小盘先锋股票型证券投资基金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建信中债1-3年国开行债券指数证券投资基金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建信中债1-3年农发行债券指数证券投资基金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建信中债3-5年国开行债券指数证券投资基金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125</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建信中债5-10年国开行债券指数证券投资基金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126</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建信中债湖北省地方政府债指数发起式证券投资基金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127</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建信中证1000指数增强型发起式证券投资基金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128</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FD42AE">
            <w:pPr>
              <w:widowControl/>
              <w:jc w:val="left"/>
              <w:rPr>
                <w:rFonts w:ascii="仿宋" w:eastAsia="仿宋" w:hAnsi="仿宋"/>
                <w:sz w:val="22"/>
              </w:rPr>
            </w:pPr>
            <w:r w:rsidRPr="005705CB">
              <w:rPr>
                <w:rFonts w:ascii="仿宋" w:eastAsia="仿宋" w:hAnsi="仿宋" w:hint="eastAsia"/>
                <w:color w:val="000000"/>
                <w:sz w:val="22"/>
              </w:rPr>
              <w:t>建信中证500指数增强型证券投资基金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FD42AE">
            <w:pPr>
              <w:widowControl/>
              <w:jc w:val="left"/>
              <w:rPr>
                <w:rFonts w:ascii="仿宋" w:eastAsia="仿宋" w:hAnsi="仿宋"/>
                <w:sz w:val="22"/>
              </w:rPr>
            </w:pPr>
            <w:r w:rsidRPr="005705CB">
              <w:rPr>
                <w:rFonts w:ascii="仿宋" w:eastAsia="仿宋" w:hAnsi="仿宋" w:hint="eastAsia"/>
                <w:color w:val="000000"/>
                <w:sz w:val="22"/>
              </w:rPr>
              <w:t>建信中证创新药产业交易型开放式指数证券投资基金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130</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建信中证红利潜力指数证券投资基金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131</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建信中证沪港深粤港澳大湾区发展主题交易型开放式指数证券投资基金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132</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建信中证全指医疗保健设备与服务交易型开放式指数证券投资基金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133</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建信中证全指证券公司交易型开放式指数证券投资基金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134</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建信中证全指证券公司交易型开放式指数证券投资基金发起式联接基金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135</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建信中证物联网主题交易型开放式指数证券投资基金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136</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建信中证细分有色金属产业主题交易型开放式指数证券投资基金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137</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建信中证新材料主题交易型开放式指数证券投资基金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138</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建信中证智能电动</w:t>
            </w:r>
            <w:bookmarkStart w:id="1" w:name="_GoBack"/>
            <w:bookmarkEnd w:id="1"/>
            <w:r w:rsidRPr="005705CB">
              <w:rPr>
                <w:rFonts w:ascii="仿宋" w:eastAsia="仿宋" w:hAnsi="仿宋" w:hint="eastAsia"/>
                <w:color w:val="000000"/>
                <w:sz w:val="22"/>
              </w:rPr>
              <w:t>汽车交易型开放式指数证券投资基金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139</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建信周盈安心理财债券型证券投资基金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140</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建信转债增强债券型证券投资基金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141</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上证社会责任交易型开放式指数证券投资基金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142</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7A2227">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891F5D">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日</w:t>
      </w:r>
    </w:p>
    <w:p w:rsidR="00600655" w:rsidRDefault="00600655" w:rsidP="00600655"/>
    <w:p w:rsidR="00942254" w:rsidRDefault="00942254"/>
    <w:sectPr w:rsidR="00942254" w:rsidSect="002C0D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60" w:rsidRDefault="00300960" w:rsidP="006A2311">
      <w:r>
        <w:separator/>
      </w:r>
    </w:p>
  </w:endnote>
  <w:endnote w:type="continuationSeparator" w:id="0">
    <w:p w:rsidR="00300960" w:rsidRDefault="00300960"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60" w:rsidRDefault="00300960" w:rsidP="006A2311">
      <w:r>
        <w:separator/>
      </w:r>
    </w:p>
  </w:footnote>
  <w:footnote w:type="continuationSeparator" w:id="0">
    <w:p w:rsidR="00300960" w:rsidRDefault="00300960"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46993"/>
    <w:rsid w:val="0005215C"/>
    <w:rsid w:val="00097BAB"/>
    <w:rsid w:val="000E6BFF"/>
    <w:rsid w:val="002859A8"/>
    <w:rsid w:val="002868F2"/>
    <w:rsid w:val="0028766A"/>
    <w:rsid w:val="002C0D00"/>
    <w:rsid w:val="002C77B3"/>
    <w:rsid w:val="00300960"/>
    <w:rsid w:val="00324D7C"/>
    <w:rsid w:val="00342A0E"/>
    <w:rsid w:val="0039212A"/>
    <w:rsid w:val="005705CB"/>
    <w:rsid w:val="005A2501"/>
    <w:rsid w:val="00600655"/>
    <w:rsid w:val="00672FA7"/>
    <w:rsid w:val="006A2311"/>
    <w:rsid w:val="0078702E"/>
    <w:rsid w:val="007A2227"/>
    <w:rsid w:val="00880D39"/>
    <w:rsid w:val="00891F5D"/>
    <w:rsid w:val="008C2C8A"/>
    <w:rsid w:val="00940C49"/>
    <w:rsid w:val="00942254"/>
    <w:rsid w:val="009704B2"/>
    <w:rsid w:val="009F5F3D"/>
    <w:rsid w:val="00A6420F"/>
    <w:rsid w:val="00B258DA"/>
    <w:rsid w:val="00BC431E"/>
    <w:rsid w:val="00CF0ABF"/>
    <w:rsid w:val="00D457F6"/>
    <w:rsid w:val="00E63EEE"/>
    <w:rsid w:val="00F15D36"/>
    <w:rsid w:val="00F42577"/>
    <w:rsid w:val="00F75274"/>
    <w:rsid w:val="00FC046F"/>
    <w:rsid w:val="00FD4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Office Word</Application>
  <DocSecurity>4</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2022-01-20T16:04:00Z</dcterms:created>
  <dcterms:modified xsi:type="dcterms:W3CDTF">2022-01-20T16:04:00Z</dcterms:modified>
</cp:coreProperties>
</file>