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A7" w:rsidRDefault="001D3D0E">
      <w:pPr>
        <w:pStyle w:val="a7"/>
        <w:spacing w:line="360" w:lineRule="auto"/>
        <w:rPr>
          <w:rFonts w:ascii="宋体" w:hAnsi="宋体"/>
          <w:szCs w:val="21"/>
        </w:rPr>
      </w:pPr>
      <w:r>
        <w:rPr>
          <w:rFonts w:ascii="宋体" w:hAnsi="宋体" w:hint="eastAsia"/>
          <w:szCs w:val="21"/>
        </w:rPr>
        <w:t>中银国际证券股份有限公司关于增加宁波银行（易管家平台）为旗下基金销售机构并开通定期定额投资业务、基金转换业务及进行费率优惠的公告</w:t>
      </w:r>
    </w:p>
    <w:p w:rsidR="006617A7" w:rsidRDefault="001D3D0E">
      <w:pPr>
        <w:spacing w:line="360" w:lineRule="auto"/>
        <w:rPr>
          <w:rFonts w:ascii="宋体" w:hAnsi="宋体"/>
          <w:sz w:val="22"/>
          <w:szCs w:val="21"/>
        </w:rPr>
      </w:pPr>
      <w:r>
        <w:rPr>
          <w:rFonts w:ascii="宋体" w:hAnsi="宋体" w:hint="eastAsia"/>
          <w:sz w:val="22"/>
          <w:szCs w:val="21"/>
        </w:rPr>
        <w:t xml:space="preserve">    </w:t>
      </w:r>
      <w:r>
        <w:rPr>
          <w:rFonts w:ascii="宋体" w:hAnsi="宋体" w:hint="eastAsia"/>
          <w:sz w:val="22"/>
          <w:szCs w:val="21"/>
        </w:rPr>
        <w:t>根据中银国际证券股份有限公司（以下简称“本公司”）与宁波银行</w:t>
      </w:r>
      <w:r>
        <w:rPr>
          <w:rFonts w:ascii="宋体" w:hAnsi="宋体"/>
          <w:sz w:val="22"/>
          <w:szCs w:val="21"/>
        </w:rPr>
        <w:t>股份有限公司</w:t>
      </w:r>
      <w:r>
        <w:rPr>
          <w:rFonts w:ascii="宋体" w:hAnsi="宋体" w:hint="eastAsia"/>
          <w:sz w:val="22"/>
          <w:szCs w:val="21"/>
        </w:rPr>
        <w:t>（以下简称“宁波银行”）签署的销售代理协议，自</w:t>
      </w:r>
      <w:r>
        <w:rPr>
          <w:rFonts w:ascii="宋体" w:hAnsi="宋体" w:hint="eastAsia"/>
          <w:sz w:val="22"/>
          <w:szCs w:val="21"/>
        </w:rPr>
        <w:t>2022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20</w:t>
      </w:r>
      <w:r>
        <w:rPr>
          <w:rFonts w:ascii="宋体" w:hAnsi="宋体" w:hint="eastAsia"/>
          <w:sz w:val="22"/>
          <w:szCs w:val="21"/>
        </w:rPr>
        <w:t>日起，宁波银行（易管家平台）将代理销售本公司旗下部分基金。现将有关事项公告如下：</w:t>
      </w:r>
    </w:p>
    <w:p w:rsidR="006617A7" w:rsidRDefault="001D3D0E">
      <w:pPr>
        <w:spacing w:line="360" w:lineRule="auto"/>
        <w:rPr>
          <w:rFonts w:ascii="宋体" w:hAnsi="宋体"/>
          <w:sz w:val="22"/>
          <w:szCs w:val="21"/>
        </w:rPr>
      </w:pPr>
      <w:r>
        <w:rPr>
          <w:rFonts w:ascii="宋体" w:hAnsi="宋体" w:hint="eastAsia"/>
          <w:sz w:val="22"/>
          <w:szCs w:val="21"/>
        </w:rPr>
        <w:t>一、适用基金及业务范围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基金名称</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基金代码</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中银证券价值精选混合</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002601</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中银证券健康产业灵活配置混合</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002938</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中银证券现金管家货币</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003316</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中银证券现金管家货币</w:t>
            </w:r>
            <w:r>
              <w:rPr>
                <w:rFonts w:ascii="宋体" w:hAnsi="宋体" w:hint="eastAsia"/>
                <w:sz w:val="22"/>
                <w:szCs w:val="21"/>
              </w:rPr>
              <w:t>B</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003317</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中银证券瑞益灵活配置混合</w:t>
            </w:r>
            <w:r>
              <w:rPr>
                <w:rFonts w:ascii="宋体" w:hAnsi="宋体" w:hint="eastAsia"/>
                <w:sz w:val="22"/>
                <w:szCs w:val="21"/>
              </w:rPr>
              <w:t>A</w:t>
            </w:r>
          </w:p>
        </w:tc>
        <w:tc>
          <w:tcPr>
            <w:tcW w:w="4261" w:type="dxa"/>
          </w:tcPr>
          <w:p w:rsidR="006617A7" w:rsidRDefault="001D3D0E">
            <w:pPr>
              <w:tabs>
                <w:tab w:val="left" w:pos="720"/>
              </w:tabs>
              <w:spacing w:line="360" w:lineRule="auto"/>
              <w:jc w:val="center"/>
              <w:rPr>
                <w:rFonts w:ascii="宋体" w:hAnsi="宋体"/>
                <w:sz w:val="22"/>
                <w:szCs w:val="21"/>
              </w:rPr>
            </w:pPr>
            <w:r>
              <w:rPr>
                <w:rFonts w:ascii="宋体" w:hAnsi="宋体" w:hint="eastAsia"/>
                <w:sz w:val="22"/>
                <w:szCs w:val="21"/>
              </w:rPr>
              <w:t>003980</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中银证券瑞益灵活配置混合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003981</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中银证券安弘债券</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004807</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中银证券安弘债券</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004808</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中银证券聚瑞混合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004913</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中银证券聚瑞混合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004914</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中银证券祥瑞混合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004917</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中银证券祥瑞混合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004918</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中银证券新能源灵活配置混合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005571</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中银证券新能源灵活配置混合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005572</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中银证券科技创新</w:t>
            </w:r>
            <w:r>
              <w:rPr>
                <w:rFonts w:ascii="宋体" w:hAnsi="宋体" w:hint="eastAsia"/>
                <w:sz w:val="22"/>
                <w:szCs w:val="21"/>
              </w:rPr>
              <w:t>3</w:t>
            </w:r>
            <w:r>
              <w:rPr>
                <w:rFonts w:ascii="宋体" w:hAnsi="宋体" w:hint="eastAsia"/>
                <w:sz w:val="22"/>
                <w:szCs w:val="21"/>
              </w:rPr>
              <w:t>年封闭混合</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501095</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中银证券中证</w:t>
            </w:r>
            <w:r>
              <w:rPr>
                <w:rFonts w:ascii="宋体" w:hAnsi="宋体" w:hint="eastAsia"/>
                <w:sz w:val="22"/>
                <w:szCs w:val="21"/>
              </w:rPr>
              <w:t>500ETF</w:t>
            </w:r>
            <w:r>
              <w:rPr>
                <w:rFonts w:ascii="宋体" w:hAnsi="宋体" w:hint="eastAsia"/>
                <w:sz w:val="22"/>
                <w:szCs w:val="21"/>
              </w:rPr>
              <w:t>联接</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008258</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中银证券中证</w:t>
            </w:r>
            <w:r>
              <w:rPr>
                <w:rFonts w:ascii="宋体" w:hAnsi="宋体" w:hint="eastAsia"/>
                <w:sz w:val="22"/>
                <w:szCs w:val="21"/>
              </w:rPr>
              <w:t>500ETF</w:t>
            </w:r>
            <w:r>
              <w:rPr>
                <w:rFonts w:ascii="宋体" w:hAnsi="宋体" w:hint="eastAsia"/>
                <w:sz w:val="22"/>
                <w:szCs w:val="21"/>
              </w:rPr>
              <w:t>联接</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00825</w:t>
            </w:r>
            <w:r>
              <w:rPr>
                <w:rFonts w:ascii="宋体" w:hAnsi="宋体" w:hint="eastAsia"/>
                <w:sz w:val="22"/>
                <w:szCs w:val="21"/>
              </w:rPr>
              <w:t>9</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中银证券优选行业龙头混合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009640</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中银证券优选行业龙头混合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00964</w:t>
            </w:r>
            <w:r>
              <w:rPr>
                <w:rFonts w:ascii="宋体" w:hAnsi="宋体" w:hint="eastAsia"/>
                <w:sz w:val="22"/>
                <w:szCs w:val="21"/>
              </w:rPr>
              <w:t>1</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lastRenderedPageBreak/>
              <w:t>中银证券安泰债券债券</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009728</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中银证券安泰债券</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009729</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中银证券鑫瑞</w:t>
            </w:r>
            <w:r>
              <w:rPr>
                <w:rFonts w:ascii="宋体" w:hAnsi="宋体" w:hint="eastAsia"/>
                <w:sz w:val="22"/>
                <w:szCs w:val="21"/>
              </w:rPr>
              <w:t>6</w:t>
            </w:r>
            <w:r>
              <w:rPr>
                <w:rFonts w:ascii="宋体" w:hAnsi="宋体" w:hint="eastAsia"/>
                <w:sz w:val="22"/>
                <w:szCs w:val="21"/>
              </w:rPr>
              <w:t>个月持有混合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010170</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中银证券鑫瑞</w:t>
            </w:r>
            <w:r>
              <w:rPr>
                <w:rFonts w:ascii="宋体" w:hAnsi="宋体" w:hint="eastAsia"/>
                <w:sz w:val="22"/>
                <w:szCs w:val="21"/>
              </w:rPr>
              <w:t>6</w:t>
            </w:r>
            <w:r>
              <w:rPr>
                <w:rFonts w:ascii="宋体" w:hAnsi="宋体" w:hint="eastAsia"/>
                <w:sz w:val="22"/>
                <w:szCs w:val="21"/>
              </w:rPr>
              <w:t>个月持有混合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010171</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中银证券精选行业股票</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010892</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中银证券精选行业股票</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010893</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中银证券优势制造股票</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011269</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中银证券优势制造股票</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011270</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中银证券均衡成长混合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011448</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中银证券均衡成长混合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011449</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中银证券盈瑞混合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011801</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中银证券盈瑞混合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011802</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中银证券创业板</w:t>
            </w:r>
            <w:r>
              <w:rPr>
                <w:rFonts w:ascii="宋体" w:hAnsi="宋体" w:hint="eastAsia"/>
                <w:sz w:val="22"/>
                <w:szCs w:val="21"/>
              </w:rPr>
              <w:t>ETF</w:t>
            </w:r>
            <w:r>
              <w:rPr>
                <w:rFonts w:ascii="宋体" w:hAnsi="宋体" w:hint="eastAsia"/>
                <w:sz w:val="22"/>
                <w:szCs w:val="21"/>
              </w:rPr>
              <w:t>联接</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012116</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中银证券创业板</w:t>
            </w:r>
            <w:r>
              <w:rPr>
                <w:rFonts w:ascii="宋体" w:hAnsi="宋体" w:hint="eastAsia"/>
                <w:sz w:val="22"/>
                <w:szCs w:val="21"/>
              </w:rPr>
              <w:t>ETF</w:t>
            </w:r>
            <w:r>
              <w:rPr>
                <w:rFonts w:ascii="宋体" w:hAnsi="宋体" w:hint="eastAsia"/>
                <w:sz w:val="22"/>
                <w:szCs w:val="21"/>
              </w:rPr>
              <w:t>联接</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012117</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中银证券内需增长混合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013755</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中银证券内需增长混合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013756</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中银证券恒瑞</w:t>
            </w:r>
            <w:r>
              <w:rPr>
                <w:rFonts w:ascii="宋体" w:hAnsi="宋体" w:hint="eastAsia"/>
                <w:sz w:val="22"/>
                <w:szCs w:val="21"/>
              </w:rPr>
              <w:t>9</w:t>
            </w:r>
            <w:r>
              <w:rPr>
                <w:rFonts w:ascii="宋体" w:hAnsi="宋体" w:hint="eastAsia"/>
                <w:sz w:val="22"/>
                <w:szCs w:val="21"/>
              </w:rPr>
              <w:t>个月持有混合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013929</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中银证券恒瑞</w:t>
            </w:r>
            <w:r>
              <w:rPr>
                <w:rFonts w:ascii="宋体" w:hAnsi="宋体" w:hint="eastAsia"/>
                <w:sz w:val="22"/>
                <w:szCs w:val="21"/>
              </w:rPr>
              <w:t>9</w:t>
            </w:r>
            <w:r>
              <w:rPr>
                <w:rFonts w:ascii="宋体" w:hAnsi="宋体" w:hint="eastAsia"/>
                <w:sz w:val="22"/>
                <w:szCs w:val="21"/>
              </w:rPr>
              <w:t>个月持有混合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013930</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中银证券远见价值混合</w:t>
            </w:r>
            <w:r>
              <w:rPr>
                <w:rFonts w:ascii="宋体" w:hAnsi="宋体" w:hint="eastAsia"/>
                <w:sz w:val="22"/>
                <w:szCs w:val="21"/>
              </w:rPr>
              <w:t>A</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014179</w:t>
            </w:r>
          </w:p>
        </w:tc>
      </w:tr>
      <w:tr w:rsidR="006617A7">
        <w:tc>
          <w:tcPr>
            <w:tcW w:w="4261" w:type="dxa"/>
          </w:tcPr>
          <w:p w:rsidR="006617A7" w:rsidRDefault="001D3D0E">
            <w:pPr>
              <w:spacing w:line="360" w:lineRule="auto"/>
              <w:jc w:val="center"/>
              <w:rPr>
                <w:rFonts w:ascii="宋体" w:hAnsi="宋体"/>
                <w:sz w:val="22"/>
                <w:szCs w:val="21"/>
              </w:rPr>
            </w:pPr>
            <w:r>
              <w:rPr>
                <w:rFonts w:ascii="宋体" w:hAnsi="宋体" w:hint="eastAsia"/>
                <w:sz w:val="22"/>
                <w:szCs w:val="21"/>
              </w:rPr>
              <w:t>中银证券远见价值混合</w:t>
            </w:r>
            <w:r>
              <w:rPr>
                <w:rFonts w:ascii="宋体" w:hAnsi="宋体" w:hint="eastAsia"/>
                <w:sz w:val="22"/>
                <w:szCs w:val="21"/>
              </w:rPr>
              <w:t>C</w:t>
            </w:r>
          </w:p>
        </w:tc>
        <w:tc>
          <w:tcPr>
            <w:tcW w:w="4261" w:type="dxa"/>
          </w:tcPr>
          <w:p w:rsidR="006617A7" w:rsidRDefault="001D3D0E">
            <w:pPr>
              <w:spacing w:line="360" w:lineRule="auto"/>
              <w:jc w:val="center"/>
              <w:rPr>
                <w:rFonts w:ascii="宋体" w:hAnsi="宋体"/>
                <w:sz w:val="22"/>
                <w:szCs w:val="21"/>
              </w:rPr>
            </w:pPr>
            <w:r>
              <w:rPr>
                <w:rFonts w:ascii="宋体" w:hAnsi="宋体"/>
                <w:sz w:val="22"/>
                <w:szCs w:val="21"/>
              </w:rPr>
              <w:t>0141</w:t>
            </w:r>
            <w:r>
              <w:rPr>
                <w:rFonts w:ascii="宋体" w:hAnsi="宋体" w:hint="eastAsia"/>
                <w:sz w:val="22"/>
                <w:szCs w:val="21"/>
              </w:rPr>
              <w:t>80</w:t>
            </w:r>
          </w:p>
        </w:tc>
      </w:tr>
    </w:tbl>
    <w:p w:rsidR="006617A7" w:rsidRDefault="001D3D0E">
      <w:pPr>
        <w:spacing w:line="360" w:lineRule="auto"/>
        <w:rPr>
          <w:rFonts w:ascii="宋体" w:hAnsi="宋体"/>
          <w:sz w:val="22"/>
          <w:szCs w:val="21"/>
        </w:rPr>
      </w:pPr>
      <w:r>
        <w:rPr>
          <w:rFonts w:ascii="宋体" w:hAnsi="宋体" w:hint="eastAsia"/>
          <w:sz w:val="22"/>
          <w:szCs w:val="21"/>
        </w:rPr>
        <w:t>自</w:t>
      </w:r>
      <w:r>
        <w:rPr>
          <w:rFonts w:ascii="宋体" w:hAnsi="宋体" w:hint="eastAsia"/>
          <w:sz w:val="22"/>
          <w:szCs w:val="21"/>
        </w:rPr>
        <w:t>2022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20</w:t>
      </w:r>
      <w:r>
        <w:rPr>
          <w:rFonts w:ascii="宋体" w:hAnsi="宋体" w:hint="eastAsia"/>
          <w:sz w:val="22"/>
          <w:szCs w:val="21"/>
        </w:rPr>
        <w:t>日起，投资者可通过宁波银行（易管家平台）办理上述适用基金的开户、申购、赎回、转换、定期定额投资等业务。</w:t>
      </w:r>
    </w:p>
    <w:p w:rsidR="006617A7" w:rsidRDefault="006617A7">
      <w:pPr>
        <w:spacing w:line="360" w:lineRule="auto"/>
        <w:rPr>
          <w:rFonts w:ascii="宋体" w:hAnsi="宋体"/>
          <w:sz w:val="22"/>
          <w:szCs w:val="21"/>
        </w:rPr>
      </w:pPr>
    </w:p>
    <w:p w:rsidR="006617A7" w:rsidRDefault="001D3D0E">
      <w:pPr>
        <w:spacing w:line="360" w:lineRule="auto"/>
        <w:rPr>
          <w:rFonts w:ascii="宋体" w:hAnsi="宋体"/>
          <w:sz w:val="22"/>
          <w:szCs w:val="21"/>
        </w:rPr>
      </w:pPr>
      <w:r>
        <w:rPr>
          <w:rFonts w:ascii="宋体" w:hAnsi="宋体" w:hint="eastAsia"/>
          <w:sz w:val="22"/>
          <w:szCs w:val="21"/>
        </w:rPr>
        <w:t>二、重要提示</w:t>
      </w:r>
    </w:p>
    <w:p w:rsidR="006617A7" w:rsidRDefault="001D3D0E">
      <w:pPr>
        <w:spacing w:line="360" w:lineRule="auto"/>
        <w:ind w:firstLineChars="200" w:firstLine="440"/>
        <w:rPr>
          <w:rFonts w:ascii="宋体" w:hAnsi="宋体"/>
          <w:sz w:val="22"/>
          <w:szCs w:val="21"/>
        </w:rPr>
      </w:pPr>
      <w:r>
        <w:rPr>
          <w:rFonts w:ascii="宋体" w:hAnsi="宋体" w:hint="eastAsia"/>
          <w:sz w:val="22"/>
          <w:szCs w:val="21"/>
        </w:rPr>
        <w:t>上述申购、赎回、转换、、定期定额投资业务仅适用于处于正常开放期及处于特定开放日和开放时间的基金。基金封闭期等特殊期间的有关规定详见对应基金的基金合同和招募说明书等相关法律文件及本公司发布的最新业务公告。</w:t>
      </w:r>
    </w:p>
    <w:p w:rsidR="006617A7" w:rsidRDefault="001D3D0E">
      <w:pPr>
        <w:spacing w:line="360" w:lineRule="auto"/>
        <w:ind w:firstLineChars="200" w:firstLine="440"/>
        <w:rPr>
          <w:rFonts w:ascii="宋体" w:hAnsi="宋体"/>
          <w:sz w:val="22"/>
          <w:szCs w:val="21"/>
        </w:rPr>
      </w:pPr>
      <w:r>
        <w:rPr>
          <w:rFonts w:ascii="宋体" w:hAnsi="宋体" w:hint="eastAsia"/>
          <w:sz w:val="22"/>
          <w:szCs w:val="21"/>
        </w:rPr>
        <w:t>截至公告日，部分产品仍处于封闭期，暂时无法进行相关交易，具体开放日期以公司公告为准。</w:t>
      </w:r>
    </w:p>
    <w:p w:rsidR="006617A7" w:rsidRDefault="006617A7">
      <w:pPr>
        <w:spacing w:line="360" w:lineRule="auto"/>
        <w:ind w:firstLine="480"/>
        <w:rPr>
          <w:rFonts w:ascii="宋体" w:hAnsi="宋体"/>
          <w:sz w:val="22"/>
          <w:szCs w:val="21"/>
        </w:rPr>
      </w:pPr>
    </w:p>
    <w:p w:rsidR="006617A7" w:rsidRDefault="001D3D0E">
      <w:pPr>
        <w:spacing w:line="360" w:lineRule="auto"/>
        <w:rPr>
          <w:rFonts w:ascii="宋体" w:hAnsi="宋体"/>
          <w:sz w:val="22"/>
          <w:szCs w:val="21"/>
        </w:rPr>
      </w:pPr>
      <w:r>
        <w:rPr>
          <w:rFonts w:ascii="宋体" w:hAnsi="宋体" w:hint="eastAsia"/>
          <w:sz w:val="22"/>
          <w:szCs w:val="21"/>
        </w:rPr>
        <w:t>三、费率调整</w:t>
      </w:r>
    </w:p>
    <w:p w:rsidR="006617A7" w:rsidRDefault="001D3D0E">
      <w:pPr>
        <w:spacing w:line="360" w:lineRule="auto"/>
        <w:ind w:firstLine="465"/>
        <w:rPr>
          <w:rFonts w:ascii="宋体" w:hAnsi="宋体"/>
          <w:sz w:val="22"/>
          <w:szCs w:val="21"/>
        </w:rPr>
      </w:pPr>
      <w:r>
        <w:rPr>
          <w:rFonts w:ascii="宋体" w:hAnsi="宋体" w:hint="eastAsia"/>
          <w:sz w:val="22"/>
          <w:szCs w:val="21"/>
        </w:rPr>
        <w:t>1</w:t>
      </w:r>
      <w:r>
        <w:rPr>
          <w:rFonts w:ascii="宋体" w:hAnsi="宋体" w:hint="eastAsia"/>
          <w:sz w:val="22"/>
          <w:szCs w:val="21"/>
        </w:rPr>
        <w:t>、费率调整内容</w:t>
      </w:r>
    </w:p>
    <w:p w:rsidR="006617A7" w:rsidRDefault="001D3D0E">
      <w:pPr>
        <w:spacing w:line="360" w:lineRule="auto"/>
        <w:ind w:firstLine="465"/>
        <w:rPr>
          <w:rFonts w:ascii="宋体" w:hAnsi="宋体"/>
          <w:sz w:val="22"/>
          <w:szCs w:val="21"/>
        </w:rPr>
      </w:pPr>
      <w:r>
        <w:rPr>
          <w:rFonts w:ascii="宋体" w:hAnsi="宋体" w:hint="eastAsia"/>
          <w:sz w:val="22"/>
          <w:szCs w:val="21"/>
        </w:rPr>
        <w:t>自</w:t>
      </w:r>
      <w:r>
        <w:rPr>
          <w:rFonts w:ascii="宋体" w:hAnsi="宋体" w:hint="eastAsia"/>
          <w:sz w:val="22"/>
          <w:szCs w:val="21"/>
        </w:rPr>
        <w:t>2022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20</w:t>
      </w:r>
      <w:r>
        <w:rPr>
          <w:rFonts w:ascii="宋体" w:hAnsi="宋体" w:hint="eastAsia"/>
          <w:sz w:val="22"/>
          <w:szCs w:val="21"/>
        </w:rPr>
        <w:t>日起，投资者通过宁波银行（易</w:t>
      </w:r>
      <w:r>
        <w:rPr>
          <w:rFonts w:ascii="宋体" w:hAnsi="宋体" w:hint="eastAsia"/>
          <w:sz w:val="22"/>
          <w:szCs w:val="21"/>
        </w:rPr>
        <w:t>管家平台）申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购、转换本公司旗下基金，申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购费率、转换业务的申购补差费率参与其费率优惠活动，若原申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费率、转换业务的申购补差费率适用固定费率的，则按原申购费率执行，不再享有费率优惠，具体折扣费率以宁波银行（易管家平台）活动为准。基金标准费率请详见基金合同、招募说明书（更新）等法律文件，以及本公司发布的最新业务公告。</w:t>
      </w:r>
    </w:p>
    <w:p w:rsidR="006617A7" w:rsidRDefault="001D3D0E">
      <w:pPr>
        <w:spacing w:line="360" w:lineRule="auto"/>
        <w:ind w:firstLine="465"/>
        <w:rPr>
          <w:rFonts w:ascii="宋体" w:hAnsi="宋体"/>
          <w:sz w:val="22"/>
          <w:szCs w:val="21"/>
        </w:rPr>
      </w:pPr>
      <w:r>
        <w:rPr>
          <w:rFonts w:ascii="宋体" w:hAnsi="宋体" w:hint="eastAsia"/>
          <w:sz w:val="22"/>
          <w:szCs w:val="21"/>
        </w:rPr>
        <w:t>费率调整期限内，如本公司新增通过宁波银行（易管家平台）销售的基金产品，则自该基金产品开放申（认）购、转换、定期定额投资当日起，将同时遵循以上费率调整内容。</w:t>
      </w:r>
    </w:p>
    <w:p w:rsidR="006617A7" w:rsidRDefault="001D3D0E">
      <w:pPr>
        <w:spacing w:line="360" w:lineRule="auto"/>
        <w:ind w:firstLine="465"/>
        <w:rPr>
          <w:rFonts w:ascii="宋体" w:hAnsi="宋体"/>
          <w:sz w:val="22"/>
          <w:szCs w:val="21"/>
        </w:rPr>
      </w:pPr>
      <w:r>
        <w:rPr>
          <w:rFonts w:ascii="宋体" w:hAnsi="宋体"/>
          <w:sz w:val="22"/>
          <w:szCs w:val="21"/>
        </w:rPr>
        <w:t>2</w:t>
      </w:r>
      <w:r>
        <w:rPr>
          <w:rFonts w:ascii="宋体" w:hAnsi="宋体" w:hint="eastAsia"/>
          <w:sz w:val="22"/>
          <w:szCs w:val="21"/>
        </w:rPr>
        <w:t>、费率调整期限</w:t>
      </w:r>
    </w:p>
    <w:p w:rsidR="006617A7" w:rsidRDefault="001D3D0E">
      <w:pPr>
        <w:spacing w:line="360" w:lineRule="auto"/>
        <w:ind w:firstLine="465"/>
        <w:rPr>
          <w:rFonts w:ascii="宋体" w:hAnsi="宋体"/>
          <w:sz w:val="22"/>
          <w:szCs w:val="21"/>
        </w:rPr>
      </w:pPr>
      <w:r>
        <w:rPr>
          <w:rFonts w:ascii="宋体" w:hAnsi="宋体" w:hint="eastAsia"/>
          <w:sz w:val="22"/>
          <w:szCs w:val="21"/>
        </w:rPr>
        <w:t>以宁波银行（易管家平台）官方网站所示公告为准。</w:t>
      </w:r>
    </w:p>
    <w:p w:rsidR="006617A7" w:rsidRDefault="001D3D0E">
      <w:pPr>
        <w:spacing w:line="360" w:lineRule="auto"/>
        <w:ind w:firstLine="465"/>
        <w:rPr>
          <w:rFonts w:ascii="宋体" w:hAnsi="宋体"/>
          <w:sz w:val="22"/>
          <w:szCs w:val="21"/>
        </w:rPr>
      </w:pPr>
      <w:r>
        <w:rPr>
          <w:rFonts w:ascii="宋体" w:hAnsi="宋体"/>
          <w:sz w:val="22"/>
          <w:szCs w:val="21"/>
        </w:rPr>
        <w:t>3</w:t>
      </w:r>
      <w:r>
        <w:rPr>
          <w:rFonts w:ascii="宋体" w:hAnsi="宋体" w:hint="eastAsia"/>
          <w:sz w:val="22"/>
          <w:szCs w:val="21"/>
        </w:rPr>
        <w:t>、费率调整提示</w:t>
      </w:r>
    </w:p>
    <w:p w:rsidR="006617A7" w:rsidRDefault="001D3D0E">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1</w:t>
      </w:r>
      <w:r>
        <w:rPr>
          <w:rFonts w:ascii="宋体" w:hAnsi="宋体" w:hint="eastAsia"/>
          <w:sz w:val="22"/>
          <w:szCs w:val="21"/>
        </w:rPr>
        <w:t>）本次费率调整仅适用于本公司在宁波银行（易管家平台）处于正常申购期的基金产品的前端收费模式的申购费、处于基金募集期的基金认购费及转换业务的申购补差费，不包括基金赎回等其他业务的手续费。</w:t>
      </w:r>
    </w:p>
    <w:p w:rsidR="006617A7" w:rsidRDefault="001D3D0E">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2</w:t>
      </w:r>
      <w:r>
        <w:rPr>
          <w:rFonts w:ascii="宋体" w:hAnsi="宋体" w:hint="eastAsia"/>
          <w:sz w:val="22"/>
          <w:szCs w:val="21"/>
        </w:rPr>
        <w:t>）本次费率调整解释权归宁波银行（易管家平台）所有，有关费率调整的具体规定如有变化，敬请投资者留意宁波银行（易管家平台）的有关公告。</w:t>
      </w:r>
    </w:p>
    <w:p w:rsidR="006617A7" w:rsidRDefault="001D3D0E">
      <w:pPr>
        <w:tabs>
          <w:tab w:val="left" w:pos="5820"/>
        </w:tabs>
        <w:spacing w:line="360" w:lineRule="auto"/>
        <w:rPr>
          <w:rFonts w:ascii="宋体" w:hAnsi="宋体"/>
          <w:sz w:val="22"/>
          <w:szCs w:val="21"/>
        </w:rPr>
      </w:pPr>
      <w:r>
        <w:rPr>
          <w:rFonts w:ascii="宋体" w:hAnsi="宋体"/>
          <w:sz w:val="22"/>
          <w:szCs w:val="21"/>
        </w:rPr>
        <w:tab/>
      </w:r>
    </w:p>
    <w:p w:rsidR="006617A7" w:rsidRDefault="001D3D0E">
      <w:pPr>
        <w:spacing w:line="360" w:lineRule="auto"/>
        <w:rPr>
          <w:rFonts w:ascii="宋体" w:hAnsi="宋体"/>
          <w:sz w:val="22"/>
          <w:szCs w:val="21"/>
        </w:rPr>
      </w:pPr>
      <w:r>
        <w:rPr>
          <w:rFonts w:ascii="宋体" w:hAnsi="宋体" w:hint="eastAsia"/>
          <w:sz w:val="22"/>
          <w:szCs w:val="21"/>
        </w:rPr>
        <w:t>四、投资者可通过以下途径咨询有关详情：</w:t>
      </w:r>
    </w:p>
    <w:p w:rsidR="006617A7" w:rsidRDefault="001D3D0E">
      <w:pPr>
        <w:spacing w:line="360" w:lineRule="auto"/>
        <w:ind w:firstLineChars="200" w:firstLine="440"/>
        <w:rPr>
          <w:rFonts w:ascii="宋体" w:hAnsi="宋体"/>
          <w:sz w:val="22"/>
          <w:szCs w:val="21"/>
        </w:rPr>
      </w:pPr>
      <w:r>
        <w:rPr>
          <w:rFonts w:ascii="宋体" w:hAnsi="宋体" w:hint="eastAsia"/>
          <w:sz w:val="22"/>
          <w:szCs w:val="21"/>
        </w:rPr>
        <w:t>1</w:t>
      </w:r>
      <w:r>
        <w:rPr>
          <w:rFonts w:ascii="宋体" w:hAnsi="宋体" w:hint="eastAsia"/>
          <w:sz w:val="22"/>
          <w:szCs w:val="21"/>
        </w:rPr>
        <w:t>、</w:t>
      </w:r>
      <w:r>
        <w:rPr>
          <w:rFonts w:hint="eastAsia"/>
          <w:color w:val="000000"/>
          <w:shd w:val="clear" w:color="auto" w:fill="FFFFFF"/>
        </w:rPr>
        <w:t>宁波银行股份有限公司易管家平台</w:t>
      </w:r>
    </w:p>
    <w:p w:rsidR="006617A7" w:rsidRDefault="001D3D0E">
      <w:pPr>
        <w:spacing w:line="360" w:lineRule="auto"/>
        <w:ind w:firstLineChars="200" w:firstLine="440"/>
        <w:rPr>
          <w:rFonts w:ascii="宋体" w:hAnsi="宋体"/>
          <w:sz w:val="22"/>
          <w:szCs w:val="21"/>
        </w:rPr>
      </w:pPr>
      <w:r>
        <w:rPr>
          <w:rFonts w:ascii="宋体" w:hAnsi="宋体" w:hint="eastAsia"/>
          <w:sz w:val="22"/>
          <w:szCs w:val="21"/>
        </w:rPr>
        <w:t>客户服务电话：</w:t>
      </w:r>
      <w:r>
        <w:rPr>
          <w:rFonts w:ascii="Times New Roman" w:hAnsi="Times New Roman"/>
          <w:color w:val="000000"/>
          <w:shd w:val="clear" w:color="auto" w:fill="FFFFFF"/>
        </w:rPr>
        <w:t>95574</w:t>
      </w:r>
    </w:p>
    <w:p w:rsidR="006617A7" w:rsidRDefault="001D3D0E">
      <w:pPr>
        <w:spacing w:line="360" w:lineRule="auto"/>
        <w:ind w:firstLineChars="200" w:firstLine="440"/>
        <w:rPr>
          <w:rFonts w:ascii="宋体" w:hAnsi="宋体"/>
          <w:sz w:val="22"/>
          <w:szCs w:val="21"/>
        </w:rPr>
      </w:pPr>
      <w:r>
        <w:rPr>
          <w:rFonts w:ascii="宋体" w:hAnsi="宋体" w:hint="eastAsia"/>
          <w:sz w:val="22"/>
          <w:szCs w:val="21"/>
        </w:rPr>
        <w:t>官网：</w:t>
      </w:r>
      <w:r>
        <w:rPr>
          <w:rFonts w:ascii="Times New Roman" w:hAnsi="Times New Roman"/>
          <w:color w:val="000000"/>
          <w:shd w:val="clear" w:color="auto" w:fill="FFFFFF"/>
        </w:rPr>
        <w:t xml:space="preserve"> </w:t>
      </w:r>
      <w:r>
        <w:rPr>
          <w:rFonts w:ascii="宋体" w:hAnsi="宋体" w:hint="eastAsia"/>
          <w:sz w:val="22"/>
          <w:szCs w:val="21"/>
        </w:rPr>
        <w:t>www.nbcb.com.cn</w:t>
      </w:r>
      <w:bookmarkStart w:id="0" w:name="_GoBack"/>
      <w:bookmarkEnd w:id="0"/>
    </w:p>
    <w:p w:rsidR="006617A7" w:rsidRDefault="001D3D0E">
      <w:pPr>
        <w:spacing w:line="360" w:lineRule="auto"/>
        <w:ind w:firstLineChars="200" w:firstLine="440"/>
        <w:rPr>
          <w:rFonts w:ascii="宋体" w:hAnsi="宋体"/>
          <w:sz w:val="22"/>
          <w:szCs w:val="21"/>
        </w:rPr>
      </w:pPr>
      <w:r>
        <w:rPr>
          <w:rFonts w:ascii="宋体" w:hAnsi="宋体" w:hint="eastAsia"/>
          <w:sz w:val="22"/>
          <w:szCs w:val="21"/>
        </w:rPr>
        <w:t>2</w:t>
      </w:r>
      <w:r>
        <w:rPr>
          <w:rFonts w:ascii="宋体" w:hAnsi="宋体" w:hint="eastAsia"/>
          <w:sz w:val="22"/>
          <w:szCs w:val="21"/>
        </w:rPr>
        <w:t>、中银国际证券股份有限公司</w:t>
      </w:r>
    </w:p>
    <w:p w:rsidR="006617A7" w:rsidRDefault="001D3D0E">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 021-61195566</w:t>
      </w:r>
      <w:r>
        <w:rPr>
          <w:rFonts w:ascii="宋体" w:hAnsi="宋体" w:hint="eastAsia"/>
          <w:sz w:val="22"/>
          <w:szCs w:val="21"/>
        </w:rPr>
        <w:t>，</w:t>
      </w:r>
      <w:r>
        <w:rPr>
          <w:rFonts w:ascii="宋体" w:hAnsi="宋体" w:hint="eastAsia"/>
          <w:sz w:val="22"/>
          <w:szCs w:val="21"/>
        </w:rPr>
        <w:t>400-620-8888</w:t>
      </w:r>
      <w:r>
        <w:rPr>
          <w:rFonts w:ascii="宋体" w:hAnsi="宋体" w:hint="eastAsia"/>
          <w:sz w:val="22"/>
          <w:szCs w:val="21"/>
        </w:rPr>
        <w:t>（免长途通话费）</w:t>
      </w:r>
    </w:p>
    <w:p w:rsidR="006617A7" w:rsidRDefault="001D3D0E">
      <w:pPr>
        <w:spacing w:line="360" w:lineRule="auto"/>
        <w:ind w:firstLineChars="200" w:firstLine="440"/>
        <w:rPr>
          <w:rFonts w:ascii="宋体" w:hAnsi="宋体"/>
          <w:sz w:val="22"/>
          <w:szCs w:val="21"/>
        </w:rPr>
      </w:pPr>
      <w:r>
        <w:rPr>
          <w:rFonts w:ascii="宋体" w:hAnsi="宋体" w:hint="eastAsia"/>
          <w:sz w:val="22"/>
          <w:szCs w:val="21"/>
        </w:rPr>
        <w:t>基金网址：</w:t>
      </w:r>
      <w:r>
        <w:rPr>
          <w:rFonts w:ascii="宋体" w:hAnsi="宋体" w:hint="eastAsia"/>
          <w:sz w:val="22"/>
          <w:szCs w:val="21"/>
        </w:rPr>
        <w:t xml:space="preserve"> www.bocifunds.com</w:t>
      </w:r>
    </w:p>
    <w:p w:rsidR="006617A7" w:rsidRDefault="006617A7">
      <w:pPr>
        <w:spacing w:line="360" w:lineRule="auto"/>
        <w:rPr>
          <w:rFonts w:ascii="宋体" w:hAnsi="宋体"/>
          <w:sz w:val="22"/>
          <w:szCs w:val="21"/>
        </w:rPr>
      </w:pPr>
    </w:p>
    <w:p w:rsidR="006617A7" w:rsidRDefault="001D3D0E">
      <w:pPr>
        <w:spacing w:line="360" w:lineRule="auto"/>
        <w:rPr>
          <w:rFonts w:ascii="宋体" w:hAnsi="宋体"/>
          <w:sz w:val="22"/>
          <w:szCs w:val="21"/>
        </w:rPr>
      </w:pPr>
      <w:r>
        <w:rPr>
          <w:rFonts w:ascii="宋体" w:hAnsi="宋体" w:hint="eastAsia"/>
          <w:sz w:val="22"/>
          <w:szCs w:val="21"/>
        </w:rPr>
        <w:t>五、风险提示</w:t>
      </w:r>
    </w:p>
    <w:p w:rsidR="006617A7" w:rsidRDefault="001D3D0E">
      <w:pPr>
        <w:spacing w:line="360" w:lineRule="auto"/>
        <w:rPr>
          <w:rFonts w:ascii="宋体" w:hAnsi="宋体"/>
          <w:sz w:val="22"/>
          <w:szCs w:val="21"/>
        </w:rPr>
      </w:pPr>
      <w:r>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6617A7" w:rsidRDefault="001D3D0E">
      <w:pPr>
        <w:spacing w:line="360" w:lineRule="auto"/>
        <w:rPr>
          <w:rFonts w:ascii="宋体" w:hAnsi="宋体"/>
          <w:sz w:val="22"/>
          <w:szCs w:val="21"/>
        </w:rPr>
      </w:pPr>
      <w:r>
        <w:rPr>
          <w:rFonts w:ascii="宋体" w:hAnsi="宋体" w:hint="eastAsia"/>
          <w:sz w:val="22"/>
          <w:szCs w:val="21"/>
        </w:rPr>
        <w:t xml:space="preserve">　　投资者投资于货币市场基金并不等于将资金作为存款存放在银行或存款类金融机构，基金的过往业绩并不预示其未来表现，基金管理人管理的其他基金的业绩并不构成对货</w:t>
      </w:r>
      <w:r>
        <w:rPr>
          <w:rFonts w:ascii="宋体" w:hAnsi="宋体" w:hint="eastAsia"/>
          <w:sz w:val="22"/>
          <w:szCs w:val="21"/>
        </w:rPr>
        <w:t>币市场基金表现的保证。</w:t>
      </w:r>
    </w:p>
    <w:p w:rsidR="006617A7" w:rsidRDefault="001D3D0E">
      <w:pPr>
        <w:spacing w:line="360" w:lineRule="auto"/>
        <w:ind w:firstLine="480"/>
        <w:rPr>
          <w:rFonts w:ascii="宋体" w:hAnsi="宋体"/>
          <w:sz w:val="22"/>
          <w:szCs w:val="21"/>
        </w:rPr>
      </w:pPr>
      <w:r>
        <w:rPr>
          <w:rFonts w:ascii="宋体" w:hAnsi="宋体" w:hint="eastAsia"/>
          <w:sz w:val="22"/>
          <w:szCs w:val="21"/>
        </w:rPr>
        <w:t>本公告的解释权归中银国际证券股份有限公司所有。</w:t>
      </w:r>
    </w:p>
    <w:p w:rsidR="006617A7" w:rsidRDefault="001D3D0E">
      <w:pPr>
        <w:spacing w:line="360" w:lineRule="auto"/>
        <w:rPr>
          <w:rFonts w:ascii="宋体" w:hAnsi="宋体"/>
          <w:sz w:val="22"/>
          <w:szCs w:val="21"/>
        </w:rPr>
      </w:pPr>
      <w:r>
        <w:rPr>
          <w:rFonts w:ascii="宋体" w:hAnsi="宋体" w:hint="eastAsia"/>
          <w:sz w:val="22"/>
          <w:szCs w:val="21"/>
        </w:rPr>
        <w:t xml:space="preserve">　</w:t>
      </w:r>
    </w:p>
    <w:p w:rsidR="006617A7" w:rsidRDefault="001D3D0E">
      <w:pPr>
        <w:spacing w:line="360" w:lineRule="auto"/>
        <w:ind w:firstLineChars="100" w:firstLine="220"/>
        <w:rPr>
          <w:rFonts w:ascii="宋体" w:hAnsi="宋体"/>
          <w:sz w:val="22"/>
          <w:szCs w:val="21"/>
        </w:rPr>
      </w:pPr>
      <w:r>
        <w:rPr>
          <w:rFonts w:ascii="宋体" w:hAnsi="宋体" w:hint="eastAsia"/>
          <w:sz w:val="22"/>
          <w:szCs w:val="21"/>
        </w:rPr>
        <w:t xml:space="preserve">　特此公告</w:t>
      </w:r>
    </w:p>
    <w:p w:rsidR="006617A7" w:rsidRDefault="006617A7">
      <w:pPr>
        <w:spacing w:line="360" w:lineRule="auto"/>
        <w:rPr>
          <w:rFonts w:ascii="宋体" w:hAnsi="宋体"/>
          <w:sz w:val="22"/>
          <w:szCs w:val="21"/>
        </w:rPr>
      </w:pPr>
    </w:p>
    <w:p w:rsidR="006617A7" w:rsidRDefault="001D3D0E">
      <w:pPr>
        <w:spacing w:line="360" w:lineRule="auto"/>
        <w:jc w:val="right"/>
        <w:rPr>
          <w:rFonts w:ascii="宋体" w:hAnsi="宋体"/>
          <w:sz w:val="22"/>
          <w:szCs w:val="21"/>
        </w:rPr>
      </w:pPr>
      <w:r>
        <w:rPr>
          <w:rFonts w:ascii="宋体" w:hAnsi="宋体" w:hint="eastAsia"/>
          <w:sz w:val="22"/>
          <w:szCs w:val="21"/>
        </w:rPr>
        <w:t xml:space="preserve">　</w:t>
      </w:r>
      <w:r>
        <w:rPr>
          <w:rFonts w:ascii="宋体" w:hAnsi="宋体" w:cs="宋体" w:hint="eastAsia"/>
          <w:kern w:val="0"/>
          <w:sz w:val="22"/>
          <w:szCs w:val="21"/>
        </w:rPr>
        <w:t>中银国际证券股份有限公司</w:t>
      </w:r>
    </w:p>
    <w:p w:rsidR="006617A7" w:rsidRDefault="001D3D0E">
      <w:pPr>
        <w:spacing w:line="360" w:lineRule="auto"/>
        <w:jc w:val="right"/>
        <w:rPr>
          <w:rFonts w:ascii="宋体" w:hAnsi="宋体"/>
          <w:sz w:val="22"/>
          <w:szCs w:val="21"/>
        </w:rPr>
      </w:pPr>
      <w:r>
        <w:rPr>
          <w:rFonts w:ascii="宋体" w:hAnsi="宋体" w:hint="eastAsia"/>
          <w:sz w:val="22"/>
          <w:szCs w:val="21"/>
        </w:rPr>
        <w:t xml:space="preserve">　　</w:t>
      </w:r>
      <w:r>
        <w:rPr>
          <w:rFonts w:ascii="宋体" w:hAnsi="宋体" w:hint="eastAsia"/>
          <w:sz w:val="22"/>
          <w:szCs w:val="21"/>
        </w:rPr>
        <w:t>2022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20</w:t>
      </w:r>
      <w:r>
        <w:rPr>
          <w:rFonts w:ascii="宋体" w:hAnsi="宋体" w:hint="eastAsia"/>
          <w:sz w:val="22"/>
          <w:szCs w:val="21"/>
        </w:rPr>
        <w:t>日</w:t>
      </w:r>
    </w:p>
    <w:sectPr w:rsidR="006617A7" w:rsidSect="006617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F7C"/>
    <w:rsid w:val="00085CB0"/>
    <w:rsid w:val="00104693"/>
    <w:rsid w:val="0012395A"/>
    <w:rsid w:val="00151AC5"/>
    <w:rsid w:val="00161B47"/>
    <w:rsid w:val="001849EB"/>
    <w:rsid w:val="001C6B83"/>
    <w:rsid w:val="001D2214"/>
    <w:rsid w:val="001D3D0E"/>
    <w:rsid w:val="00215941"/>
    <w:rsid w:val="00292459"/>
    <w:rsid w:val="002F5789"/>
    <w:rsid w:val="00342F7C"/>
    <w:rsid w:val="00357F2D"/>
    <w:rsid w:val="003716CF"/>
    <w:rsid w:val="003B3025"/>
    <w:rsid w:val="00467169"/>
    <w:rsid w:val="004B453A"/>
    <w:rsid w:val="00504FED"/>
    <w:rsid w:val="00530662"/>
    <w:rsid w:val="00585565"/>
    <w:rsid w:val="00594014"/>
    <w:rsid w:val="00597C68"/>
    <w:rsid w:val="005C0C5E"/>
    <w:rsid w:val="006617A7"/>
    <w:rsid w:val="0068771C"/>
    <w:rsid w:val="0071549A"/>
    <w:rsid w:val="00751B6D"/>
    <w:rsid w:val="007612D7"/>
    <w:rsid w:val="0077467E"/>
    <w:rsid w:val="007B6C8F"/>
    <w:rsid w:val="00826A40"/>
    <w:rsid w:val="008868B5"/>
    <w:rsid w:val="0089104F"/>
    <w:rsid w:val="008B0C39"/>
    <w:rsid w:val="008B508F"/>
    <w:rsid w:val="008D396C"/>
    <w:rsid w:val="0098353B"/>
    <w:rsid w:val="009E6E52"/>
    <w:rsid w:val="009F2952"/>
    <w:rsid w:val="00AF7B6C"/>
    <w:rsid w:val="00B056CE"/>
    <w:rsid w:val="00CC4F62"/>
    <w:rsid w:val="00D378AA"/>
    <w:rsid w:val="00D83CE2"/>
    <w:rsid w:val="00D91D06"/>
    <w:rsid w:val="00DD0604"/>
    <w:rsid w:val="00DD6116"/>
    <w:rsid w:val="00E23FB6"/>
    <w:rsid w:val="00E57B94"/>
    <w:rsid w:val="00EE3427"/>
    <w:rsid w:val="00EE39BC"/>
    <w:rsid w:val="00EF06CB"/>
    <w:rsid w:val="00F5702C"/>
    <w:rsid w:val="00F5725D"/>
    <w:rsid w:val="23B936BB"/>
    <w:rsid w:val="607609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617A7"/>
    <w:pPr>
      <w:jc w:val="left"/>
    </w:pPr>
  </w:style>
  <w:style w:type="paragraph" w:styleId="a4">
    <w:name w:val="Balloon Text"/>
    <w:basedOn w:val="a"/>
    <w:link w:val="Char0"/>
    <w:uiPriority w:val="99"/>
    <w:semiHidden/>
    <w:unhideWhenUsed/>
    <w:qFormat/>
    <w:rsid w:val="006617A7"/>
    <w:rPr>
      <w:sz w:val="18"/>
      <w:szCs w:val="18"/>
    </w:rPr>
  </w:style>
  <w:style w:type="paragraph" w:styleId="a5">
    <w:name w:val="footer"/>
    <w:basedOn w:val="a"/>
    <w:link w:val="Char1"/>
    <w:uiPriority w:val="99"/>
    <w:semiHidden/>
    <w:unhideWhenUsed/>
    <w:qFormat/>
    <w:rsid w:val="006617A7"/>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6617A7"/>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6617A7"/>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rsid w:val="006617A7"/>
    <w:rPr>
      <w:b/>
      <w:bCs/>
    </w:rPr>
  </w:style>
  <w:style w:type="table" w:styleId="a9">
    <w:name w:val="Table Grid"/>
    <w:basedOn w:val="a1"/>
    <w:uiPriority w:val="59"/>
    <w:qFormat/>
    <w:rsid w:val="0066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6617A7"/>
    <w:rPr>
      <w:color w:val="0000FF"/>
      <w:u w:val="single"/>
    </w:rPr>
  </w:style>
  <w:style w:type="character" w:styleId="ab">
    <w:name w:val="annotation reference"/>
    <w:basedOn w:val="a0"/>
    <w:uiPriority w:val="99"/>
    <w:semiHidden/>
    <w:unhideWhenUsed/>
    <w:qFormat/>
    <w:rsid w:val="006617A7"/>
    <w:rPr>
      <w:sz w:val="21"/>
      <w:szCs w:val="21"/>
    </w:rPr>
  </w:style>
  <w:style w:type="character" w:customStyle="1" w:styleId="Char3">
    <w:name w:val="标题 Char"/>
    <w:basedOn w:val="a0"/>
    <w:link w:val="a7"/>
    <w:uiPriority w:val="10"/>
    <w:qFormat/>
    <w:rsid w:val="006617A7"/>
    <w:rPr>
      <w:rFonts w:ascii="Cambria" w:eastAsia="宋体" w:hAnsi="Cambria" w:cs="Times New Roman"/>
      <w:b/>
      <w:bCs/>
      <w:sz w:val="32"/>
      <w:szCs w:val="32"/>
    </w:rPr>
  </w:style>
  <w:style w:type="character" w:customStyle="1" w:styleId="Char2">
    <w:name w:val="页眉 Char"/>
    <w:basedOn w:val="a0"/>
    <w:link w:val="a6"/>
    <w:uiPriority w:val="99"/>
    <w:semiHidden/>
    <w:qFormat/>
    <w:rsid w:val="006617A7"/>
    <w:rPr>
      <w:sz w:val="18"/>
      <w:szCs w:val="18"/>
    </w:rPr>
  </w:style>
  <w:style w:type="character" w:customStyle="1" w:styleId="Char1">
    <w:name w:val="页脚 Char"/>
    <w:basedOn w:val="a0"/>
    <w:link w:val="a5"/>
    <w:uiPriority w:val="99"/>
    <w:semiHidden/>
    <w:qFormat/>
    <w:rsid w:val="006617A7"/>
    <w:rPr>
      <w:sz w:val="18"/>
      <w:szCs w:val="18"/>
    </w:rPr>
  </w:style>
  <w:style w:type="character" w:customStyle="1" w:styleId="Char0">
    <w:name w:val="批注框文本 Char"/>
    <w:basedOn w:val="a0"/>
    <w:link w:val="a4"/>
    <w:uiPriority w:val="99"/>
    <w:semiHidden/>
    <w:qFormat/>
    <w:rsid w:val="006617A7"/>
    <w:rPr>
      <w:sz w:val="18"/>
      <w:szCs w:val="18"/>
    </w:rPr>
  </w:style>
  <w:style w:type="character" w:customStyle="1" w:styleId="Char">
    <w:name w:val="批注文字 Char"/>
    <w:basedOn w:val="a0"/>
    <w:link w:val="a3"/>
    <w:uiPriority w:val="99"/>
    <w:semiHidden/>
    <w:qFormat/>
    <w:rsid w:val="006617A7"/>
  </w:style>
  <w:style w:type="character" w:customStyle="1" w:styleId="Char4">
    <w:name w:val="批注主题 Char"/>
    <w:basedOn w:val="Char"/>
    <w:link w:val="a8"/>
    <w:uiPriority w:val="99"/>
    <w:semiHidden/>
    <w:qFormat/>
    <w:rsid w:val="006617A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D6F18-F0FC-4C2F-926A-F3FE607B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1784</Characters>
  <Application>Microsoft Office Word</Application>
  <DocSecurity>4</DocSecurity>
  <Lines>14</Lines>
  <Paragraphs>4</Paragraphs>
  <ScaleCrop>false</ScaleCrop>
  <Company>CNSTOCK</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2022-01-19T16:01:00Z</dcterms:created>
  <dcterms:modified xsi:type="dcterms:W3CDTF">2022-01-19T16:01:00Z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AC054A9C42514EB3BA49F826ABD088CE</vt:lpwstr>
  </property>
</Properties>
</file>