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31EC" w:rsidRDefault="0028458B" w:rsidP="00A87385">
      <w:pPr>
        <w:jc w:val="center"/>
        <w:rPr>
          <w:b/>
          <w:sz w:val="36"/>
        </w:rPr>
      </w:pPr>
      <w:r>
        <w:rPr>
          <w:rFonts w:hint="eastAsia"/>
          <w:b/>
          <w:sz w:val="36"/>
        </w:rPr>
        <w:t>银华永兴纯债债券型发起式证券投资基金（</w:t>
      </w:r>
      <w:r>
        <w:rPr>
          <w:rFonts w:hint="eastAsia"/>
          <w:b/>
          <w:sz w:val="36"/>
        </w:rPr>
        <w:t>LOF</w:t>
      </w:r>
      <w:r>
        <w:rPr>
          <w:rFonts w:hint="eastAsia"/>
          <w:b/>
          <w:sz w:val="36"/>
        </w:rPr>
        <w:t>）终止</w:t>
      </w:r>
      <w:r w:rsidR="003C7CEF">
        <w:rPr>
          <w:rFonts w:hint="eastAsia"/>
          <w:b/>
          <w:sz w:val="36"/>
        </w:rPr>
        <w:t>申购、赎回等业务及</w:t>
      </w:r>
      <w:r w:rsidR="003C7CEF">
        <w:rPr>
          <w:rFonts w:hint="eastAsia"/>
          <w:b/>
          <w:sz w:val="36"/>
        </w:rPr>
        <w:t>A</w:t>
      </w:r>
      <w:r w:rsidR="003C7CEF">
        <w:rPr>
          <w:rFonts w:hint="eastAsia"/>
          <w:b/>
          <w:sz w:val="36"/>
        </w:rPr>
        <w:t>类基金份额终止上市</w:t>
      </w:r>
      <w:r>
        <w:rPr>
          <w:b/>
          <w:sz w:val="36"/>
        </w:rPr>
        <w:t>的</w:t>
      </w:r>
      <w:r>
        <w:rPr>
          <w:rFonts w:hint="eastAsia"/>
          <w:b/>
          <w:sz w:val="36"/>
        </w:rPr>
        <w:t>公告</w:t>
      </w:r>
    </w:p>
    <w:p w:rsidR="00A931EC" w:rsidRDefault="00A931EC">
      <w:pPr>
        <w:spacing w:line="360" w:lineRule="auto"/>
        <w:jc w:val="center"/>
        <w:rPr>
          <w:b/>
          <w:sz w:val="36"/>
        </w:rPr>
      </w:pPr>
    </w:p>
    <w:p w:rsidR="00A931EC" w:rsidRDefault="0028458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根据《中华人民共和国证券投资基金法》、《公开募集证券投资基金运作管理办法》、《银华永兴纯债债券型发起式证券投资基金（LOF）基金合同》（以下简称“基金合同”）的有关规定，经银华基金管理股份有限公司（以下简称“基金管理人”）与基金托管人中国建设银行股份有限公司协商一致，</w:t>
      </w:r>
      <w:r>
        <w:rPr>
          <w:rFonts w:ascii="宋体" w:hAnsi="宋体" w:hint="eastAsia"/>
          <w:sz w:val="24"/>
          <w:szCs w:val="24"/>
        </w:rPr>
        <w:t>银华永兴纯债债券型发起式证券投资基金（LOF）</w:t>
      </w:r>
      <w:r>
        <w:rPr>
          <w:rFonts w:asciiTheme="minorEastAsia" w:hAnsiTheme="minorEastAsia" w:hint="eastAsia"/>
          <w:sz w:val="24"/>
          <w:szCs w:val="24"/>
        </w:rPr>
        <w:t>（以下简称“本基金”）以通讯方式召开了基金份额持有人大会，大会投票表决时间为</w:t>
      </w:r>
      <w:r>
        <w:rPr>
          <w:rFonts w:ascii="宋体" w:hAnsi="宋体"/>
          <w:sz w:val="24"/>
          <w:szCs w:val="24"/>
        </w:rPr>
        <w:t>20</w:t>
      </w:r>
      <w:r>
        <w:rPr>
          <w:rFonts w:ascii="宋体" w:hAnsi="宋体" w:hint="eastAsia"/>
          <w:sz w:val="24"/>
          <w:szCs w:val="24"/>
        </w:rPr>
        <w:t>2</w:t>
      </w:r>
      <w:r>
        <w:rPr>
          <w:rFonts w:ascii="宋体" w:hAnsi="宋体"/>
          <w:sz w:val="24"/>
          <w:szCs w:val="24"/>
        </w:rPr>
        <w:t>1</w:t>
      </w:r>
      <w:r>
        <w:rPr>
          <w:rFonts w:ascii="宋体" w:hAnsi="宋体" w:hint="eastAsia"/>
          <w:sz w:val="24"/>
          <w:szCs w:val="24"/>
        </w:rPr>
        <w:t>年</w:t>
      </w:r>
      <w:r>
        <w:rPr>
          <w:rFonts w:ascii="宋体" w:hAnsi="宋体"/>
          <w:sz w:val="24"/>
          <w:szCs w:val="24"/>
        </w:rPr>
        <w:t>12</w:t>
      </w:r>
      <w:r>
        <w:rPr>
          <w:rFonts w:ascii="宋体" w:hAnsi="宋体" w:hint="eastAsia"/>
          <w:sz w:val="24"/>
          <w:szCs w:val="24"/>
        </w:rPr>
        <w:t>月</w:t>
      </w:r>
      <w:r>
        <w:rPr>
          <w:rFonts w:ascii="宋体" w:hAnsi="宋体"/>
          <w:sz w:val="24"/>
          <w:szCs w:val="24"/>
        </w:rPr>
        <w:t>14</w:t>
      </w:r>
      <w:r>
        <w:rPr>
          <w:rFonts w:ascii="宋体" w:hAnsi="宋体" w:hint="eastAsia"/>
          <w:sz w:val="24"/>
          <w:szCs w:val="24"/>
        </w:rPr>
        <w:t>日15:00起至</w:t>
      </w:r>
      <w:r>
        <w:rPr>
          <w:rFonts w:ascii="宋体" w:hAnsi="宋体"/>
          <w:sz w:val="24"/>
          <w:szCs w:val="24"/>
        </w:rPr>
        <w:t>20</w:t>
      </w:r>
      <w:r>
        <w:rPr>
          <w:rFonts w:ascii="宋体" w:hAnsi="宋体" w:hint="eastAsia"/>
          <w:sz w:val="24"/>
          <w:szCs w:val="24"/>
        </w:rPr>
        <w:t>2</w:t>
      </w:r>
      <w:r>
        <w:rPr>
          <w:rFonts w:ascii="宋体" w:hAnsi="宋体"/>
          <w:sz w:val="24"/>
          <w:szCs w:val="24"/>
        </w:rPr>
        <w:t>2</w:t>
      </w:r>
      <w:r>
        <w:rPr>
          <w:rFonts w:ascii="宋体" w:hAnsi="宋体" w:hint="eastAsia"/>
          <w:sz w:val="24"/>
          <w:szCs w:val="24"/>
        </w:rPr>
        <w:t>年</w:t>
      </w:r>
      <w:r>
        <w:rPr>
          <w:rFonts w:ascii="宋体" w:hAnsi="宋体"/>
          <w:sz w:val="24"/>
          <w:szCs w:val="24"/>
        </w:rPr>
        <w:t>1</w:t>
      </w:r>
      <w:r>
        <w:rPr>
          <w:rFonts w:ascii="宋体" w:hAnsi="宋体" w:hint="eastAsia"/>
          <w:sz w:val="24"/>
          <w:szCs w:val="24"/>
        </w:rPr>
        <w:t>月</w:t>
      </w:r>
      <w:r>
        <w:rPr>
          <w:rFonts w:ascii="宋体" w:hAnsi="宋体"/>
          <w:sz w:val="24"/>
          <w:szCs w:val="24"/>
        </w:rPr>
        <w:t>11日</w:t>
      </w:r>
      <w:r>
        <w:rPr>
          <w:rFonts w:ascii="宋体" w:hAnsi="宋体" w:hint="eastAsia"/>
          <w:sz w:val="24"/>
          <w:szCs w:val="24"/>
        </w:rPr>
        <w:t>17：00止</w:t>
      </w:r>
      <w:r>
        <w:rPr>
          <w:rFonts w:asciiTheme="minorEastAsia" w:hAnsiTheme="minorEastAsia" w:hint="eastAsia"/>
          <w:sz w:val="24"/>
          <w:szCs w:val="24"/>
        </w:rPr>
        <w:t>，并于2022年1月12日表决通过了《</w:t>
      </w:r>
      <w:r>
        <w:rPr>
          <w:rFonts w:ascii="宋体" w:hAnsi="宋体" w:hint="eastAsia"/>
          <w:sz w:val="24"/>
          <w:szCs w:val="24"/>
        </w:rPr>
        <w:t>关于终止银华永兴纯债债券型发起式证券投资基金（LOF）基金合同以及</w:t>
      </w:r>
      <w:r>
        <w:rPr>
          <w:rFonts w:ascii="宋体" w:hAnsi="宋体"/>
          <w:sz w:val="24"/>
          <w:szCs w:val="24"/>
        </w:rPr>
        <w:t>银华永兴纯债债券型发起式证券投资基金（LOF）</w:t>
      </w:r>
      <w:r>
        <w:rPr>
          <w:rFonts w:ascii="宋体" w:hAnsi="宋体" w:hint="eastAsia"/>
          <w:sz w:val="24"/>
          <w:szCs w:val="24"/>
        </w:rPr>
        <w:t>A类</w:t>
      </w:r>
      <w:r>
        <w:rPr>
          <w:rFonts w:ascii="宋体" w:hAnsi="宋体"/>
          <w:sz w:val="24"/>
          <w:szCs w:val="24"/>
        </w:rPr>
        <w:t>基金份额</w:t>
      </w:r>
      <w:r>
        <w:rPr>
          <w:rFonts w:ascii="宋体" w:hAnsi="宋体" w:hint="eastAsia"/>
          <w:sz w:val="24"/>
          <w:szCs w:val="24"/>
        </w:rPr>
        <w:t>终止</w:t>
      </w:r>
      <w:r>
        <w:rPr>
          <w:rFonts w:ascii="宋体" w:hAnsi="宋体"/>
          <w:sz w:val="24"/>
          <w:szCs w:val="24"/>
        </w:rPr>
        <w:t>上市</w:t>
      </w:r>
      <w:r>
        <w:rPr>
          <w:rFonts w:ascii="宋体" w:hAnsi="宋体" w:hint="eastAsia"/>
          <w:sz w:val="24"/>
          <w:szCs w:val="24"/>
        </w:rPr>
        <w:t>有关事项的议案</w:t>
      </w:r>
      <w:r w:rsidRPr="00670173">
        <w:rPr>
          <w:rFonts w:ascii="宋体" w:hAnsi="宋体" w:hint="eastAsia"/>
          <w:sz w:val="24"/>
          <w:szCs w:val="24"/>
        </w:rPr>
        <w:t>》，详见</w:t>
      </w:r>
      <w:r w:rsidRPr="00670173">
        <w:rPr>
          <w:rFonts w:ascii="宋体" w:hAnsi="宋体"/>
          <w:sz w:val="24"/>
          <w:szCs w:val="24"/>
        </w:rPr>
        <w:t>2022年1月13日</w:t>
      </w:r>
      <w:r w:rsidRPr="00670173">
        <w:rPr>
          <w:rFonts w:ascii="宋体" w:hAnsi="宋体" w:hint="eastAsia"/>
          <w:sz w:val="24"/>
          <w:szCs w:val="24"/>
        </w:rPr>
        <w:t>刊登在《</w:t>
      </w:r>
      <w:r w:rsidR="00670173" w:rsidRPr="00670173">
        <w:rPr>
          <w:rFonts w:ascii="宋体" w:hAnsi="宋体" w:hint="eastAsia"/>
          <w:sz w:val="24"/>
          <w:szCs w:val="24"/>
        </w:rPr>
        <w:t>上海证券报</w:t>
      </w:r>
      <w:r w:rsidRPr="00670173">
        <w:rPr>
          <w:rFonts w:ascii="宋体" w:hAnsi="宋体" w:hint="eastAsia"/>
          <w:sz w:val="24"/>
          <w:szCs w:val="24"/>
        </w:rPr>
        <w:t>》及基金管理人网站（</w:t>
      </w:r>
      <w:r>
        <w:rPr>
          <w:rFonts w:ascii="宋体" w:hAnsi="宋体" w:hint="eastAsia"/>
          <w:sz w:val="24"/>
          <w:szCs w:val="24"/>
        </w:rPr>
        <w:t>http://www.yhfund.com.cn</w:t>
      </w:r>
      <w:r w:rsidRPr="00670173">
        <w:rPr>
          <w:rFonts w:ascii="宋体" w:hAnsi="宋体" w:hint="eastAsia"/>
          <w:sz w:val="24"/>
          <w:szCs w:val="24"/>
        </w:rPr>
        <w:t>）上的《关于银华永兴纯债债券型发起式</w:t>
      </w:r>
      <w:r>
        <w:rPr>
          <w:rFonts w:asciiTheme="minorEastAsia" w:hAnsiTheme="minorEastAsia" w:hint="eastAsia"/>
          <w:sz w:val="24"/>
          <w:szCs w:val="24"/>
        </w:rPr>
        <w:t>证券投资基金（LOF）基金份额持有人大会表决结果暨决议生效公告》（以下简称《决议生效公告》）。</w:t>
      </w:r>
    </w:p>
    <w:p w:rsidR="00A931EC" w:rsidRDefault="0028458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根据《决议生效公告》、《深圳证券交易所证券投资基金上市规则》等有关规定，基金管理人已向深圳证券交易所申请本基金A类</w:t>
      </w:r>
      <w:r>
        <w:rPr>
          <w:rFonts w:asciiTheme="minorEastAsia" w:hAnsiTheme="minorEastAsia"/>
          <w:sz w:val="24"/>
          <w:szCs w:val="24"/>
        </w:rPr>
        <w:t>基金</w:t>
      </w:r>
      <w:r>
        <w:rPr>
          <w:rFonts w:asciiTheme="minorEastAsia" w:hAnsiTheme="minorEastAsia" w:hint="eastAsia"/>
          <w:sz w:val="24"/>
          <w:szCs w:val="24"/>
        </w:rPr>
        <w:t>份额终止上市，获得深圳证券交易所同意（深证上[</w:t>
      </w:r>
      <w:r>
        <w:rPr>
          <w:rFonts w:asciiTheme="minorEastAsia" w:hAnsiTheme="minorEastAsia"/>
          <w:sz w:val="24"/>
          <w:szCs w:val="24"/>
        </w:rPr>
        <w:t>202</w:t>
      </w:r>
      <w:r w:rsidR="008C075A">
        <w:rPr>
          <w:rFonts w:asciiTheme="minorEastAsia" w:hAnsiTheme="minorEastAsia"/>
          <w:sz w:val="24"/>
          <w:szCs w:val="24"/>
        </w:rPr>
        <w:t>2]54</w:t>
      </w:r>
      <w:r w:rsidRPr="00D516A3">
        <w:rPr>
          <w:rFonts w:asciiTheme="minorEastAsia" w:hAnsiTheme="minorEastAsia" w:hint="eastAsia"/>
          <w:sz w:val="24"/>
          <w:szCs w:val="24"/>
        </w:rPr>
        <w:t>号）</w:t>
      </w:r>
      <w:r>
        <w:rPr>
          <w:rFonts w:asciiTheme="minorEastAsia" w:hAnsiTheme="minorEastAsia" w:hint="eastAsia"/>
          <w:sz w:val="24"/>
          <w:szCs w:val="24"/>
        </w:rPr>
        <w:t>。现将相关终止上市并终止申购赎回的事项公告如下：</w:t>
      </w:r>
    </w:p>
    <w:p w:rsidR="00A931EC" w:rsidRDefault="0028458B">
      <w:pPr>
        <w:pStyle w:val="a7"/>
        <w:numPr>
          <w:ilvl w:val="0"/>
          <w:numId w:val="1"/>
        </w:numPr>
        <w:spacing w:line="360" w:lineRule="auto"/>
        <w:ind w:firstLineChars="0"/>
        <w:rPr>
          <w:rFonts w:asciiTheme="minorEastAsia" w:hAnsiTheme="minorEastAsia"/>
          <w:sz w:val="24"/>
          <w:szCs w:val="24"/>
        </w:rPr>
      </w:pPr>
      <w:r>
        <w:rPr>
          <w:rFonts w:asciiTheme="minorEastAsia" w:hAnsiTheme="minorEastAsia" w:hint="eastAsia"/>
          <w:sz w:val="24"/>
          <w:szCs w:val="24"/>
        </w:rPr>
        <w:t>终止</w:t>
      </w:r>
      <w:r>
        <w:rPr>
          <w:rFonts w:asciiTheme="minorEastAsia" w:hAnsiTheme="minorEastAsia"/>
          <w:sz w:val="24"/>
          <w:szCs w:val="24"/>
        </w:rPr>
        <w:t>申购赎回</w:t>
      </w:r>
      <w:r>
        <w:rPr>
          <w:rFonts w:asciiTheme="minorEastAsia" w:hAnsiTheme="minorEastAsia" w:hint="eastAsia"/>
          <w:sz w:val="24"/>
          <w:szCs w:val="24"/>
        </w:rPr>
        <w:t>基金</w:t>
      </w:r>
      <w:r w:rsidR="00481339">
        <w:rPr>
          <w:rFonts w:asciiTheme="minorEastAsia" w:hAnsiTheme="minorEastAsia" w:hint="eastAsia"/>
          <w:sz w:val="24"/>
          <w:szCs w:val="24"/>
        </w:rPr>
        <w:t>并终止</w:t>
      </w:r>
      <w:r w:rsidR="00172046">
        <w:rPr>
          <w:rFonts w:asciiTheme="minorEastAsia" w:hAnsiTheme="minorEastAsia" w:hint="eastAsia"/>
          <w:sz w:val="24"/>
          <w:szCs w:val="24"/>
        </w:rPr>
        <w:t>A类</w:t>
      </w:r>
      <w:r w:rsidR="00172046">
        <w:rPr>
          <w:rFonts w:asciiTheme="minorEastAsia" w:hAnsiTheme="minorEastAsia"/>
          <w:sz w:val="24"/>
          <w:szCs w:val="24"/>
        </w:rPr>
        <w:t>基金</w:t>
      </w:r>
      <w:r w:rsidR="00172046">
        <w:rPr>
          <w:rFonts w:asciiTheme="minorEastAsia" w:hAnsiTheme="minorEastAsia" w:hint="eastAsia"/>
          <w:sz w:val="24"/>
          <w:szCs w:val="24"/>
        </w:rPr>
        <w:t>份额</w:t>
      </w:r>
      <w:r w:rsidR="00481339">
        <w:rPr>
          <w:rFonts w:asciiTheme="minorEastAsia" w:hAnsiTheme="minorEastAsia" w:hint="eastAsia"/>
          <w:sz w:val="24"/>
          <w:szCs w:val="24"/>
        </w:rPr>
        <w:t>上市</w:t>
      </w:r>
      <w:r>
        <w:rPr>
          <w:rFonts w:asciiTheme="minorEastAsia" w:hAnsiTheme="minorEastAsia" w:hint="eastAsia"/>
          <w:sz w:val="24"/>
          <w:szCs w:val="24"/>
        </w:rPr>
        <w:t>的基本信息</w:t>
      </w:r>
    </w:p>
    <w:p w:rsidR="00A931EC" w:rsidRDefault="0028458B">
      <w:pPr>
        <w:spacing w:line="360" w:lineRule="auto"/>
        <w:ind w:firstLineChars="175" w:firstLine="420"/>
        <w:rPr>
          <w:rFonts w:asciiTheme="minorEastAsia" w:hAnsiTheme="minorEastAsia"/>
          <w:sz w:val="24"/>
          <w:szCs w:val="24"/>
        </w:rPr>
      </w:pPr>
      <w:r>
        <w:rPr>
          <w:rFonts w:asciiTheme="minorEastAsia" w:hAnsiTheme="minorEastAsia" w:hint="eastAsia"/>
          <w:sz w:val="24"/>
          <w:szCs w:val="24"/>
        </w:rPr>
        <w:t>基金名称：银华永兴纯债债券型发起式证券投资基金（LOF）</w:t>
      </w:r>
    </w:p>
    <w:p w:rsidR="00A931EC" w:rsidRDefault="0028458B">
      <w:pPr>
        <w:spacing w:line="360" w:lineRule="auto"/>
        <w:ind w:firstLineChars="175" w:firstLine="420"/>
        <w:rPr>
          <w:rFonts w:asciiTheme="minorEastAsia" w:hAnsiTheme="minorEastAsia"/>
          <w:sz w:val="24"/>
          <w:szCs w:val="24"/>
        </w:rPr>
      </w:pPr>
      <w:r>
        <w:rPr>
          <w:rFonts w:asciiTheme="minorEastAsia" w:hAnsiTheme="minorEastAsia" w:hint="eastAsia"/>
          <w:sz w:val="24"/>
          <w:szCs w:val="24"/>
        </w:rPr>
        <w:t>A类</w:t>
      </w:r>
      <w:r>
        <w:rPr>
          <w:rFonts w:asciiTheme="minorEastAsia" w:hAnsiTheme="minorEastAsia"/>
          <w:sz w:val="24"/>
          <w:szCs w:val="24"/>
        </w:rPr>
        <w:t>基金份额</w:t>
      </w:r>
      <w:r>
        <w:rPr>
          <w:rFonts w:asciiTheme="minorEastAsia" w:hAnsiTheme="minorEastAsia" w:hint="eastAsia"/>
          <w:sz w:val="24"/>
          <w:szCs w:val="24"/>
        </w:rPr>
        <w:t>场内简称：银华</w:t>
      </w:r>
      <w:r>
        <w:rPr>
          <w:rFonts w:asciiTheme="minorEastAsia" w:hAnsiTheme="minorEastAsia"/>
          <w:sz w:val="24"/>
          <w:szCs w:val="24"/>
        </w:rPr>
        <w:t>永兴</w:t>
      </w:r>
      <w:r>
        <w:rPr>
          <w:rFonts w:asciiTheme="minorEastAsia" w:hAnsiTheme="minorEastAsia" w:hint="eastAsia"/>
          <w:sz w:val="24"/>
          <w:szCs w:val="24"/>
        </w:rPr>
        <w:t>LOF</w:t>
      </w:r>
    </w:p>
    <w:p w:rsidR="00212D4F" w:rsidRPr="00212D4F" w:rsidRDefault="0028458B" w:rsidP="00212D4F">
      <w:pPr>
        <w:spacing w:line="360" w:lineRule="auto"/>
        <w:ind w:firstLineChars="175" w:firstLine="420"/>
        <w:rPr>
          <w:rFonts w:asciiTheme="minorEastAsia" w:hAnsiTheme="minorEastAsia"/>
          <w:sz w:val="24"/>
          <w:szCs w:val="24"/>
        </w:rPr>
      </w:pPr>
      <w:r>
        <w:rPr>
          <w:rFonts w:asciiTheme="minorEastAsia" w:hAnsiTheme="minorEastAsia"/>
          <w:sz w:val="24"/>
          <w:szCs w:val="24"/>
        </w:rPr>
        <w:t>A</w:t>
      </w:r>
      <w:r>
        <w:rPr>
          <w:rFonts w:asciiTheme="minorEastAsia" w:hAnsiTheme="minorEastAsia" w:hint="eastAsia"/>
          <w:sz w:val="24"/>
          <w:szCs w:val="24"/>
        </w:rPr>
        <w:t>类</w:t>
      </w:r>
      <w:r>
        <w:rPr>
          <w:rFonts w:asciiTheme="minorEastAsia" w:hAnsiTheme="minorEastAsia"/>
          <w:sz w:val="24"/>
          <w:szCs w:val="24"/>
        </w:rPr>
        <w:t>基金份额</w:t>
      </w:r>
      <w:r>
        <w:rPr>
          <w:rFonts w:asciiTheme="minorEastAsia" w:hAnsiTheme="minorEastAsia" w:hint="eastAsia"/>
          <w:sz w:val="24"/>
          <w:szCs w:val="24"/>
        </w:rPr>
        <w:t>交易代码：</w:t>
      </w:r>
      <w:r>
        <w:rPr>
          <w:rFonts w:asciiTheme="minorEastAsia" w:hAnsiTheme="minorEastAsia"/>
          <w:sz w:val="24"/>
          <w:szCs w:val="24"/>
        </w:rPr>
        <w:t>161823</w:t>
      </w:r>
    </w:p>
    <w:p w:rsidR="003C7CEF" w:rsidRDefault="003C7CEF" w:rsidP="003C7CEF">
      <w:pPr>
        <w:spacing w:line="360" w:lineRule="auto"/>
        <w:ind w:firstLineChars="175" w:firstLine="420"/>
        <w:rPr>
          <w:rFonts w:ascii="宋体" w:hAnsi="宋体"/>
          <w:sz w:val="24"/>
          <w:szCs w:val="24"/>
        </w:rPr>
      </w:pPr>
      <w:r>
        <w:rPr>
          <w:rFonts w:ascii="宋体" w:hAnsi="宋体" w:hint="eastAsia"/>
          <w:sz w:val="24"/>
          <w:szCs w:val="24"/>
        </w:rPr>
        <w:t>C类</w:t>
      </w:r>
      <w:r>
        <w:rPr>
          <w:rFonts w:ascii="宋体" w:hAnsi="宋体"/>
          <w:sz w:val="24"/>
          <w:szCs w:val="24"/>
        </w:rPr>
        <w:t>基金份额</w:t>
      </w:r>
      <w:r>
        <w:rPr>
          <w:rFonts w:ascii="宋体" w:hAnsi="宋体" w:hint="eastAsia"/>
          <w:sz w:val="24"/>
          <w:szCs w:val="24"/>
        </w:rPr>
        <w:t>简称</w:t>
      </w:r>
      <w:r>
        <w:rPr>
          <w:rFonts w:ascii="宋体" w:hAnsi="宋体"/>
          <w:sz w:val="24"/>
          <w:szCs w:val="24"/>
        </w:rPr>
        <w:t>：</w:t>
      </w:r>
      <w:r>
        <w:rPr>
          <w:rFonts w:ascii="宋体" w:hAnsi="宋体" w:hint="eastAsia"/>
          <w:sz w:val="24"/>
          <w:szCs w:val="24"/>
        </w:rPr>
        <w:t>永兴</w:t>
      </w:r>
      <w:r>
        <w:rPr>
          <w:rFonts w:ascii="宋体" w:hAnsi="宋体"/>
          <w:sz w:val="24"/>
          <w:szCs w:val="24"/>
        </w:rPr>
        <w:t>债</w:t>
      </w:r>
      <w:r>
        <w:rPr>
          <w:rFonts w:ascii="宋体" w:hAnsi="宋体" w:hint="eastAsia"/>
          <w:sz w:val="24"/>
          <w:szCs w:val="24"/>
        </w:rPr>
        <w:t>C</w:t>
      </w:r>
    </w:p>
    <w:p w:rsidR="003C7CEF" w:rsidRPr="003C7CEF" w:rsidRDefault="003C7CEF" w:rsidP="003C7CEF">
      <w:pPr>
        <w:spacing w:line="360" w:lineRule="auto"/>
        <w:ind w:firstLineChars="175" w:firstLine="420"/>
        <w:rPr>
          <w:rFonts w:ascii="宋体" w:hAnsi="宋体"/>
          <w:sz w:val="24"/>
          <w:szCs w:val="24"/>
        </w:rPr>
      </w:pPr>
      <w:r>
        <w:rPr>
          <w:rFonts w:ascii="宋体" w:hAnsi="宋体"/>
          <w:sz w:val="24"/>
          <w:szCs w:val="24"/>
        </w:rPr>
        <w:t>C类基金份额代码：</w:t>
      </w:r>
      <w:r>
        <w:rPr>
          <w:rFonts w:ascii="宋体" w:hAnsi="宋体" w:hint="eastAsia"/>
          <w:sz w:val="24"/>
          <w:szCs w:val="24"/>
        </w:rPr>
        <w:t>161824</w:t>
      </w:r>
    </w:p>
    <w:p w:rsidR="00A931EC" w:rsidRDefault="0028458B">
      <w:pPr>
        <w:spacing w:line="360" w:lineRule="auto"/>
        <w:ind w:firstLineChars="175" w:firstLine="420"/>
        <w:rPr>
          <w:rFonts w:asciiTheme="minorEastAsia" w:hAnsiTheme="minorEastAsia"/>
          <w:sz w:val="24"/>
          <w:szCs w:val="24"/>
        </w:rPr>
      </w:pPr>
      <w:r>
        <w:rPr>
          <w:rFonts w:asciiTheme="minorEastAsia" w:hAnsiTheme="minorEastAsia" w:hint="eastAsia"/>
          <w:sz w:val="24"/>
          <w:szCs w:val="24"/>
        </w:rPr>
        <w:t>基金运作方式：契约型开放式</w:t>
      </w:r>
    </w:p>
    <w:p w:rsidR="00A931EC" w:rsidRDefault="0028458B">
      <w:pPr>
        <w:spacing w:line="360" w:lineRule="auto"/>
        <w:ind w:firstLineChars="175" w:firstLine="420"/>
        <w:rPr>
          <w:rFonts w:asciiTheme="minorEastAsia" w:hAnsiTheme="minorEastAsia"/>
          <w:sz w:val="24"/>
          <w:szCs w:val="24"/>
        </w:rPr>
      </w:pPr>
      <w:r>
        <w:rPr>
          <w:rFonts w:asciiTheme="minorEastAsia" w:hAnsiTheme="minorEastAsia" w:hint="eastAsia"/>
          <w:sz w:val="24"/>
          <w:szCs w:val="24"/>
        </w:rPr>
        <w:t>上市交易日：2016年2月17日</w:t>
      </w:r>
    </w:p>
    <w:p w:rsidR="00A931EC" w:rsidRDefault="0028458B">
      <w:pPr>
        <w:spacing w:line="360" w:lineRule="auto"/>
        <w:ind w:firstLineChars="175" w:firstLine="420"/>
        <w:rPr>
          <w:rFonts w:asciiTheme="minorEastAsia" w:hAnsiTheme="minorEastAsia"/>
          <w:sz w:val="24"/>
          <w:szCs w:val="24"/>
        </w:rPr>
      </w:pPr>
      <w:r>
        <w:rPr>
          <w:rFonts w:asciiTheme="minorEastAsia" w:hAnsiTheme="minorEastAsia" w:hint="eastAsia"/>
          <w:sz w:val="24"/>
          <w:szCs w:val="24"/>
        </w:rPr>
        <w:t>终止上市日：20</w:t>
      </w:r>
      <w:r>
        <w:rPr>
          <w:rFonts w:asciiTheme="minorEastAsia" w:hAnsiTheme="minorEastAsia"/>
          <w:sz w:val="24"/>
          <w:szCs w:val="24"/>
        </w:rPr>
        <w:t>22</w:t>
      </w:r>
      <w:r>
        <w:rPr>
          <w:rFonts w:asciiTheme="minorEastAsia" w:hAnsiTheme="minorEastAsia" w:hint="eastAsia"/>
          <w:sz w:val="24"/>
          <w:szCs w:val="24"/>
        </w:rPr>
        <w:t>年</w:t>
      </w:r>
      <w:r>
        <w:rPr>
          <w:rFonts w:asciiTheme="minorEastAsia" w:hAnsiTheme="minorEastAsia"/>
          <w:sz w:val="24"/>
          <w:szCs w:val="24"/>
        </w:rPr>
        <w:t>1</w:t>
      </w:r>
      <w:r>
        <w:rPr>
          <w:rFonts w:asciiTheme="minorEastAsia" w:hAnsiTheme="minorEastAsia" w:hint="eastAsia"/>
          <w:sz w:val="24"/>
          <w:szCs w:val="24"/>
        </w:rPr>
        <w:t>月</w:t>
      </w:r>
      <w:r>
        <w:rPr>
          <w:rFonts w:asciiTheme="minorEastAsia" w:hAnsiTheme="minorEastAsia"/>
          <w:sz w:val="24"/>
          <w:szCs w:val="24"/>
        </w:rPr>
        <w:t>21</w:t>
      </w:r>
      <w:r>
        <w:rPr>
          <w:rFonts w:asciiTheme="minorEastAsia" w:hAnsiTheme="minorEastAsia" w:hint="eastAsia"/>
          <w:sz w:val="24"/>
          <w:szCs w:val="24"/>
        </w:rPr>
        <w:t>日</w:t>
      </w:r>
    </w:p>
    <w:p w:rsidR="00A931EC" w:rsidRDefault="0028458B">
      <w:pPr>
        <w:spacing w:line="360" w:lineRule="auto"/>
        <w:ind w:firstLineChars="175" w:firstLine="420"/>
        <w:rPr>
          <w:rFonts w:asciiTheme="minorEastAsia" w:hAnsiTheme="minorEastAsia"/>
          <w:sz w:val="24"/>
          <w:szCs w:val="24"/>
        </w:rPr>
      </w:pPr>
      <w:r>
        <w:rPr>
          <w:rFonts w:asciiTheme="minorEastAsia" w:hAnsiTheme="minorEastAsia" w:hint="eastAsia"/>
          <w:sz w:val="24"/>
          <w:szCs w:val="24"/>
        </w:rPr>
        <w:lastRenderedPageBreak/>
        <w:t>终止申购</w:t>
      </w:r>
      <w:r>
        <w:rPr>
          <w:rFonts w:asciiTheme="minorEastAsia" w:hAnsiTheme="minorEastAsia"/>
          <w:sz w:val="24"/>
          <w:szCs w:val="24"/>
        </w:rPr>
        <w:t>赎回日：</w:t>
      </w:r>
      <w:r>
        <w:rPr>
          <w:rFonts w:asciiTheme="minorEastAsia" w:hAnsiTheme="minorEastAsia" w:hint="eastAsia"/>
          <w:sz w:val="24"/>
          <w:szCs w:val="24"/>
        </w:rPr>
        <w:t>20</w:t>
      </w:r>
      <w:r>
        <w:rPr>
          <w:rFonts w:asciiTheme="minorEastAsia" w:hAnsiTheme="minorEastAsia"/>
          <w:sz w:val="24"/>
          <w:szCs w:val="24"/>
        </w:rPr>
        <w:t>22</w:t>
      </w:r>
      <w:r>
        <w:rPr>
          <w:rFonts w:asciiTheme="minorEastAsia" w:hAnsiTheme="minorEastAsia" w:hint="eastAsia"/>
          <w:sz w:val="24"/>
          <w:szCs w:val="24"/>
        </w:rPr>
        <w:t>年</w:t>
      </w:r>
      <w:r>
        <w:rPr>
          <w:rFonts w:asciiTheme="minorEastAsia" w:hAnsiTheme="minorEastAsia"/>
          <w:sz w:val="24"/>
          <w:szCs w:val="24"/>
        </w:rPr>
        <w:t>1</w:t>
      </w:r>
      <w:r>
        <w:rPr>
          <w:rFonts w:asciiTheme="minorEastAsia" w:hAnsiTheme="minorEastAsia" w:hint="eastAsia"/>
          <w:sz w:val="24"/>
          <w:szCs w:val="24"/>
        </w:rPr>
        <w:t>月</w:t>
      </w:r>
      <w:r>
        <w:rPr>
          <w:rFonts w:asciiTheme="minorEastAsia" w:hAnsiTheme="minorEastAsia"/>
          <w:sz w:val="24"/>
          <w:szCs w:val="24"/>
        </w:rPr>
        <w:t>21</w:t>
      </w:r>
      <w:r>
        <w:rPr>
          <w:rFonts w:asciiTheme="minorEastAsia" w:hAnsiTheme="minorEastAsia" w:hint="eastAsia"/>
          <w:sz w:val="24"/>
          <w:szCs w:val="24"/>
        </w:rPr>
        <w:t>日</w:t>
      </w:r>
    </w:p>
    <w:p w:rsidR="00A931EC" w:rsidRDefault="0028458B">
      <w:pPr>
        <w:spacing w:line="360" w:lineRule="auto"/>
        <w:ind w:firstLineChars="175" w:firstLine="420"/>
        <w:rPr>
          <w:rFonts w:asciiTheme="minorEastAsia" w:hAnsiTheme="minorEastAsia"/>
          <w:sz w:val="24"/>
          <w:szCs w:val="24"/>
        </w:rPr>
      </w:pPr>
      <w:r>
        <w:rPr>
          <w:rFonts w:asciiTheme="minorEastAsia" w:hAnsiTheme="minorEastAsia" w:hint="eastAsia"/>
          <w:sz w:val="24"/>
          <w:szCs w:val="24"/>
        </w:rPr>
        <w:t>终止上市的权益登记日：2022年1月20日，即在2022年1月20日下午深圳证券交易所交易结束后，在中国证券登记结算有限责任公司登记在册的本基金A类基金份额全体基金份额持有人享有本基金A类基金份额终止上市后的相关权利。</w:t>
      </w:r>
    </w:p>
    <w:p w:rsidR="00A931EC" w:rsidRDefault="0028458B">
      <w:pPr>
        <w:pStyle w:val="a7"/>
        <w:numPr>
          <w:ilvl w:val="0"/>
          <w:numId w:val="1"/>
        </w:numPr>
        <w:spacing w:line="360" w:lineRule="auto"/>
        <w:ind w:firstLineChars="0"/>
        <w:rPr>
          <w:rFonts w:asciiTheme="minorEastAsia" w:hAnsiTheme="minorEastAsia"/>
          <w:sz w:val="24"/>
          <w:szCs w:val="24"/>
        </w:rPr>
      </w:pPr>
      <w:r>
        <w:rPr>
          <w:rFonts w:asciiTheme="minorEastAsia" w:hAnsiTheme="minorEastAsia"/>
          <w:sz w:val="24"/>
          <w:szCs w:val="24"/>
        </w:rPr>
        <w:t>基金终止上市</w:t>
      </w:r>
      <w:r>
        <w:rPr>
          <w:rFonts w:asciiTheme="minorEastAsia" w:hAnsiTheme="minorEastAsia" w:hint="eastAsia"/>
          <w:sz w:val="24"/>
          <w:szCs w:val="24"/>
        </w:rPr>
        <w:t>并</w:t>
      </w:r>
      <w:r>
        <w:rPr>
          <w:rFonts w:asciiTheme="minorEastAsia" w:hAnsiTheme="minorEastAsia"/>
          <w:sz w:val="24"/>
          <w:szCs w:val="24"/>
        </w:rPr>
        <w:t>终止申购赎回后续事项说明</w:t>
      </w:r>
    </w:p>
    <w:p w:rsidR="00A931EC" w:rsidRDefault="0028458B">
      <w:pPr>
        <w:spacing w:line="360" w:lineRule="auto"/>
        <w:ind w:firstLineChars="200" w:firstLine="480"/>
        <w:rPr>
          <w:rFonts w:ascii="宋体" w:hAnsi="宋体"/>
          <w:sz w:val="24"/>
          <w:szCs w:val="24"/>
        </w:rPr>
      </w:pPr>
      <w:r>
        <w:rPr>
          <w:rFonts w:ascii="宋体" w:hAnsi="宋体" w:hint="eastAsia"/>
          <w:sz w:val="24"/>
          <w:szCs w:val="24"/>
        </w:rPr>
        <w:t>（一）基金</w:t>
      </w:r>
      <w:r>
        <w:rPr>
          <w:rFonts w:ascii="宋体" w:hAnsi="宋体"/>
          <w:sz w:val="24"/>
          <w:szCs w:val="24"/>
        </w:rPr>
        <w:t>资产清算</w:t>
      </w:r>
    </w:p>
    <w:p w:rsidR="00A931EC" w:rsidRDefault="0028458B">
      <w:pPr>
        <w:spacing w:line="360" w:lineRule="auto"/>
        <w:ind w:firstLineChars="200" w:firstLine="480"/>
        <w:rPr>
          <w:rFonts w:ascii="宋体" w:hAnsi="宋体"/>
          <w:sz w:val="24"/>
          <w:szCs w:val="24"/>
        </w:rPr>
      </w:pPr>
      <w:r>
        <w:rPr>
          <w:rFonts w:ascii="宋体" w:hAnsi="宋体" w:hint="eastAsia"/>
          <w:sz w:val="24"/>
          <w:szCs w:val="24"/>
        </w:rPr>
        <w:t>1、本基金自</w:t>
      </w:r>
      <w:r w:rsidR="0067025E">
        <w:rPr>
          <w:rFonts w:ascii="宋体" w:hAnsi="宋体" w:hint="eastAsia"/>
          <w:sz w:val="24"/>
          <w:szCs w:val="24"/>
        </w:rPr>
        <w:t>202</w:t>
      </w:r>
      <w:r w:rsidR="0067025E">
        <w:rPr>
          <w:rFonts w:ascii="宋体" w:hAnsi="宋体"/>
          <w:sz w:val="24"/>
          <w:szCs w:val="24"/>
        </w:rPr>
        <w:t>2</w:t>
      </w:r>
      <w:r>
        <w:rPr>
          <w:rFonts w:ascii="宋体" w:hAnsi="宋体" w:hint="eastAsia"/>
          <w:sz w:val="24"/>
          <w:szCs w:val="24"/>
        </w:rPr>
        <w:t>年1月21日起进入清算程序，进入</w:t>
      </w:r>
      <w:r>
        <w:rPr>
          <w:rFonts w:ascii="宋体" w:hAnsi="宋体"/>
          <w:sz w:val="24"/>
          <w:szCs w:val="24"/>
        </w:rPr>
        <w:t>清算程序后，基金管理人</w:t>
      </w:r>
      <w:r>
        <w:rPr>
          <w:rFonts w:ascii="宋体" w:hAnsi="宋体" w:hint="eastAsia"/>
          <w:sz w:val="24"/>
          <w:szCs w:val="24"/>
        </w:rPr>
        <w:t>不再接受投资人提出的申购、定期定额投资及赎回等业务的申请，</w:t>
      </w:r>
      <w:r>
        <w:rPr>
          <w:rFonts w:ascii="宋体" w:hAnsi="宋体"/>
          <w:sz w:val="24"/>
          <w:szCs w:val="24"/>
        </w:rPr>
        <w:t>同</w:t>
      </w:r>
      <w:r>
        <w:rPr>
          <w:rFonts w:ascii="宋体" w:hAnsi="宋体" w:hint="eastAsia"/>
          <w:sz w:val="24"/>
          <w:szCs w:val="24"/>
        </w:rPr>
        <w:t>时停止收取基金管理费、基金托管费和销售服务费。</w:t>
      </w:r>
    </w:p>
    <w:p w:rsidR="00A931EC" w:rsidRDefault="0028458B">
      <w:pPr>
        <w:spacing w:line="360" w:lineRule="auto"/>
        <w:ind w:firstLineChars="200" w:firstLine="480"/>
        <w:rPr>
          <w:rFonts w:ascii="宋体" w:hAnsi="宋体"/>
          <w:sz w:val="24"/>
          <w:szCs w:val="24"/>
        </w:rPr>
      </w:pPr>
      <w:r>
        <w:rPr>
          <w:rFonts w:ascii="宋体" w:hAnsi="宋体" w:hint="eastAsia"/>
          <w:sz w:val="24"/>
          <w:szCs w:val="24"/>
        </w:rPr>
        <w:t>2、基金管理人组织基金财产清算组。基金财产清算组成员</w:t>
      </w:r>
      <w:bookmarkStart w:id="0" w:name="_GoBack"/>
      <w:bookmarkEnd w:id="0"/>
      <w:r>
        <w:rPr>
          <w:rFonts w:ascii="宋体" w:hAnsi="宋体" w:hint="eastAsia"/>
          <w:sz w:val="24"/>
          <w:szCs w:val="24"/>
        </w:rPr>
        <w:t>由基金管理人、基金托管人、符合《中华人民共和国证券法》规定的注册会计师、律师组成。基金财产清算组可以聘用必要的工作人员。基金</w:t>
      </w:r>
      <w:r>
        <w:rPr>
          <w:rFonts w:ascii="宋体" w:hAnsi="宋体" w:cs="宋体" w:hint="eastAsia"/>
          <w:sz w:val="24"/>
          <w:szCs w:val="24"/>
        </w:rPr>
        <w:t>财产清算组负责基金财产的保管、清理、估价、变现和分配。基金财产清算组可以依法进行必要的民事活动。</w:t>
      </w:r>
    </w:p>
    <w:p w:rsidR="00A931EC" w:rsidRDefault="0028458B">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cs="宋体" w:hint="eastAsia"/>
          <w:sz w:val="24"/>
          <w:szCs w:val="24"/>
        </w:rPr>
        <w:t>基金财产清算程序</w:t>
      </w:r>
    </w:p>
    <w:p w:rsidR="00A931EC" w:rsidRDefault="0028458B">
      <w:pPr>
        <w:adjustRightInd w:val="0"/>
        <w:snapToGrid w:val="0"/>
        <w:spacing w:line="360" w:lineRule="auto"/>
        <w:ind w:firstLineChars="200" w:firstLine="480"/>
        <w:rPr>
          <w:rFonts w:ascii="宋体" w:hAnsi="宋体" w:cs="宋体"/>
          <w:sz w:val="24"/>
          <w:szCs w:val="24"/>
        </w:rPr>
      </w:pPr>
      <w:r>
        <w:rPr>
          <w:rFonts w:ascii="宋体" w:hAnsi="宋体" w:cs="宋体" w:hint="eastAsia"/>
          <w:sz w:val="24"/>
          <w:szCs w:val="24"/>
        </w:rPr>
        <w:t>（1）</w:t>
      </w:r>
      <w:r>
        <w:rPr>
          <w:rFonts w:ascii="宋体" w:hAnsi="宋体" w:cs="宋体"/>
          <w:sz w:val="24"/>
          <w:szCs w:val="24"/>
        </w:rPr>
        <w:t>基金合同终止后，发布基金</w:t>
      </w:r>
      <w:r>
        <w:rPr>
          <w:rFonts w:ascii="宋体" w:hAnsi="宋体" w:cs="宋体" w:hint="eastAsia"/>
          <w:sz w:val="24"/>
          <w:szCs w:val="24"/>
        </w:rPr>
        <w:t>财产</w:t>
      </w:r>
      <w:r>
        <w:rPr>
          <w:rFonts w:ascii="宋体" w:hAnsi="宋体" w:cs="宋体"/>
          <w:sz w:val="24"/>
          <w:szCs w:val="24"/>
        </w:rPr>
        <w:t>清算公告；</w:t>
      </w:r>
    </w:p>
    <w:p w:rsidR="00A931EC" w:rsidRDefault="0028458B">
      <w:pPr>
        <w:adjustRightInd w:val="0"/>
        <w:snapToGrid w:val="0"/>
        <w:spacing w:line="360" w:lineRule="auto"/>
        <w:ind w:firstLineChars="200" w:firstLine="480"/>
        <w:rPr>
          <w:rFonts w:ascii="宋体" w:hAnsi="宋体" w:cs="宋体"/>
          <w:sz w:val="24"/>
          <w:szCs w:val="24"/>
        </w:rPr>
      </w:pPr>
      <w:r>
        <w:rPr>
          <w:rFonts w:ascii="宋体" w:hAnsi="宋体" w:cs="宋体" w:hint="eastAsia"/>
          <w:sz w:val="24"/>
          <w:szCs w:val="24"/>
        </w:rPr>
        <w:t>（2）基金合同终止时，由基金财产清算组统一接管基金财产；</w:t>
      </w:r>
    </w:p>
    <w:p w:rsidR="00A931EC" w:rsidRDefault="0028458B">
      <w:pPr>
        <w:adjustRightInd w:val="0"/>
        <w:snapToGrid w:val="0"/>
        <w:spacing w:line="360" w:lineRule="auto"/>
        <w:ind w:firstLineChars="200" w:firstLine="480"/>
        <w:rPr>
          <w:rFonts w:ascii="宋体" w:hAnsi="宋体" w:cs="宋体"/>
          <w:sz w:val="24"/>
          <w:szCs w:val="24"/>
        </w:rPr>
      </w:pPr>
      <w:r>
        <w:rPr>
          <w:rFonts w:ascii="宋体" w:hAnsi="宋体" w:cs="宋体" w:hint="eastAsia"/>
          <w:sz w:val="24"/>
          <w:szCs w:val="24"/>
        </w:rPr>
        <w:t>（3）对基金财产进行清理和确认；</w:t>
      </w:r>
    </w:p>
    <w:p w:rsidR="00A931EC" w:rsidRDefault="0028458B">
      <w:pPr>
        <w:adjustRightInd w:val="0"/>
        <w:snapToGrid w:val="0"/>
        <w:spacing w:line="360" w:lineRule="auto"/>
        <w:ind w:firstLineChars="200" w:firstLine="480"/>
        <w:rPr>
          <w:rFonts w:ascii="宋体" w:hAnsi="宋体" w:cs="宋体"/>
          <w:sz w:val="24"/>
          <w:szCs w:val="24"/>
        </w:rPr>
      </w:pPr>
      <w:r>
        <w:rPr>
          <w:rFonts w:ascii="宋体" w:hAnsi="宋体" w:cs="宋体" w:hint="eastAsia"/>
          <w:sz w:val="24"/>
          <w:szCs w:val="24"/>
        </w:rPr>
        <w:t>（4）对基金财产进行估价和变现；</w:t>
      </w:r>
    </w:p>
    <w:p w:rsidR="00A931EC" w:rsidRDefault="0028458B">
      <w:pPr>
        <w:adjustRightInd w:val="0"/>
        <w:snapToGrid w:val="0"/>
        <w:spacing w:line="360" w:lineRule="auto"/>
        <w:ind w:firstLineChars="200" w:firstLine="480"/>
        <w:rPr>
          <w:rFonts w:ascii="宋体" w:hAnsi="宋体" w:cs="宋体"/>
          <w:sz w:val="24"/>
          <w:szCs w:val="24"/>
        </w:rPr>
      </w:pPr>
      <w:r>
        <w:rPr>
          <w:rFonts w:ascii="宋体" w:hAnsi="宋体" w:cs="宋体" w:hint="eastAsia"/>
          <w:sz w:val="24"/>
          <w:szCs w:val="24"/>
        </w:rPr>
        <w:t>（5）</w:t>
      </w:r>
      <w:r>
        <w:rPr>
          <w:rFonts w:ascii="宋体" w:hAnsi="宋体" w:cs="宋体"/>
          <w:sz w:val="24"/>
          <w:szCs w:val="24"/>
        </w:rPr>
        <w:t>聘请会计师事务所对清算报告进行审计；</w:t>
      </w:r>
    </w:p>
    <w:p w:rsidR="00A931EC" w:rsidRDefault="0028458B">
      <w:pPr>
        <w:adjustRightInd w:val="0"/>
        <w:snapToGrid w:val="0"/>
        <w:spacing w:line="360" w:lineRule="auto"/>
        <w:ind w:firstLineChars="200" w:firstLine="480"/>
        <w:rPr>
          <w:rFonts w:ascii="宋体" w:hAnsi="宋体" w:cs="宋体"/>
          <w:sz w:val="24"/>
          <w:szCs w:val="24"/>
        </w:rPr>
      </w:pPr>
      <w:r>
        <w:rPr>
          <w:rFonts w:ascii="宋体" w:hAnsi="宋体" w:cs="宋体" w:hint="eastAsia"/>
          <w:sz w:val="24"/>
          <w:szCs w:val="24"/>
        </w:rPr>
        <w:t>（6）</w:t>
      </w:r>
      <w:r>
        <w:rPr>
          <w:rFonts w:ascii="宋体" w:hAnsi="宋体" w:cs="宋体"/>
          <w:sz w:val="24"/>
          <w:szCs w:val="24"/>
        </w:rPr>
        <w:t>聘请律师事务所出具法律意见书；</w:t>
      </w:r>
    </w:p>
    <w:p w:rsidR="00A931EC" w:rsidRDefault="0028458B">
      <w:pPr>
        <w:adjustRightInd w:val="0"/>
        <w:snapToGrid w:val="0"/>
        <w:spacing w:line="360" w:lineRule="auto"/>
        <w:ind w:firstLineChars="200" w:firstLine="480"/>
        <w:rPr>
          <w:rFonts w:ascii="宋体" w:hAnsi="宋体" w:cs="宋体"/>
          <w:sz w:val="24"/>
          <w:szCs w:val="24"/>
        </w:rPr>
      </w:pPr>
      <w:r>
        <w:rPr>
          <w:rFonts w:ascii="宋体" w:hAnsi="宋体" w:cs="宋体" w:hint="eastAsia"/>
          <w:sz w:val="24"/>
          <w:szCs w:val="24"/>
        </w:rPr>
        <w:t>（7）将基金财产清算结果报告中国证监会；</w:t>
      </w:r>
    </w:p>
    <w:p w:rsidR="00A931EC" w:rsidRDefault="0028458B">
      <w:pPr>
        <w:adjustRightInd w:val="0"/>
        <w:snapToGrid w:val="0"/>
        <w:spacing w:line="360" w:lineRule="auto"/>
        <w:ind w:firstLineChars="200" w:firstLine="480"/>
        <w:rPr>
          <w:rFonts w:ascii="宋体" w:hAnsi="宋体" w:cs="宋体"/>
          <w:sz w:val="24"/>
          <w:szCs w:val="24"/>
        </w:rPr>
      </w:pPr>
      <w:r>
        <w:rPr>
          <w:rFonts w:ascii="宋体" w:hAnsi="宋体" w:cs="宋体" w:hint="eastAsia"/>
          <w:sz w:val="24"/>
          <w:szCs w:val="24"/>
        </w:rPr>
        <w:t>（8）</w:t>
      </w:r>
      <w:r>
        <w:rPr>
          <w:rFonts w:ascii="宋体" w:hAnsi="宋体" w:cs="宋体"/>
          <w:sz w:val="24"/>
          <w:szCs w:val="24"/>
        </w:rPr>
        <w:t>参加与基金</w:t>
      </w:r>
      <w:r>
        <w:rPr>
          <w:rFonts w:ascii="宋体" w:hAnsi="宋体" w:cs="宋体" w:hint="eastAsia"/>
          <w:sz w:val="24"/>
          <w:szCs w:val="24"/>
        </w:rPr>
        <w:t>财产</w:t>
      </w:r>
      <w:r>
        <w:rPr>
          <w:rFonts w:ascii="宋体" w:hAnsi="宋体" w:cs="宋体"/>
          <w:sz w:val="24"/>
          <w:szCs w:val="24"/>
        </w:rPr>
        <w:t>有关的民事诉讼</w:t>
      </w:r>
      <w:r>
        <w:rPr>
          <w:rFonts w:ascii="宋体" w:hAnsi="宋体" w:cs="宋体" w:hint="eastAsia"/>
          <w:sz w:val="24"/>
          <w:szCs w:val="24"/>
        </w:rPr>
        <w:t>；</w:t>
      </w:r>
    </w:p>
    <w:p w:rsidR="00A931EC" w:rsidRDefault="0028458B">
      <w:pPr>
        <w:adjustRightInd w:val="0"/>
        <w:snapToGrid w:val="0"/>
        <w:spacing w:line="360" w:lineRule="auto"/>
        <w:ind w:firstLineChars="200" w:firstLine="480"/>
        <w:rPr>
          <w:rFonts w:ascii="宋体" w:hAnsi="宋体" w:cs="宋体"/>
          <w:sz w:val="24"/>
          <w:szCs w:val="24"/>
        </w:rPr>
      </w:pPr>
      <w:r>
        <w:rPr>
          <w:rFonts w:ascii="宋体" w:hAnsi="宋体" w:cs="宋体" w:hint="eastAsia"/>
          <w:sz w:val="24"/>
          <w:szCs w:val="24"/>
        </w:rPr>
        <w:t>（9）公布基金财产清算结果；</w:t>
      </w:r>
    </w:p>
    <w:p w:rsidR="00A931EC" w:rsidRDefault="0028458B">
      <w:pPr>
        <w:adjustRightInd w:val="0"/>
        <w:snapToGrid w:val="0"/>
        <w:spacing w:line="360" w:lineRule="auto"/>
        <w:ind w:firstLineChars="200" w:firstLine="480"/>
        <w:rPr>
          <w:rFonts w:ascii="宋体" w:hAnsi="宋体" w:cs="宋体"/>
          <w:sz w:val="24"/>
          <w:szCs w:val="24"/>
        </w:rPr>
      </w:pPr>
      <w:r>
        <w:rPr>
          <w:rFonts w:ascii="宋体" w:hAnsi="宋体" w:cs="宋体" w:hint="eastAsia"/>
          <w:sz w:val="24"/>
          <w:szCs w:val="24"/>
        </w:rPr>
        <w:t>（10）对基金剩余财产进行分配。</w:t>
      </w:r>
    </w:p>
    <w:p w:rsidR="00A931EC" w:rsidRDefault="0028458B">
      <w:pPr>
        <w:adjustRightInd w:val="0"/>
        <w:snapToGrid w:val="0"/>
        <w:spacing w:line="360" w:lineRule="auto"/>
        <w:ind w:firstLineChars="200" w:firstLine="480"/>
        <w:rPr>
          <w:rFonts w:ascii="宋体" w:hAnsi="宋体" w:cs="宋体"/>
          <w:sz w:val="24"/>
          <w:szCs w:val="24"/>
        </w:rPr>
      </w:pPr>
      <w:r>
        <w:rPr>
          <w:rFonts w:ascii="宋体" w:hAnsi="宋体" w:hint="eastAsia"/>
          <w:sz w:val="24"/>
          <w:szCs w:val="24"/>
        </w:rPr>
        <w:t>4、</w:t>
      </w:r>
      <w:r>
        <w:rPr>
          <w:rFonts w:ascii="宋体" w:hAnsi="宋体" w:cs="宋体" w:hint="eastAsia"/>
          <w:sz w:val="24"/>
          <w:szCs w:val="24"/>
        </w:rPr>
        <w:t>清算费用</w:t>
      </w:r>
    </w:p>
    <w:p w:rsidR="00A931EC" w:rsidRDefault="0028458B">
      <w:pPr>
        <w:adjustRightInd w:val="0"/>
        <w:snapToGrid w:val="0"/>
        <w:spacing w:line="360" w:lineRule="auto"/>
        <w:ind w:firstLineChars="200" w:firstLine="480"/>
        <w:rPr>
          <w:rFonts w:ascii="宋体" w:hAnsi="宋体" w:cs="宋体"/>
          <w:sz w:val="24"/>
          <w:szCs w:val="24"/>
        </w:rPr>
      </w:pPr>
      <w:r>
        <w:rPr>
          <w:rFonts w:ascii="宋体" w:hAnsi="宋体" w:cs="宋体" w:hint="eastAsia"/>
          <w:sz w:val="24"/>
          <w:szCs w:val="24"/>
        </w:rPr>
        <w:t>清算费用是指基金财产清算组在进行基金财产清算过程中发生的所有合理费用，</w:t>
      </w:r>
      <w:r w:rsidR="008F0385">
        <w:rPr>
          <w:rFonts w:ascii="宋体" w:hAnsi="宋体" w:cs="宋体" w:hint="eastAsia"/>
          <w:sz w:val="24"/>
          <w:szCs w:val="24"/>
        </w:rPr>
        <w:t>为保护基金份额持有人的利益，</w:t>
      </w:r>
      <w:r w:rsidR="00B86FC6">
        <w:rPr>
          <w:rFonts w:ascii="宋体" w:hAnsi="宋体" w:cs="宋体" w:hint="eastAsia"/>
          <w:sz w:val="24"/>
          <w:szCs w:val="24"/>
        </w:rPr>
        <w:t>本次</w:t>
      </w:r>
      <w:r w:rsidR="008F0385">
        <w:rPr>
          <w:rFonts w:ascii="宋体" w:hAnsi="宋体" w:cs="宋体" w:hint="eastAsia"/>
          <w:sz w:val="24"/>
          <w:szCs w:val="24"/>
        </w:rPr>
        <w:t>清算费用由基金管理人承担。</w:t>
      </w:r>
    </w:p>
    <w:p w:rsidR="00A931EC" w:rsidRDefault="0028458B">
      <w:pPr>
        <w:adjustRightInd w:val="0"/>
        <w:snapToGrid w:val="0"/>
        <w:spacing w:line="360" w:lineRule="auto"/>
        <w:ind w:firstLineChars="200" w:firstLine="480"/>
        <w:rPr>
          <w:rFonts w:ascii="宋体" w:hAnsi="宋体" w:cs="宋体"/>
          <w:sz w:val="24"/>
          <w:szCs w:val="24"/>
        </w:rPr>
      </w:pPr>
      <w:r>
        <w:rPr>
          <w:rFonts w:ascii="宋体" w:hAnsi="宋体" w:cs="宋体" w:hint="eastAsia"/>
          <w:sz w:val="24"/>
          <w:szCs w:val="24"/>
        </w:rPr>
        <w:t>5、基金财产按下列顺序清偿：</w:t>
      </w:r>
    </w:p>
    <w:p w:rsidR="00A931EC" w:rsidRDefault="0028458B">
      <w:pPr>
        <w:adjustRightInd w:val="0"/>
        <w:snapToGrid w:val="0"/>
        <w:spacing w:line="360" w:lineRule="auto"/>
        <w:ind w:firstLineChars="200" w:firstLine="480"/>
        <w:rPr>
          <w:rFonts w:ascii="宋体" w:hAnsi="宋体" w:cs="宋体"/>
          <w:sz w:val="24"/>
          <w:szCs w:val="24"/>
        </w:rPr>
      </w:pPr>
      <w:r>
        <w:rPr>
          <w:rFonts w:ascii="宋体" w:hAnsi="宋体" w:cs="宋体" w:hint="eastAsia"/>
          <w:sz w:val="24"/>
          <w:szCs w:val="24"/>
        </w:rPr>
        <w:t>（1）支付清算费用；</w:t>
      </w:r>
    </w:p>
    <w:p w:rsidR="00A931EC" w:rsidRDefault="0028458B">
      <w:pPr>
        <w:adjustRightInd w:val="0"/>
        <w:snapToGrid w:val="0"/>
        <w:spacing w:line="360" w:lineRule="auto"/>
        <w:ind w:firstLineChars="200" w:firstLine="480"/>
        <w:rPr>
          <w:rFonts w:ascii="宋体" w:hAnsi="宋体" w:cs="宋体"/>
          <w:sz w:val="24"/>
          <w:szCs w:val="24"/>
        </w:rPr>
      </w:pPr>
      <w:r>
        <w:rPr>
          <w:rFonts w:ascii="宋体" w:hAnsi="宋体" w:cs="宋体" w:hint="eastAsia"/>
          <w:sz w:val="24"/>
          <w:szCs w:val="24"/>
        </w:rPr>
        <w:lastRenderedPageBreak/>
        <w:t>（2）交纳所欠税款；</w:t>
      </w:r>
    </w:p>
    <w:p w:rsidR="00A931EC" w:rsidRDefault="0028458B">
      <w:pPr>
        <w:adjustRightInd w:val="0"/>
        <w:snapToGrid w:val="0"/>
        <w:spacing w:line="360" w:lineRule="auto"/>
        <w:ind w:firstLineChars="200" w:firstLine="480"/>
        <w:rPr>
          <w:rFonts w:ascii="宋体" w:hAnsi="宋体" w:cs="宋体"/>
          <w:sz w:val="24"/>
          <w:szCs w:val="24"/>
        </w:rPr>
      </w:pPr>
      <w:r>
        <w:rPr>
          <w:rFonts w:ascii="宋体" w:hAnsi="宋体" w:cs="宋体" w:hint="eastAsia"/>
          <w:sz w:val="24"/>
          <w:szCs w:val="24"/>
        </w:rPr>
        <w:t>（3）清偿基金债务；</w:t>
      </w:r>
    </w:p>
    <w:p w:rsidR="00A931EC" w:rsidRDefault="0028458B">
      <w:pPr>
        <w:adjustRightInd w:val="0"/>
        <w:snapToGrid w:val="0"/>
        <w:spacing w:line="360" w:lineRule="auto"/>
        <w:ind w:firstLineChars="200" w:firstLine="480"/>
        <w:rPr>
          <w:rFonts w:ascii="宋体" w:hAnsi="宋体" w:cs="宋体"/>
          <w:sz w:val="24"/>
          <w:szCs w:val="24"/>
        </w:rPr>
      </w:pPr>
      <w:r>
        <w:rPr>
          <w:rFonts w:ascii="宋体" w:hAnsi="宋体" w:cs="宋体" w:hint="eastAsia"/>
          <w:sz w:val="24"/>
          <w:szCs w:val="24"/>
        </w:rPr>
        <w:t>（4）按基金份额持有人持有的基金份额比例进行分配。</w:t>
      </w:r>
    </w:p>
    <w:p w:rsidR="00A931EC" w:rsidRDefault="0028458B">
      <w:pPr>
        <w:adjustRightInd w:val="0"/>
        <w:snapToGrid w:val="0"/>
        <w:spacing w:line="360" w:lineRule="auto"/>
        <w:ind w:firstLineChars="200" w:firstLine="480"/>
        <w:rPr>
          <w:rFonts w:ascii="宋体" w:hAnsi="宋体" w:cs="宋体"/>
          <w:sz w:val="24"/>
          <w:szCs w:val="24"/>
        </w:rPr>
      </w:pPr>
      <w:r>
        <w:rPr>
          <w:rFonts w:ascii="宋体" w:hAnsi="宋体" w:cs="宋体" w:hint="eastAsia"/>
          <w:sz w:val="24"/>
          <w:szCs w:val="24"/>
        </w:rPr>
        <w:t>基金财产未按前款（1）－（3）项规定清偿前，不分配给基金份额持有人。</w:t>
      </w:r>
    </w:p>
    <w:p w:rsidR="00A931EC" w:rsidRDefault="0028458B">
      <w:pPr>
        <w:adjustRightInd w:val="0"/>
        <w:snapToGrid w:val="0"/>
        <w:spacing w:line="360" w:lineRule="auto"/>
        <w:ind w:firstLineChars="200" w:firstLine="480"/>
        <w:rPr>
          <w:rFonts w:ascii="宋体" w:hAnsi="宋体" w:cs="宋体"/>
          <w:sz w:val="24"/>
          <w:szCs w:val="24"/>
        </w:rPr>
      </w:pPr>
      <w:r>
        <w:rPr>
          <w:rFonts w:ascii="宋体" w:hAnsi="宋体" w:cs="宋体" w:hint="eastAsia"/>
          <w:sz w:val="24"/>
          <w:szCs w:val="24"/>
        </w:rPr>
        <w:t>6、基金财产清算的公告</w:t>
      </w:r>
    </w:p>
    <w:p w:rsidR="00A931EC" w:rsidRDefault="0028458B">
      <w:pPr>
        <w:adjustRightInd w:val="0"/>
        <w:snapToGrid w:val="0"/>
        <w:spacing w:line="360" w:lineRule="auto"/>
        <w:ind w:firstLineChars="200" w:firstLine="480"/>
        <w:rPr>
          <w:rFonts w:ascii="宋体" w:hAnsi="宋体" w:cs="宋体"/>
          <w:sz w:val="24"/>
          <w:szCs w:val="24"/>
        </w:rPr>
      </w:pPr>
      <w:r>
        <w:rPr>
          <w:rFonts w:ascii="宋体" w:hAnsi="宋体" w:cs="宋体" w:hint="eastAsia"/>
          <w:sz w:val="24"/>
          <w:szCs w:val="24"/>
        </w:rPr>
        <w:t>基金财产清算报告经符合《中华人</w:t>
      </w:r>
      <w:r>
        <w:rPr>
          <w:rFonts w:cs="宋体" w:hint="eastAsia"/>
          <w:sz w:val="24"/>
        </w:rPr>
        <w:t>民共和国证券法》规定的会计师事务所审计，律师事务所出</w:t>
      </w:r>
      <w:r>
        <w:rPr>
          <w:rFonts w:ascii="宋体" w:hAnsi="宋体" w:cs="宋体" w:hint="eastAsia"/>
          <w:sz w:val="24"/>
          <w:szCs w:val="24"/>
        </w:rPr>
        <w:t>具法律意见书后，由基金财产清算组报中国证监会备案并公告，基金财产清算组应当将清算报告登载在规定网站上，并将清算报告提示性公告登载在规定报刊上。</w:t>
      </w:r>
    </w:p>
    <w:p w:rsidR="00A931EC" w:rsidRDefault="0028458B">
      <w:pPr>
        <w:adjustRightInd w:val="0"/>
        <w:snapToGrid w:val="0"/>
        <w:spacing w:line="360" w:lineRule="auto"/>
        <w:ind w:firstLineChars="200" w:firstLine="480"/>
        <w:rPr>
          <w:rFonts w:ascii="宋体" w:hAnsi="宋体" w:cs="宋体"/>
          <w:sz w:val="24"/>
          <w:szCs w:val="24"/>
        </w:rPr>
      </w:pPr>
      <w:r>
        <w:rPr>
          <w:rFonts w:ascii="宋体" w:hAnsi="宋体" w:cs="宋体" w:hint="eastAsia"/>
          <w:sz w:val="24"/>
          <w:szCs w:val="24"/>
        </w:rPr>
        <w:t>（二）基金财产清算完毕，清算结果报中国证监会备案并予以公告后，基金合同终止。</w:t>
      </w:r>
    </w:p>
    <w:p w:rsidR="00A931EC" w:rsidRDefault="00A931EC">
      <w:pPr>
        <w:spacing w:line="360" w:lineRule="auto"/>
        <w:ind w:firstLine="420"/>
        <w:rPr>
          <w:rFonts w:asciiTheme="minorEastAsia" w:hAnsiTheme="minorEastAsia"/>
          <w:sz w:val="24"/>
          <w:szCs w:val="24"/>
        </w:rPr>
      </w:pPr>
    </w:p>
    <w:p w:rsidR="00A931EC" w:rsidRDefault="00A931EC">
      <w:pPr>
        <w:spacing w:line="360" w:lineRule="auto"/>
        <w:ind w:firstLine="420"/>
        <w:rPr>
          <w:rFonts w:asciiTheme="minorEastAsia" w:hAnsiTheme="minorEastAsia"/>
          <w:sz w:val="24"/>
          <w:szCs w:val="24"/>
        </w:rPr>
      </w:pPr>
    </w:p>
    <w:p w:rsidR="00A931EC" w:rsidRDefault="0028458B">
      <w:pPr>
        <w:spacing w:line="360" w:lineRule="auto"/>
        <w:ind w:firstLine="420"/>
        <w:rPr>
          <w:rFonts w:asciiTheme="minorEastAsia" w:hAnsiTheme="minorEastAsia"/>
          <w:sz w:val="24"/>
          <w:szCs w:val="24"/>
        </w:rPr>
      </w:pPr>
      <w:r>
        <w:rPr>
          <w:rFonts w:asciiTheme="minorEastAsia" w:hAnsiTheme="minorEastAsia"/>
          <w:sz w:val="24"/>
          <w:szCs w:val="24"/>
        </w:rPr>
        <w:t>投资者可以登陆</w:t>
      </w:r>
      <w:r>
        <w:rPr>
          <w:rFonts w:asciiTheme="minorEastAsia" w:hAnsiTheme="minorEastAsia" w:hint="eastAsia"/>
          <w:sz w:val="24"/>
          <w:szCs w:val="24"/>
        </w:rPr>
        <w:t>基金管理人</w:t>
      </w:r>
      <w:r>
        <w:rPr>
          <w:rFonts w:asciiTheme="minorEastAsia" w:hAnsiTheme="minorEastAsia"/>
          <w:sz w:val="24"/>
          <w:szCs w:val="24"/>
        </w:rPr>
        <w:t>网站（www.</w:t>
      </w:r>
      <w:r>
        <w:rPr>
          <w:rFonts w:asciiTheme="minorEastAsia" w:hAnsiTheme="minorEastAsia" w:hint="eastAsia"/>
          <w:sz w:val="24"/>
          <w:szCs w:val="24"/>
        </w:rPr>
        <w:t>yh</w:t>
      </w:r>
      <w:r>
        <w:rPr>
          <w:rFonts w:asciiTheme="minorEastAsia" w:hAnsiTheme="minorEastAsia"/>
          <w:sz w:val="24"/>
          <w:szCs w:val="24"/>
        </w:rPr>
        <w:t>fund.com</w:t>
      </w:r>
      <w:r>
        <w:rPr>
          <w:rFonts w:asciiTheme="minorEastAsia" w:hAnsiTheme="minorEastAsia" w:hint="eastAsia"/>
          <w:sz w:val="24"/>
          <w:szCs w:val="24"/>
        </w:rPr>
        <w:t>.</w:t>
      </w:r>
      <w:r>
        <w:rPr>
          <w:rFonts w:asciiTheme="minorEastAsia" w:hAnsiTheme="minorEastAsia"/>
          <w:sz w:val="24"/>
          <w:szCs w:val="24"/>
        </w:rPr>
        <w:t>cn）或拨打</w:t>
      </w:r>
      <w:r>
        <w:rPr>
          <w:rFonts w:ascii="宋体" w:hAnsi="宋体" w:hint="eastAsia"/>
          <w:sz w:val="24"/>
          <w:szCs w:val="24"/>
        </w:rPr>
        <w:t>基金管理人客服电话</w:t>
      </w:r>
      <w:r>
        <w:rPr>
          <w:rFonts w:ascii="宋体" w:hAnsi="宋体"/>
          <w:sz w:val="24"/>
          <w:szCs w:val="24"/>
        </w:rPr>
        <w:t>400-678-3333</w:t>
      </w:r>
      <w:r>
        <w:rPr>
          <w:rFonts w:asciiTheme="minorEastAsia" w:hAnsiTheme="minorEastAsia"/>
          <w:sz w:val="24"/>
          <w:szCs w:val="24"/>
        </w:rPr>
        <w:t>咨询相关情况。</w:t>
      </w:r>
    </w:p>
    <w:p w:rsidR="00A931EC" w:rsidRDefault="00A931EC">
      <w:pPr>
        <w:spacing w:line="360" w:lineRule="auto"/>
        <w:ind w:firstLine="420"/>
        <w:rPr>
          <w:rFonts w:asciiTheme="minorEastAsia" w:hAnsiTheme="minorEastAsia"/>
          <w:sz w:val="24"/>
          <w:szCs w:val="24"/>
        </w:rPr>
      </w:pPr>
    </w:p>
    <w:p w:rsidR="00A931EC" w:rsidRDefault="0028458B">
      <w:pPr>
        <w:spacing w:line="360" w:lineRule="auto"/>
        <w:ind w:firstLine="420"/>
        <w:rPr>
          <w:rFonts w:asciiTheme="minorEastAsia" w:hAnsiTheme="minorEastAsia"/>
          <w:sz w:val="24"/>
          <w:szCs w:val="24"/>
        </w:rPr>
      </w:pPr>
      <w:r>
        <w:rPr>
          <w:rFonts w:asciiTheme="minorEastAsia" w:hAnsiTheme="minorEastAsia"/>
          <w:sz w:val="24"/>
          <w:szCs w:val="24"/>
        </w:rPr>
        <w:t>风险提示：</w:t>
      </w:r>
      <w:r>
        <w:rPr>
          <w:rFonts w:asciiTheme="minorEastAsia" w:hAnsiTheme="minorEastAsia" w:hint="eastAsia"/>
          <w:sz w:val="24"/>
          <w:szCs w:val="24"/>
        </w:rPr>
        <w:t>基金管理人</w:t>
      </w:r>
      <w:r>
        <w:rPr>
          <w:rFonts w:asciiTheme="minorEastAsia" w:hAnsiTheme="minorEastAsia"/>
          <w:sz w:val="24"/>
          <w:szCs w:val="24"/>
        </w:rPr>
        <w:t>承诺以诚实信用、勤勉尽责的原则管理和运用基金财产，但不保证基金一定盈利</w:t>
      </w:r>
      <w:r>
        <w:rPr>
          <w:rFonts w:asciiTheme="minorEastAsia" w:hAnsiTheme="minorEastAsia" w:hint="eastAsia"/>
          <w:sz w:val="24"/>
          <w:szCs w:val="24"/>
        </w:rPr>
        <w:t>，</w:t>
      </w:r>
      <w:r>
        <w:rPr>
          <w:rFonts w:asciiTheme="minorEastAsia" w:hAnsiTheme="minorEastAsia"/>
          <w:sz w:val="24"/>
          <w:szCs w:val="24"/>
        </w:rPr>
        <w:t>也不保证最低收益。基金的过往业绩并不预示其未来表现。基金管理人管理的其他基金的业绩并不构成本基金业绩表现的保证。投资者投资于</w:t>
      </w:r>
      <w:r>
        <w:rPr>
          <w:rFonts w:asciiTheme="minorEastAsia" w:hAnsiTheme="minorEastAsia" w:hint="eastAsia"/>
          <w:sz w:val="24"/>
          <w:szCs w:val="24"/>
        </w:rPr>
        <w:t>基金管理人</w:t>
      </w:r>
      <w:r>
        <w:rPr>
          <w:rFonts w:asciiTheme="minorEastAsia" w:hAnsiTheme="minorEastAsia"/>
          <w:sz w:val="24"/>
          <w:szCs w:val="24"/>
        </w:rPr>
        <w:t>管理的基金时应认真阅读基金合同、托管协议、招募说明书</w:t>
      </w:r>
      <w:r>
        <w:rPr>
          <w:rFonts w:asciiTheme="minorEastAsia" w:hAnsiTheme="minorEastAsia" w:hint="eastAsia"/>
          <w:sz w:val="24"/>
          <w:szCs w:val="24"/>
        </w:rPr>
        <w:t>、</w:t>
      </w:r>
      <w:r>
        <w:rPr>
          <w:rFonts w:asciiTheme="minorEastAsia" w:hAnsiTheme="minorEastAsia"/>
          <w:sz w:val="24"/>
          <w:szCs w:val="24"/>
        </w:rPr>
        <w:t>基金产品资料概要等文件及相关公告，如实填写或更新个人信息并核对自身的风险承受能力，选择与自己风险识别能力和风险承受能力相匹配的基金产品。</w:t>
      </w:r>
    </w:p>
    <w:p w:rsidR="00A931EC" w:rsidRDefault="0028458B">
      <w:pPr>
        <w:spacing w:line="360" w:lineRule="auto"/>
        <w:ind w:firstLine="420"/>
        <w:rPr>
          <w:rFonts w:asciiTheme="minorEastAsia" w:hAnsiTheme="minorEastAsia"/>
          <w:sz w:val="24"/>
          <w:szCs w:val="24"/>
        </w:rPr>
      </w:pPr>
      <w:r>
        <w:rPr>
          <w:rFonts w:asciiTheme="minorEastAsia" w:hAnsiTheme="minorEastAsia"/>
          <w:sz w:val="24"/>
          <w:szCs w:val="24"/>
        </w:rPr>
        <w:t>本公告的有关内容在法律法规允许范围内由</w:t>
      </w:r>
      <w:r>
        <w:rPr>
          <w:rFonts w:asciiTheme="minorEastAsia" w:hAnsiTheme="minorEastAsia" w:hint="eastAsia"/>
          <w:sz w:val="24"/>
          <w:szCs w:val="24"/>
        </w:rPr>
        <w:t>基金管理人</w:t>
      </w:r>
      <w:r>
        <w:rPr>
          <w:rFonts w:asciiTheme="minorEastAsia" w:hAnsiTheme="minorEastAsia"/>
          <w:sz w:val="24"/>
          <w:szCs w:val="24"/>
        </w:rPr>
        <w:t>负责解释。</w:t>
      </w:r>
    </w:p>
    <w:p w:rsidR="00A931EC" w:rsidRDefault="0028458B">
      <w:pPr>
        <w:spacing w:line="360" w:lineRule="auto"/>
        <w:ind w:firstLineChars="200" w:firstLine="480"/>
        <w:rPr>
          <w:rFonts w:asciiTheme="minorEastAsia" w:hAnsiTheme="minorEastAsia"/>
          <w:sz w:val="24"/>
          <w:szCs w:val="24"/>
        </w:rPr>
      </w:pPr>
      <w:r>
        <w:rPr>
          <w:rFonts w:asciiTheme="minorEastAsia" w:hAnsiTheme="minorEastAsia"/>
          <w:sz w:val="24"/>
          <w:szCs w:val="24"/>
        </w:rPr>
        <w:t>特此公告。</w:t>
      </w:r>
    </w:p>
    <w:p w:rsidR="00A931EC" w:rsidRDefault="00A931EC">
      <w:pPr>
        <w:spacing w:line="360" w:lineRule="auto"/>
        <w:rPr>
          <w:rFonts w:asciiTheme="minorEastAsia" w:hAnsiTheme="minorEastAsia"/>
          <w:sz w:val="24"/>
          <w:szCs w:val="24"/>
        </w:rPr>
      </w:pPr>
    </w:p>
    <w:p w:rsidR="00A931EC" w:rsidRDefault="00A931EC">
      <w:pPr>
        <w:spacing w:line="360" w:lineRule="auto"/>
        <w:ind w:firstLineChars="200" w:firstLine="480"/>
        <w:rPr>
          <w:rFonts w:asciiTheme="minorEastAsia" w:hAnsiTheme="minorEastAsia"/>
          <w:sz w:val="24"/>
          <w:szCs w:val="24"/>
        </w:rPr>
      </w:pPr>
    </w:p>
    <w:p w:rsidR="00A931EC" w:rsidRDefault="0028458B">
      <w:pPr>
        <w:spacing w:line="360" w:lineRule="auto"/>
        <w:jc w:val="right"/>
        <w:rPr>
          <w:rFonts w:asciiTheme="minorEastAsia" w:hAnsiTheme="minorEastAsia"/>
          <w:sz w:val="24"/>
          <w:szCs w:val="24"/>
        </w:rPr>
      </w:pPr>
      <w:r>
        <w:rPr>
          <w:rFonts w:asciiTheme="minorEastAsia" w:hAnsiTheme="minorEastAsia" w:hint="eastAsia"/>
          <w:sz w:val="24"/>
          <w:szCs w:val="24"/>
        </w:rPr>
        <w:t>银华基金管理股份有限公司</w:t>
      </w:r>
    </w:p>
    <w:p w:rsidR="00A931EC" w:rsidRDefault="0028458B">
      <w:pPr>
        <w:spacing w:line="360" w:lineRule="auto"/>
        <w:jc w:val="right"/>
        <w:rPr>
          <w:rFonts w:asciiTheme="minorEastAsia" w:hAnsiTheme="minorEastAsia"/>
          <w:sz w:val="24"/>
          <w:szCs w:val="24"/>
        </w:rPr>
      </w:pPr>
      <w:r>
        <w:rPr>
          <w:rFonts w:asciiTheme="minorEastAsia" w:hAnsiTheme="minorEastAsia" w:hint="eastAsia"/>
          <w:sz w:val="24"/>
          <w:szCs w:val="24"/>
        </w:rPr>
        <w:t>20</w:t>
      </w:r>
      <w:r>
        <w:rPr>
          <w:rFonts w:asciiTheme="minorEastAsia" w:hAnsiTheme="minorEastAsia"/>
          <w:sz w:val="24"/>
          <w:szCs w:val="24"/>
        </w:rPr>
        <w:t>22</w:t>
      </w:r>
      <w:r>
        <w:rPr>
          <w:rFonts w:asciiTheme="minorEastAsia" w:hAnsiTheme="minorEastAsia" w:hint="eastAsia"/>
          <w:sz w:val="24"/>
          <w:szCs w:val="24"/>
        </w:rPr>
        <w:t>年</w:t>
      </w:r>
      <w:r>
        <w:rPr>
          <w:rFonts w:asciiTheme="minorEastAsia" w:hAnsiTheme="minorEastAsia"/>
          <w:sz w:val="24"/>
          <w:szCs w:val="24"/>
        </w:rPr>
        <w:t>1</w:t>
      </w:r>
      <w:r>
        <w:rPr>
          <w:rFonts w:asciiTheme="minorEastAsia" w:hAnsiTheme="minorEastAsia" w:hint="eastAsia"/>
          <w:sz w:val="24"/>
          <w:szCs w:val="24"/>
        </w:rPr>
        <w:t>月</w:t>
      </w:r>
      <w:r w:rsidR="00461FDB">
        <w:rPr>
          <w:rFonts w:asciiTheme="minorEastAsia" w:hAnsiTheme="minorEastAsia"/>
          <w:sz w:val="24"/>
          <w:szCs w:val="24"/>
        </w:rPr>
        <w:t>18</w:t>
      </w:r>
      <w:r>
        <w:rPr>
          <w:rFonts w:asciiTheme="minorEastAsia" w:hAnsiTheme="minorEastAsia" w:hint="eastAsia"/>
          <w:sz w:val="24"/>
          <w:szCs w:val="24"/>
        </w:rPr>
        <w:t>日</w:t>
      </w:r>
    </w:p>
    <w:sectPr w:rsidR="00A931EC" w:rsidSect="00C1678C">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2B2F" w:rsidRDefault="00452B2F">
      <w:r>
        <w:separator/>
      </w:r>
    </w:p>
  </w:endnote>
  <w:endnote w:type="continuationSeparator" w:id="0">
    <w:p w:rsidR="00452B2F" w:rsidRDefault="00452B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31EC" w:rsidRDefault="00C1678C">
    <w:pPr>
      <w:pStyle w:val="a4"/>
    </w:pPr>
    <w:r>
      <w:rPr>
        <w:noProof/>
      </w:rPr>
      <w:pict>
        <v:shapetype id="_x0000_t202" coordsize="21600,21600" o:spt="202" path="m,l,21600r21600,l21600,xe">
          <v:stroke joinstyle="miter"/>
          <v:path gradientshapeok="t" o:connecttype="rect"/>
        </v:shapetype>
        <v:shape id="文本框 1" o:spid="_x0000_s4097"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A931EC" w:rsidRDefault="00C1678C">
                <w:pPr>
                  <w:pStyle w:val="a4"/>
                </w:pPr>
                <w:r>
                  <w:rPr>
                    <w:rFonts w:hint="eastAsia"/>
                  </w:rPr>
                  <w:fldChar w:fldCharType="begin"/>
                </w:r>
                <w:r w:rsidR="0028458B">
                  <w:rPr>
                    <w:rFonts w:hint="eastAsia"/>
                  </w:rPr>
                  <w:instrText xml:space="preserve"> PAGE  \* MERGEFORMAT </w:instrText>
                </w:r>
                <w:r>
                  <w:rPr>
                    <w:rFonts w:hint="eastAsia"/>
                  </w:rPr>
                  <w:fldChar w:fldCharType="separate"/>
                </w:r>
                <w:r w:rsidR="00D5656B">
                  <w:rPr>
                    <w:noProof/>
                  </w:rPr>
                  <w:t>1</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2B2F" w:rsidRDefault="00452B2F">
      <w:r>
        <w:separator/>
      </w:r>
    </w:p>
  </w:footnote>
  <w:footnote w:type="continuationSeparator" w:id="0">
    <w:p w:rsidR="00452B2F" w:rsidRDefault="00452B2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AD4798"/>
    <w:multiLevelType w:val="multilevel"/>
    <w:tmpl w:val="2BAD4798"/>
    <w:lvl w:ilvl="0">
      <w:start w:val="1"/>
      <w:numFmt w:val="japaneseCounting"/>
      <w:lvlText w:val="%1、"/>
      <w:lvlJc w:val="left"/>
      <w:pPr>
        <w:ind w:left="905" w:hanging="480"/>
      </w:pPr>
      <w:rPr>
        <w:rFonts w:hint="default"/>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9"/>
    <o:shapelayout v:ext="edit">
      <o:idmap v:ext="edit" data="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C4358"/>
    <w:rsid w:val="00023BBB"/>
    <w:rsid w:val="00027B9E"/>
    <w:rsid w:val="00037606"/>
    <w:rsid w:val="00040F7F"/>
    <w:rsid w:val="000418CD"/>
    <w:rsid w:val="00064A0F"/>
    <w:rsid w:val="00073C73"/>
    <w:rsid w:val="000B1F19"/>
    <w:rsid w:val="000B5778"/>
    <w:rsid w:val="000E2A9C"/>
    <w:rsid w:val="000E5520"/>
    <w:rsid w:val="000E74B1"/>
    <w:rsid w:val="000F4643"/>
    <w:rsid w:val="000F6FB8"/>
    <w:rsid w:val="0011112F"/>
    <w:rsid w:val="00114962"/>
    <w:rsid w:val="00135A54"/>
    <w:rsid w:val="00141EE9"/>
    <w:rsid w:val="00170AC9"/>
    <w:rsid w:val="00172046"/>
    <w:rsid w:val="00182618"/>
    <w:rsid w:val="001B237D"/>
    <w:rsid w:val="001B3876"/>
    <w:rsid w:val="001C4042"/>
    <w:rsid w:val="001F18EE"/>
    <w:rsid w:val="001F5B92"/>
    <w:rsid w:val="00212D4F"/>
    <w:rsid w:val="00213FB1"/>
    <w:rsid w:val="00250DEF"/>
    <w:rsid w:val="00261562"/>
    <w:rsid w:val="002719A3"/>
    <w:rsid w:val="0028458B"/>
    <w:rsid w:val="002A63FC"/>
    <w:rsid w:val="002B3095"/>
    <w:rsid w:val="002C640D"/>
    <w:rsid w:val="002D7ADA"/>
    <w:rsid w:val="002F7F7B"/>
    <w:rsid w:val="00301616"/>
    <w:rsid w:val="00376A9D"/>
    <w:rsid w:val="00380B10"/>
    <w:rsid w:val="003B3C97"/>
    <w:rsid w:val="003B6756"/>
    <w:rsid w:val="003C4E6D"/>
    <w:rsid w:val="003C7CEF"/>
    <w:rsid w:val="003F672B"/>
    <w:rsid w:val="00445359"/>
    <w:rsid w:val="00452B2F"/>
    <w:rsid w:val="00456195"/>
    <w:rsid w:val="00461FDB"/>
    <w:rsid w:val="00481339"/>
    <w:rsid w:val="004B5EF3"/>
    <w:rsid w:val="004D1D4D"/>
    <w:rsid w:val="004D4E38"/>
    <w:rsid w:val="004E3A19"/>
    <w:rsid w:val="004F4641"/>
    <w:rsid w:val="004F548F"/>
    <w:rsid w:val="00515462"/>
    <w:rsid w:val="00526A22"/>
    <w:rsid w:val="005327EE"/>
    <w:rsid w:val="00555C00"/>
    <w:rsid w:val="00555EA8"/>
    <w:rsid w:val="005B56F1"/>
    <w:rsid w:val="005C017E"/>
    <w:rsid w:val="005D30F9"/>
    <w:rsid w:val="005F02C6"/>
    <w:rsid w:val="005F0B5A"/>
    <w:rsid w:val="005F7E90"/>
    <w:rsid w:val="005F7F46"/>
    <w:rsid w:val="00615655"/>
    <w:rsid w:val="006159B7"/>
    <w:rsid w:val="00625F8F"/>
    <w:rsid w:val="0062603B"/>
    <w:rsid w:val="00661B03"/>
    <w:rsid w:val="00665C0E"/>
    <w:rsid w:val="00670173"/>
    <w:rsid w:val="0067025E"/>
    <w:rsid w:val="00675D35"/>
    <w:rsid w:val="00697014"/>
    <w:rsid w:val="006B1801"/>
    <w:rsid w:val="006C132A"/>
    <w:rsid w:val="006C5E53"/>
    <w:rsid w:val="006D57E7"/>
    <w:rsid w:val="006D7969"/>
    <w:rsid w:val="006E1624"/>
    <w:rsid w:val="006F2A31"/>
    <w:rsid w:val="00703CF8"/>
    <w:rsid w:val="00747514"/>
    <w:rsid w:val="007639E2"/>
    <w:rsid w:val="00796460"/>
    <w:rsid w:val="007B1C41"/>
    <w:rsid w:val="007C1427"/>
    <w:rsid w:val="007D37CE"/>
    <w:rsid w:val="007D6549"/>
    <w:rsid w:val="008039B8"/>
    <w:rsid w:val="00817034"/>
    <w:rsid w:val="00826E3D"/>
    <w:rsid w:val="00837323"/>
    <w:rsid w:val="00870285"/>
    <w:rsid w:val="008A33E6"/>
    <w:rsid w:val="008C075A"/>
    <w:rsid w:val="008C7AC0"/>
    <w:rsid w:val="008E539D"/>
    <w:rsid w:val="008F0385"/>
    <w:rsid w:val="00910E67"/>
    <w:rsid w:val="00921D77"/>
    <w:rsid w:val="00950D04"/>
    <w:rsid w:val="00952799"/>
    <w:rsid w:val="00981472"/>
    <w:rsid w:val="009863C5"/>
    <w:rsid w:val="009B46D9"/>
    <w:rsid w:val="00A06EBB"/>
    <w:rsid w:val="00A12187"/>
    <w:rsid w:val="00A12C05"/>
    <w:rsid w:val="00A27465"/>
    <w:rsid w:val="00A34C10"/>
    <w:rsid w:val="00A410E3"/>
    <w:rsid w:val="00A70303"/>
    <w:rsid w:val="00A70BC7"/>
    <w:rsid w:val="00A853A2"/>
    <w:rsid w:val="00A87385"/>
    <w:rsid w:val="00A90ACC"/>
    <w:rsid w:val="00A931EC"/>
    <w:rsid w:val="00AC79B7"/>
    <w:rsid w:val="00AF3A24"/>
    <w:rsid w:val="00B12DC7"/>
    <w:rsid w:val="00B23B75"/>
    <w:rsid w:val="00B37FCD"/>
    <w:rsid w:val="00B45CE2"/>
    <w:rsid w:val="00B4625F"/>
    <w:rsid w:val="00B66537"/>
    <w:rsid w:val="00B86FC6"/>
    <w:rsid w:val="00BA4DC8"/>
    <w:rsid w:val="00BC4358"/>
    <w:rsid w:val="00BD67EC"/>
    <w:rsid w:val="00BD7514"/>
    <w:rsid w:val="00BF47D9"/>
    <w:rsid w:val="00C1678C"/>
    <w:rsid w:val="00C3434D"/>
    <w:rsid w:val="00C4343C"/>
    <w:rsid w:val="00C72616"/>
    <w:rsid w:val="00C80700"/>
    <w:rsid w:val="00C94E2D"/>
    <w:rsid w:val="00CA20AC"/>
    <w:rsid w:val="00CC5465"/>
    <w:rsid w:val="00D23077"/>
    <w:rsid w:val="00D4183C"/>
    <w:rsid w:val="00D516A3"/>
    <w:rsid w:val="00D52FC6"/>
    <w:rsid w:val="00D5656B"/>
    <w:rsid w:val="00D709F4"/>
    <w:rsid w:val="00DD25DA"/>
    <w:rsid w:val="00DE33A3"/>
    <w:rsid w:val="00DE5C72"/>
    <w:rsid w:val="00DF269C"/>
    <w:rsid w:val="00DF74B5"/>
    <w:rsid w:val="00E143EA"/>
    <w:rsid w:val="00E2600C"/>
    <w:rsid w:val="00E85241"/>
    <w:rsid w:val="00E94883"/>
    <w:rsid w:val="00EB5415"/>
    <w:rsid w:val="00EE4D52"/>
    <w:rsid w:val="00EF3A2C"/>
    <w:rsid w:val="00EF7228"/>
    <w:rsid w:val="00F0242F"/>
    <w:rsid w:val="00F027FD"/>
    <w:rsid w:val="00F07F59"/>
    <w:rsid w:val="00F20EFE"/>
    <w:rsid w:val="00F32332"/>
    <w:rsid w:val="00F50142"/>
    <w:rsid w:val="00F604A2"/>
    <w:rsid w:val="00F70053"/>
    <w:rsid w:val="00FB7B0C"/>
    <w:rsid w:val="00FB7BB7"/>
    <w:rsid w:val="00FF2D42"/>
    <w:rsid w:val="0D61164E"/>
    <w:rsid w:val="2E193783"/>
    <w:rsid w:val="438D0528"/>
    <w:rsid w:val="45E76536"/>
    <w:rsid w:val="48C74C49"/>
    <w:rsid w:val="5A2307C9"/>
    <w:rsid w:val="64076134"/>
    <w:rsid w:val="6B461276"/>
    <w:rsid w:val="765C1CC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semiHidden="0" w:uiPriority="0" w:unhideWhenUsed="0"/>
    <w:lsdException w:name="Hyperlink" w:semiHidden="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678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rsid w:val="00C1678C"/>
    <w:pPr>
      <w:snapToGrid w:val="0"/>
      <w:spacing w:line="360" w:lineRule="auto"/>
      <w:ind w:firstLine="420"/>
    </w:pPr>
    <w:rPr>
      <w:rFonts w:ascii="Times New Roman" w:eastAsia="宋体" w:hAnsi="Times New Roman" w:cs="Times New Roman"/>
      <w:sz w:val="28"/>
      <w:szCs w:val="20"/>
    </w:rPr>
  </w:style>
  <w:style w:type="paragraph" w:styleId="2">
    <w:name w:val="Body Text Indent 2"/>
    <w:basedOn w:val="a"/>
    <w:link w:val="2Char"/>
    <w:rsid w:val="00C1678C"/>
    <w:pPr>
      <w:spacing w:line="360" w:lineRule="auto"/>
      <w:ind w:firstLineChars="200" w:firstLine="420"/>
    </w:pPr>
    <w:rPr>
      <w:rFonts w:ascii="宋体" w:eastAsia="宋体" w:hAnsi="宋体" w:cs="Times New Roman"/>
      <w:szCs w:val="20"/>
    </w:rPr>
  </w:style>
  <w:style w:type="paragraph" w:styleId="a4">
    <w:name w:val="footer"/>
    <w:basedOn w:val="a"/>
    <w:link w:val="Char"/>
    <w:uiPriority w:val="99"/>
    <w:unhideWhenUsed/>
    <w:rsid w:val="00C1678C"/>
    <w:pPr>
      <w:tabs>
        <w:tab w:val="center" w:pos="4153"/>
        <w:tab w:val="right" w:pos="8306"/>
      </w:tabs>
      <w:snapToGrid w:val="0"/>
      <w:jc w:val="left"/>
    </w:pPr>
    <w:rPr>
      <w:sz w:val="18"/>
      <w:szCs w:val="18"/>
    </w:rPr>
  </w:style>
  <w:style w:type="paragraph" w:styleId="a5">
    <w:name w:val="header"/>
    <w:basedOn w:val="a"/>
    <w:link w:val="Char0"/>
    <w:uiPriority w:val="99"/>
    <w:unhideWhenUsed/>
    <w:rsid w:val="00C1678C"/>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unhideWhenUsed/>
    <w:rsid w:val="00C1678C"/>
    <w:rPr>
      <w:color w:val="0000FF" w:themeColor="hyperlink"/>
      <w:u w:val="single"/>
    </w:rPr>
  </w:style>
  <w:style w:type="character" w:customStyle="1" w:styleId="Char0">
    <w:name w:val="页眉 Char"/>
    <w:basedOn w:val="a0"/>
    <w:link w:val="a5"/>
    <w:uiPriority w:val="99"/>
    <w:rsid w:val="00C1678C"/>
    <w:rPr>
      <w:sz w:val="18"/>
      <w:szCs w:val="18"/>
    </w:rPr>
  </w:style>
  <w:style w:type="character" w:customStyle="1" w:styleId="Char">
    <w:name w:val="页脚 Char"/>
    <w:basedOn w:val="a0"/>
    <w:link w:val="a4"/>
    <w:uiPriority w:val="99"/>
    <w:qFormat/>
    <w:rsid w:val="00C1678C"/>
    <w:rPr>
      <w:sz w:val="18"/>
      <w:szCs w:val="18"/>
    </w:rPr>
  </w:style>
  <w:style w:type="paragraph" w:styleId="a7">
    <w:name w:val="List Paragraph"/>
    <w:basedOn w:val="a"/>
    <w:uiPriority w:val="34"/>
    <w:qFormat/>
    <w:rsid w:val="00C1678C"/>
    <w:pPr>
      <w:ind w:firstLineChars="200" w:firstLine="420"/>
    </w:pPr>
  </w:style>
  <w:style w:type="character" w:customStyle="1" w:styleId="2Char">
    <w:name w:val="正文文本缩进 2 Char"/>
    <w:basedOn w:val="a0"/>
    <w:link w:val="2"/>
    <w:rsid w:val="00C1678C"/>
    <w:rPr>
      <w:rFonts w:ascii="宋体" w:eastAsia="宋体" w:hAnsi="宋体" w:cs="Times New Roman"/>
      <w:szCs w:val="20"/>
    </w:rPr>
  </w:style>
  <w:style w:type="paragraph" w:customStyle="1" w:styleId="080318">
    <w:name w:val="产品方案正文080318"/>
    <w:basedOn w:val="a"/>
    <w:rsid w:val="00C1678C"/>
    <w:pPr>
      <w:autoSpaceDE w:val="0"/>
      <w:autoSpaceDN w:val="0"/>
      <w:adjustRightInd w:val="0"/>
      <w:snapToGrid w:val="0"/>
      <w:spacing w:line="360" w:lineRule="auto"/>
      <w:ind w:firstLineChars="200" w:firstLine="200"/>
    </w:pPr>
    <w:rPr>
      <w:rFonts w:ascii="宋体" w:eastAsia="宋体" w:hAnsi="Times New Roman" w:cs="宋体"/>
      <w:szCs w:val="20"/>
      <w:lang w:val="zh-CN"/>
    </w:rPr>
  </w:style>
  <w:style w:type="character" w:customStyle="1" w:styleId="UnresolvedMention">
    <w:name w:val="Unresolved Mention"/>
    <w:basedOn w:val="a0"/>
    <w:uiPriority w:val="99"/>
    <w:semiHidden/>
    <w:unhideWhenUsed/>
    <w:rsid w:val="00C1678C"/>
    <w:rPr>
      <w:color w:val="605E5C"/>
      <w:shd w:val="clear" w:color="auto" w:fill="E1DFDD"/>
    </w:rPr>
  </w:style>
  <w:style w:type="character" w:customStyle="1" w:styleId="da">
    <w:name w:val="da"/>
    <w:basedOn w:val="a0"/>
    <w:qFormat/>
    <w:rsid w:val="00C1678C"/>
  </w:style>
  <w:style w:type="character" w:styleId="a8">
    <w:name w:val="annotation reference"/>
    <w:basedOn w:val="a0"/>
    <w:uiPriority w:val="99"/>
    <w:semiHidden/>
    <w:unhideWhenUsed/>
    <w:rsid w:val="00515462"/>
    <w:rPr>
      <w:sz w:val="21"/>
      <w:szCs w:val="21"/>
    </w:rPr>
  </w:style>
  <w:style w:type="paragraph" w:styleId="a9">
    <w:name w:val="annotation text"/>
    <w:basedOn w:val="a"/>
    <w:link w:val="Char1"/>
    <w:uiPriority w:val="99"/>
    <w:semiHidden/>
    <w:unhideWhenUsed/>
    <w:rsid w:val="00515462"/>
    <w:pPr>
      <w:jc w:val="left"/>
    </w:pPr>
  </w:style>
  <w:style w:type="character" w:customStyle="1" w:styleId="Char1">
    <w:name w:val="批注文字 Char"/>
    <w:basedOn w:val="a0"/>
    <w:link w:val="a9"/>
    <w:uiPriority w:val="99"/>
    <w:semiHidden/>
    <w:rsid w:val="00515462"/>
    <w:rPr>
      <w:kern w:val="2"/>
      <w:sz w:val="21"/>
      <w:szCs w:val="22"/>
    </w:rPr>
  </w:style>
  <w:style w:type="paragraph" w:styleId="aa">
    <w:name w:val="annotation subject"/>
    <w:basedOn w:val="a9"/>
    <w:next w:val="a9"/>
    <w:link w:val="Char2"/>
    <w:uiPriority w:val="99"/>
    <w:semiHidden/>
    <w:unhideWhenUsed/>
    <w:rsid w:val="00515462"/>
    <w:rPr>
      <w:b/>
      <w:bCs/>
    </w:rPr>
  </w:style>
  <w:style w:type="character" w:customStyle="1" w:styleId="Char2">
    <w:name w:val="批注主题 Char"/>
    <w:basedOn w:val="Char1"/>
    <w:link w:val="aa"/>
    <w:uiPriority w:val="99"/>
    <w:semiHidden/>
    <w:rsid w:val="00515462"/>
    <w:rPr>
      <w:b/>
      <w:bCs/>
      <w:kern w:val="2"/>
      <w:sz w:val="21"/>
      <w:szCs w:val="22"/>
    </w:rPr>
  </w:style>
  <w:style w:type="paragraph" w:styleId="ab">
    <w:name w:val="Balloon Text"/>
    <w:basedOn w:val="a"/>
    <w:link w:val="Char3"/>
    <w:uiPriority w:val="99"/>
    <w:semiHidden/>
    <w:unhideWhenUsed/>
    <w:rsid w:val="00515462"/>
    <w:rPr>
      <w:sz w:val="18"/>
      <w:szCs w:val="18"/>
    </w:rPr>
  </w:style>
  <w:style w:type="character" w:customStyle="1" w:styleId="Char3">
    <w:name w:val="批注框文本 Char"/>
    <w:basedOn w:val="a0"/>
    <w:link w:val="ab"/>
    <w:uiPriority w:val="99"/>
    <w:semiHidden/>
    <w:rsid w:val="00515462"/>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CEA237-9DD2-463B-9843-A76E7055E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307</Words>
  <Characters>1752</Characters>
  <Application>Microsoft Office Word</Application>
  <DocSecurity>4</DocSecurity>
  <Lines>14</Lines>
  <Paragraphs>4</Paragraphs>
  <ScaleCrop>false</ScaleCrop>
  <Company>Microsoft</Company>
  <LinksUpToDate>false</LinksUpToDate>
  <CharactersWithSpaces>2055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李欣轩</dc:creator>
  <cp:lastModifiedBy>ZHONGM</cp:lastModifiedBy>
  <cp:revision>2</cp:revision>
  <cp:lastPrinted>2017-07-11T06:06:00Z</cp:lastPrinted>
  <dcterms:created xsi:type="dcterms:W3CDTF">2022-01-17T16:02:00Z</dcterms:created>
  <dcterms:modified xsi:type="dcterms:W3CDTF">2022-01-17T16:02:00Z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