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923CE3" w:rsidRPr="00C62255" w:rsidRDefault="00330A82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bookmarkStart w:id="0" w:name="t_3_0_table"/>
      <w:bookmarkStart w:id="1" w:name="t_3_0_0002_a2_fm1"/>
      <w:bookmarkStart w:id="2" w:name="_Hlk31199089"/>
      <w:bookmarkEnd w:id="0"/>
      <w:bookmarkEnd w:id="1"/>
      <w:r w:rsidRPr="00C62255">
        <w:rPr>
          <w:rFonts w:ascii="Times New Roman" w:eastAsia="楷体_GB2312" w:hAnsi="Times New Roman"/>
          <w:b/>
          <w:sz w:val="32"/>
          <w:szCs w:val="32"/>
        </w:rPr>
        <w:t>关于</w:t>
      </w:r>
      <w:r w:rsidR="001B6800" w:rsidRPr="001B6800">
        <w:rPr>
          <w:rFonts w:ascii="Times New Roman" w:eastAsia="楷体_GB2312" w:hAnsi="Times New Roman" w:hint="eastAsia"/>
          <w:b/>
          <w:sz w:val="32"/>
          <w:szCs w:val="32"/>
        </w:rPr>
        <w:t>中金</w:t>
      </w:r>
      <w:r w:rsidR="001B6800" w:rsidRPr="001B6800">
        <w:rPr>
          <w:rFonts w:ascii="Times New Roman" w:eastAsia="楷体_GB2312" w:hAnsi="Times New Roman" w:hint="eastAsia"/>
          <w:b/>
          <w:sz w:val="32"/>
          <w:szCs w:val="32"/>
        </w:rPr>
        <w:t>MSCI</w:t>
      </w:r>
      <w:r w:rsidR="001B6800" w:rsidRPr="001B6800">
        <w:rPr>
          <w:rFonts w:ascii="Times New Roman" w:eastAsia="楷体_GB2312" w:hAnsi="Times New Roman" w:hint="eastAsia"/>
          <w:b/>
          <w:sz w:val="32"/>
          <w:szCs w:val="32"/>
        </w:rPr>
        <w:t>中国</w:t>
      </w:r>
      <w:r w:rsidR="001B6800" w:rsidRPr="001B6800">
        <w:rPr>
          <w:rFonts w:ascii="Times New Roman" w:eastAsia="楷体_GB2312" w:hAnsi="Times New Roman" w:hint="eastAsia"/>
          <w:b/>
          <w:sz w:val="32"/>
          <w:szCs w:val="32"/>
        </w:rPr>
        <w:t>A</w:t>
      </w:r>
      <w:r w:rsidR="001B6800" w:rsidRPr="001B6800">
        <w:rPr>
          <w:rFonts w:ascii="Times New Roman" w:eastAsia="楷体_GB2312" w:hAnsi="Times New Roman" w:hint="eastAsia"/>
          <w:b/>
          <w:sz w:val="32"/>
          <w:szCs w:val="32"/>
        </w:rPr>
        <w:t>股国际</w:t>
      </w:r>
      <w:r w:rsidR="00046EF8">
        <w:rPr>
          <w:rFonts w:ascii="Times New Roman" w:eastAsia="楷体_GB2312" w:hAnsi="Times New Roman" w:hint="eastAsia"/>
          <w:b/>
          <w:sz w:val="32"/>
          <w:szCs w:val="32"/>
        </w:rPr>
        <w:t>价值</w:t>
      </w:r>
      <w:r w:rsidR="001B6800" w:rsidRPr="001B6800">
        <w:rPr>
          <w:rFonts w:ascii="Times New Roman" w:eastAsia="楷体_GB2312" w:hAnsi="Times New Roman" w:hint="eastAsia"/>
          <w:b/>
          <w:sz w:val="32"/>
          <w:szCs w:val="32"/>
        </w:rPr>
        <w:t>指数发起式证券投资基金</w:t>
      </w:r>
    </w:p>
    <w:p w:rsidR="00D31973" w:rsidRPr="00C62255" w:rsidRDefault="006B6925">
      <w:pPr>
        <w:jc w:val="center"/>
        <w:rPr>
          <w:rFonts w:ascii="Times New Roman" w:eastAsia="楷体_GB2312" w:hAnsi="Times New Roman"/>
          <w:b/>
          <w:sz w:val="32"/>
          <w:szCs w:val="32"/>
        </w:rPr>
      </w:pPr>
      <w:r w:rsidRPr="006B6925">
        <w:rPr>
          <w:rFonts w:ascii="Times New Roman" w:eastAsia="楷体_GB2312" w:hAnsi="Times New Roman" w:hint="eastAsia"/>
          <w:b/>
          <w:sz w:val="32"/>
          <w:szCs w:val="32"/>
        </w:rPr>
        <w:t>暂停申购、转换转入、定期定额投资业务</w:t>
      </w:r>
      <w:r w:rsidR="00330A82" w:rsidRPr="00C62255">
        <w:rPr>
          <w:rFonts w:ascii="Times New Roman" w:eastAsia="楷体_GB2312" w:hAnsi="Times New Roman"/>
          <w:b/>
          <w:sz w:val="32"/>
          <w:szCs w:val="32"/>
        </w:rPr>
        <w:t>的公告</w:t>
      </w:r>
    </w:p>
    <w:bookmarkEnd w:id="2"/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D31973" w:rsidRPr="00C62255" w:rsidRDefault="00D31973" w:rsidP="00923CE3">
      <w:pPr>
        <w:ind w:left="2100" w:firstLine="420"/>
        <w:rPr>
          <w:rFonts w:ascii="Times New Roman" w:eastAsia="楷体_GB2312" w:hAnsi="Times New Roman"/>
          <w:b/>
          <w:sz w:val="28"/>
          <w:szCs w:val="28"/>
        </w:rPr>
      </w:pPr>
      <w:r w:rsidRPr="00C62255">
        <w:rPr>
          <w:rFonts w:ascii="Times New Roman" w:eastAsia="楷体_GB2312" w:hAnsi="Times New Roman"/>
          <w:b/>
          <w:sz w:val="28"/>
          <w:szCs w:val="28"/>
        </w:rPr>
        <w:t>公告送出日期：</w:t>
      </w:r>
      <w:bookmarkStart w:id="3" w:name="t_3_0_0003_a1_fm1"/>
      <w:bookmarkEnd w:id="3"/>
      <w:r w:rsidR="005A6980" w:rsidRPr="00C62255">
        <w:rPr>
          <w:rFonts w:ascii="Times New Roman" w:eastAsia="楷体_GB2312" w:hAnsi="Times New Roman"/>
          <w:b/>
          <w:sz w:val="28"/>
          <w:szCs w:val="28"/>
        </w:rPr>
        <w:t>20</w:t>
      </w:r>
      <w:r w:rsidR="00E018FB" w:rsidRPr="00C62255">
        <w:rPr>
          <w:rFonts w:ascii="Times New Roman" w:eastAsia="楷体_GB2312" w:hAnsi="Times New Roman"/>
          <w:b/>
          <w:sz w:val="28"/>
          <w:szCs w:val="28"/>
        </w:rPr>
        <w:t>2</w:t>
      </w:r>
      <w:r w:rsidR="00046EF8">
        <w:rPr>
          <w:rFonts w:ascii="Times New Roman" w:eastAsia="楷体_GB2312" w:hAnsi="Times New Roman"/>
          <w:b/>
          <w:sz w:val="28"/>
          <w:szCs w:val="28"/>
        </w:rPr>
        <w:t>2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年</w:t>
      </w:r>
      <w:r w:rsidR="001B6800">
        <w:rPr>
          <w:rFonts w:ascii="Times New Roman" w:eastAsia="楷体_GB2312" w:hAnsi="Times New Roman"/>
          <w:b/>
          <w:sz w:val="28"/>
          <w:szCs w:val="28"/>
        </w:rPr>
        <w:t>1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月</w:t>
      </w:r>
      <w:r w:rsidR="001B6800">
        <w:rPr>
          <w:rFonts w:ascii="Times New Roman" w:eastAsia="楷体_GB2312" w:hAnsi="Times New Roman"/>
          <w:b/>
          <w:sz w:val="28"/>
          <w:szCs w:val="28"/>
        </w:rPr>
        <w:t>1</w:t>
      </w:r>
      <w:r w:rsidR="00CE30CB">
        <w:rPr>
          <w:rFonts w:ascii="Times New Roman" w:eastAsia="楷体_GB2312" w:hAnsi="Times New Roman"/>
          <w:b/>
          <w:sz w:val="28"/>
          <w:szCs w:val="28"/>
        </w:rPr>
        <w:t>8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日</w:t>
      </w:r>
    </w:p>
    <w:p w:rsidR="00D31973" w:rsidRPr="00C62255" w:rsidRDefault="00D31973">
      <w:pPr>
        <w:rPr>
          <w:rFonts w:ascii="Times New Roman" w:eastAsia="楷体_GB2312" w:hAnsi="Times New Roman"/>
          <w:sz w:val="24"/>
        </w:rPr>
      </w:pPr>
    </w:p>
    <w:p w:rsidR="00D31973" w:rsidRPr="00C62255" w:rsidRDefault="00D31973">
      <w:pPr>
        <w:pStyle w:val="2"/>
        <w:rPr>
          <w:rFonts w:ascii="Times New Roman" w:eastAsia="楷体_GB2312" w:hAnsi="Times New Roman"/>
          <w:sz w:val="24"/>
        </w:rPr>
      </w:pPr>
      <w:r w:rsidRPr="00C62255">
        <w:rPr>
          <w:rFonts w:ascii="Times New Roman" w:eastAsia="楷体_GB2312" w:hAnsi="Times New Roman"/>
          <w:sz w:val="24"/>
        </w:rPr>
        <w:t>1</w:t>
      </w:r>
      <w:bookmarkStart w:id="4" w:name="t_3_1_1_table"/>
      <w:bookmarkEnd w:id="4"/>
      <w:r w:rsidRPr="00C62255">
        <w:rPr>
          <w:rFonts w:ascii="Times New Roman" w:eastAsia="楷体_GB2312" w:hAnsi="Times New Roman"/>
          <w:sz w:val="24"/>
        </w:rPr>
        <w:t xml:space="preserve"> </w:t>
      </w:r>
      <w:r w:rsidRPr="00C62255">
        <w:rPr>
          <w:rFonts w:ascii="Times New Roman" w:eastAsia="楷体_GB2312" w:hAnsi="Times New Roman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544"/>
        <w:gridCol w:w="3140"/>
      </w:tblGrid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基金名称</w:t>
            </w:r>
            <w:bookmarkStart w:id="5" w:name="t_3_1_1_0009_a1_fm1"/>
            <w:bookmarkEnd w:id="5"/>
          </w:p>
        </w:tc>
        <w:tc>
          <w:tcPr>
            <w:tcW w:w="6684" w:type="dxa"/>
            <w:gridSpan w:val="2"/>
            <w:vAlign w:val="center"/>
          </w:tcPr>
          <w:p w:rsidR="003C73CE" w:rsidRPr="00C62255" w:rsidRDefault="001B6800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中国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A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股国际</w:t>
            </w:r>
            <w:r w:rsidR="009E2C52">
              <w:rPr>
                <w:rFonts w:ascii="Times New Roman" w:eastAsia="楷体_GB2312" w:hAnsi="Times New Roman" w:hint="eastAsia"/>
                <w:sz w:val="24"/>
                <w:szCs w:val="24"/>
              </w:rPr>
              <w:t>价值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指数发起式证券投资基金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基金简称</w:t>
            </w:r>
            <w:bookmarkStart w:id="6" w:name="t_3_1_1_0011_a1_fm1"/>
            <w:bookmarkEnd w:id="6"/>
          </w:p>
        </w:tc>
        <w:tc>
          <w:tcPr>
            <w:tcW w:w="6684" w:type="dxa"/>
            <w:gridSpan w:val="2"/>
            <w:vAlign w:val="center"/>
          </w:tcPr>
          <w:p w:rsidR="003C73CE" w:rsidRPr="00C62255" w:rsidRDefault="001B6800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="009E2C52">
              <w:rPr>
                <w:rFonts w:ascii="Times New Roman" w:eastAsia="楷体_GB2312" w:hAnsi="Times New Roman" w:hint="eastAsia"/>
                <w:sz w:val="24"/>
                <w:szCs w:val="24"/>
              </w:rPr>
              <w:t>价值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基金主代码</w:t>
            </w:r>
            <w:bookmarkStart w:id="7" w:name="t_1_1_0012_a1_fm1"/>
            <w:bookmarkEnd w:id="7"/>
          </w:p>
        </w:tc>
        <w:tc>
          <w:tcPr>
            <w:tcW w:w="6684" w:type="dxa"/>
            <w:gridSpan w:val="2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</w:t>
            </w:r>
            <w:r w:rsidR="001B6800">
              <w:rPr>
                <w:rFonts w:ascii="Times New Roman" w:eastAsia="楷体_GB2312" w:hAnsi="Times New Roman"/>
                <w:sz w:val="24"/>
                <w:szCs w:val="24"/>
              </w:rPr>
              <w:t>634</w:t>
            </w:r>
            <w:r w:rsidR="009E2C52">
              <w:rPr>
                <w:rFonts w:ascii="Times New Roman" w:eastAsia="楷体_GB2312" w:hAnsi="Times New Roman"/>
                <w:sz w:val="24"/>
                <w:szCs w:val="24"/>
              </w:rPr>
              <w:t>9</w:t>
            </w:r>
          </w:p>
        </w:tc>
      </w:tr>
      <w:tr w:rsidR="003C73CE" w:rsidRPr="00C62255" w:rsidTr="00044C65"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基金管理人名称</w:t>
            </w:r>
            <w:bookmarkStart w:id="8" w:name="t_3_1_1_0186_a1_fm1"/>
            <w:bookmarkEnd w:id="8"/>
          </w:p>
        </w:tc>
        <w:tc>
          <w:tcPr>
            <w:tcW w:w="6684" w:type="dxa"/>
            <w:gridSpan w:val="2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中金基金管理有限公司</w:t>
            </w:r>
          </w:p>
        </w:tc>
      </w:tr>
      <w:tr w:rsidR="003C73CE" w:rsidRPr="00C62255" w:rsidTr="00044C65">
        <w:trPr>
          <w:trHeight w:val="70"/>
        </w:trPr>
        <w:tc>
          <w:tcPr>
            <w:tcW w:w="2268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公告依据</w:t>
            </w:r>
          </w:p>
        </w:tc>
        <w:tc>
          <w:tcPr>
            <w:tcW w:w="6684" w:type="dxa"/>
            <w:gridSpan w:val="2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9" w:name="t_3_1_1_2631_a1_fm1"/>
            <w:bookmarkEnd w:id="9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《</w:t>
            </w:r>
            <w:r w:rsidR="00E82B49" w:rsidRPr="00C62255">
              <w:rPr>
                <w:rFonts w:ascii="Times New Roman" w:eastAsia="楷体_GB2312" w:hAnsi="Times New Roman"/>
                <w:sz w:val="24"/>
                <w:szCs w:val="24"/>
              </w:rPr>
              <w:t>公开募集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证券投资基金信息披露管理办法》及《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中国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A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股国际</w:t>
            </w:r>
            <w:r w:rsidR="009E2C52"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价值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指数发起式证券投资基金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基金合同》、《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中国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A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股国际</w:t>
            </w:r>
            <w:r w:rsidR="009E2C52"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价值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指数发起式证券投资基金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招募说明书》</w:t>
            </w:r>
          </w:p>
        </w:tc>
      </w:tr>
      <w:tr w:rsidR="003C73CE" w:rsidRPr="00C62255" w:rsidTr="00044C65">
        <w:tc>
          <w:tcPr>
            <w:tcW w:w="2268" w:type="dxa"/>
            <w:vMerge w:val="restart"/>
            <w:vAlign w:val="center"/>
          </w:tcPr>
          <w:p w:rsidR="003C73CE" w:rsidRPr="00C62255" w:rsidRDefault="003C73CE" w:rsidP="005E13FD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544" w:type="dxa"/>
          </w:tcPr>
          <w:p w:rsidR="003C73CE" w:rsidRPr="00C62255" w:rsidRDefault="003C73CE" w:rsidP="00044C65">
            <w:pPr>
              <w:tabs>
                <w:tab w:val="left" w:pos="675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暂停申购起始日</w:t>
            </w:r>
            <w:bookmarkStart w:id="10" w:name="t_3_1_1_2797_a1_fm1"/>
            <w:bookmarkEnd w:id="10"/>
          </w:p>
        </w:tc>
        <w:tc>
          <w:tcPr>
            <w:tcW w:w="3140" w:type="dxa"/>
            <w:vAlign w:val="center"/>
          </w:tcPr>
          <w:p w:rsidR="003C73CE" w:rsidRPr="00C62255" w:rsidRDefault="003C73CE" w:rsidP="002B29B0">
            <w:pPr>
              <w:tabs>
                <w:tab w:val="left" w:pos="675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20</w:t>
            </w:r>
            <w:r w:rsidR="00E018FB" w:rsidRPr="00C62255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9E2C52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 w:rsidR="001B6800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 w:rsidR="001B6800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="00CE30CB">
              <w:rPr>
                <w:rFonts w:ascii="Times New Roman" w:eastAsia="楷体_GB2312" w:hAnsi="Times New Roman"/>
                <w:sz w:val="24"/>
                <w:szCs w:val="24"/>
              </w:rPr>
              <w:t>8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3C73CE" w:rsidRPr="00C62255" w:rsidTr="00044C65"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3CE" w:rsidRPr="00C62255" w:rsidRDefault="003C73CE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暂停转换转入起始日</w:t>
            </w:r>
            <w:bookmarkStart w:id="11" w:name="t_3_1_1_2798_a1_fm1"/>
            <w:bookmarkEnd w:id="11"/>
          </w:p>
        </w:tc>
        <w:tc>
          <w:tcPr>
            <w:tcW w:w="3140" w:type="dxa"/>
            <w:vAlign w:val="center"/>
          </w:tcPr>
          <w:p w:rsidR="003C73CE" w:rsidRPr="00C62255" w:rsidRDefault="009E2C52" w:rsidP="006C1DE4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2022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  <w:r w:rsidR="00CE30CB">
              <w:rPr>
                <w:rFonts w:ascii="Times New Roman" w:eastAsia="楷体_GB2312" w:hAnsi="Times New Roman"/>
                <w:sz w:val="24"/>
                <w:szCs w:val="24"/>
              </w:rPr>
              <w:t>8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6B6925" w:rsidRPr="00C62255" w:rsidTr="00044C65">
        <w:tc>
          <w:tcPr>
            <w:tcW w:w="2268" w:type="dxa"/>
            <w:vMerge/>
            <w:vAlign w:val="center"/>
          </w:tcPr>
          <w:p w:rsidR="006B6925" w:rsidRPr="00C62255" w:rsidRDefault="006B6925" w:rsidP="006B692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925" w:rsidRPr="00C62255" w:rsidRDefault="006B6925" w:rsidP="006B6925">
            <w:pPr>
              <w:jc w:val="left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r w:rsidRPr="006B6925">
              <w:rPr>
                <w:rFonts w:ascii="Times New Roman" w:eastAsia="楷体_GB2312" w:hAnsi="Times New Roman" w:hint="eastAsia"/>
                <w:sz w:val="24"/>
                <w:szCs w:val="24"/>
              </w:rPr>
              <w:t>暂停定期定额投资起始日</w:t>
            </w:r>
          </w:p>
        </w:tc>
        <w:tc>
          <w:tcPr>
            <w:tcW w:w="3140" w:type="dxa"/>
            <w:vAlign w:val="center"/>
          </w:tcPr>
          <w:p w:rsidR="006B6925" w:rsidRPr="00C62255" w:rsidRDefault="009E2C52" w:rsidP="006B692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2022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  <w:r w:rsidR="00CE30CB">
              <w:rPr>
                <w:rFonts w:ascii="Times New Roman" w:eastAsia="楷体_GB2312" w:hAnsi="Times New Roman"/>
                <w:sz w:val="24"/>
                <w:szCs w:val="24"/>
              </w:rPr>
              <w:t>8</w:t>
            </w:r>
            <w:r w:rsidRPr="009E2C52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  <w:tr w:rsidR="003C73CE" w:rsidRPr="00C62255" w:rsidTr="001B6800">
        <w:trPr>
          <w:trHeight w:val="70"/>
        </w:trPr>
        <w:tc>
          <w:tcPr>
            <w:tcW w:w="2268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CE" w:rsidRPr="00C62255" w:rsidRDefault="003C73CE" w:rsidP="001B6800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2" w:name="t_3_1_3_fj_table"/>
            <w:bookmarkEnd w:id="12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暂停申购、转换转入、定期定额投资的原因说明</w:t>
            </w:r>
            <w:bookmarkStart w:id="13" w:name="t_3_1_3_fj_2805_a1_fm1"/>
            <w:bookmarkEnd w:id="13"/>
          </w:p>
        </w:tc>
        <w:tc>
          <w:tcPr>
            <w:tcW w:w="3140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为保护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中国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A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股</w:t>
            </w:r>
            <w:r w:rsidR="009E2C52">
              <w:rPr>
                <w:rFonts w:ascii="Times New Roman" w:eastAsia="楷体_GB2312" w:hAnsi="Times New Roman" w:hint="eastAsia"/>
                <w:sz w:val="24"/>
                <w:szCs w:val="24"/>
              </w:rPr>
              <w:t>国际价值</w:t>
            </w:r>
            <w:r w:rsidR="001B6800"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指数发起式证券投资基金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份额持有人的利益</w:t>
            </w:r>
          </w:p>
        </w:tc>
      </w:tr>
      <w:tr w:rsidR="001B6800" w:rsidRPr="00C62255" w:rsidTr="001B6800">
        <w:trPr>
          <w:trHeight w:val="70"/>
        </w:trPr>
        <w:tc>
          <w:tcPr>
            <w:tcW w:w="2268" w:type="dxa"/>
            <w:vAlign w:val="center"/>
          </w:tcPr>
          <w:p w:rsidR="001B6800" w:rsidRPr="00C62255" w:rsidRDefault="001B6800" w:rsidP="006C1DE4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下属基金的基金简称</w:t>
            </w:r>
          </w:p>
        </w:tc>
        <w:tc>
          <w:tcPr>
            <w:tcW w:w="3544" w:type="dxa"/>
            <w:vAlign w:val="center"/>
          </w:tcPr>
          <w:p w:rsidR="001B6800" w:rsidRPr="00C62255" w:rsidRDefault="001B6800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4" w:name="t_3_1_3_fj_0011A_a1_fm1"/>
            <w:bookmarkEnd w:id="14"/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="009E2C52">
              <w:rPr>
                <w:rFonts w:ascii="Times New Roman" w:eastAsia="楷体_GB2312" w:hAnsi="Times New Roman" w:hint="eastAsia"/>
                <w:sz w:val="24"/>
                <w:szCs w:val="24"/>
              </w:rPr>
              <w:t>价值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A</w:t>
            </w:r>
          </w:p>
        </w:tc>
        <w:tc>
          <w:tcPr>
            <w:tcW w:w="3140" w:type="dxa"/>
            <w:vAlign w:val="center"/>
          </w:tcPr>
          <w:p w:rsidR="001B6800" w:rsidRPr="00C62255" w:rsidRDefault="001B6800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5" w:name="t_3_1_3_fj_0011B_a1_fm1"/>
            <w:bookmarkStart w:id="16" w:name="t_3_1_3_fj_0011C_a1_fm1"/>
            <w:bookmarkEnd w:id="15"/>
            <w:bookmarkEnd w:id="16"/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中金</w:t>
            </w:r>
            <w:r w:rsidRPr="001B6800">
              <w:rPr>
                <w:rFonts w:ascii="Times New Roman" w:eastAsia="楷体_GB2312" w:hAnsi="Times New Roman" w:hint="eastAsia"/>
                <w:sz w:val="24"/>
                <w:szCs w:val="24"/>
              </w:rPr>
              <w:t>MSCI</w:t>
            </w:r>
            <w:r w:rsidR="009E2C52">
              <w:rPr>
                <w:rFonts w:ascii="Times New Roman" w:eastAsia="楷体_GB2312" w:hAnsi="Times New Roman" w:hint="eastAsia"/>
                <w:sz w:val="24"/>
                <w:szCs w:val="24"/>
              </w:rPr>
              <w:t>价值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C</w:t>
            </w:r>
          </w:p>
        </w:tc>
      </w:tr>
      <w:tr w:rsidR="001B6800" w:rsidRPr="00C62255" w:rsidTr="001B6800">
        <w:tc>
          <w:tcPr>
            <w:tcW w:w="2268" w:type="dxa"/>
            <w:vAlign w:val="center"/>
          </w:tcPr>
          <w:p w:rsidR="001B6800" w:rsidRPr="00C62255" w:rsidRDefault="001B6800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下属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基金的交易代码</w:t>
            </w:r>
          </w:p>
        </w:tc>
        <w:tc>
          <w:tcPr>
            <w:tcW w:w="3544" w:type="dxa"/>
            <w:vAlign w:val="center"/>
          </w:tcPr>
          <w:p w:rsidR="001B6800" w:rsidRPr="00C62255" w:rsidRDefault="001B6800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7" w:name="t_3_1_3_fj_0012A_a1_fm1"/>
            <w:bookmarkEnd w:id="17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634</w:t>
            </w:r>
            <w:r w:rsidR="009E2C52">
              <w:rPr>
                <w:rFonts w:ascii="Times New Roman" w:eastAsia="楷体_GB2312" w:hAnsi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  <w:vAlign w:val="center"/>
          </w:tcPr>
          <w:p w:rsidR="001B6800" w:rsidRPr="00C62255" w:rsidRDefault="001B6800" w:rsidP="001B6800">
            <w:pPr>
              <w:jc w:val="center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00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63</w:t>
            </w:r>
            <w:r w:rsidR="009E2C52">
              <w:rPr>
                <w:rFonts w:ascii="Times New Roman" w:eastAsia="楷体_GB2312" w:hAnsi="Times New Roman"/>
                <w:sz w:val="24"/>
                <w:szCs w:val="24"/>
              </w:rPr>
              <w:t>50</w:t>
            </w:r>
          </w:p>
        </w:tc>
      </w:tr>
      <w:tr w:rsidR="001B6800" w:rsidRPr="00C62255" w:rsidTr="001B6800">
        <w:trPr>
          <w:trHeight w:val="169"/>
        </w:trPr>
        <w:tc>
          <w:tcPr>
            <w:tcW w:w="2268" w:type="dxa"/>
            <w:vAlign w:val="center"/>
          </w:tcPr>
          <w:p w:rsidR="001B6800" w:rsidRPr="00C62255" w:rsidRDefault="006B6925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6B6925">
              <w:rPr>
                <w:rFonts w:ascii="Times New Roman" w:eastAsia="楷体_GB2312" w:hAnsi="Times New Roman" w:hint="eastAsia"/>
                <w:sz w:val="24"/>
                <w:szCs w:val="24"/>
              </w:rPr>
              <w:t>该</w:t>
            </w:r>
            <w:r w:rsidR="0048250D">
              <w:rPr>
                <w:rFonts w:ascii="Times New Roman" w:eastAsia="楷体_GB2312" w:hAnsi="Times New Roman" w:hint="eastAsia"/>
                <w:sz w:val="24"/>
                <w:szCs w:val="24"/>
              </w:rPr>
              <w:t>下属</w:t>
            </w:r>
            <w:r w:rsidRPr="006B6925">
              <w:rPr>
                <w:rFonts w:ascii="Times New Roman" w:eastAsia="楷体_GB2312" w:hAnsi="Times New Roman" w:hint="eastAsia"/>
                <w:sz w:val="24"/>
                <w:szCs w:val="24"/>
              </w:rPr>
              <w:t>基金是否暂停申购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、</w:t>
            </w:r>
            <w:r w:rsidRPr="006B6925">
              <w:rPr>
                <w:rFonts w:ascii="Times New Roman" w:eastAsia="楷体_GB2312" w:hAnsi="Times New Roman" w:hint="eastAsia"/>
                <w:sz w:val="24"/>
                <w:szCs w:val="24"/>
              </w:rPr>
              <w:t>转换转入、定期定额投资</w:t>
            </w:r>
          </w:p>
        </w:tc>
        <w:tc>
          <w:tcPr>
            <w:tcW w:w="3544" w:type="dxa"/>
            <w:vAlign w:val="center"/>
          </w:tcPr>
          <w:p w:rsidR="001B6800" w:rsidRPr="00C62255" w:rsidRDefault="001B6800" w:rsidP="00044C65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8" w:name="t_3_1_3_fj_2810A_a1_fm1"/>
            <w:bookmarkEnd w:id="18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  <w:tc>
          <w:tcPr>
            <w:tcW w:w="3140" w:type="dxa"/>
            <w:vAlign w:val="center"/>
          </w:tcPr>
          <w:p w:rsidR="001B6800" w:rsidRPr="00C62255" w:rsidRDefault="001B6800" w:rsidP="002E4833">
            <w:pPr>
              <w:jc w:val="center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bookmarkStart w:id="19" w:name="t_3_1_3_fj_2810B_a1_fm1"/>
            <w:bookmarkStart w:id="20" w:name="t_3_1_3_fj_2810C_a1_fm1"/>
            <w:bookmarkEnd w:id="19"/>
            <w:bookmarkEnd w:id="20"/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是</w:t>
            </w:r>
          </w:p>
        </w:tc>
      </w:tr>
    </w:tbl>
    <w:p w:rsidR="00184F59" w:rsidRDefault="00184F59" w:rsidP="00184F59"/>
    <w:p w:rsidR="00D31973" w:rsidRPr="00C62255" w:rsidRDefault="00D31973">
      <w:pPr>
        <w:pStyle w:val="2"/>
        <w:spacing w:beforeLines="50" w:afterLines="50" w:line="240" w:lineRule="auto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 xml:space="preserve">2 </w:t>
      </w:r>
      <w:bookmarkStart w:id="21" w:name="t_3_2_table"/>
      <w:bookmarkEnd w:id="21"/>
      <w:r w:rsidRPr="00C62255">
        <w:rPr>
          <w:rFonts w:ascii="Times New Roman" w:eastAsia="楷体_GB2312" w:hAnsi="Times New Roman"/>
          <w:sz w:val="24"/>
          <w:szCs w:val="24"/>
        </w:rPr>
        <w:t>其他需要提示的事项</w:t>
      </w:r>
    </w:p>
    <w:p w:rsidR="006B6925" w:rsidRPr="006B6925" w:rsidRDefault="006B6925" w:rsidP="006B6925">
      <w:pPr>
        <w:spacing w:line="360" w:lineRule="auto"/>
        <w:ind w:firstLineChars="200" w:firstLine="480"/>
        <w:jc w:val="left"/>
        <w:rPr>
          <w:rFonts w:ascii="Times New Roman" w:eastAsia="楷体_GB2312" w:hAnsi="Times New Roman" w:hint="eastAsia"/>
          <w:sz w:val="24"/>
          <w:szCs w:val="24"/>
        </w:rPr>
      </w:pPr>
      <w:bookmarkStart w:id="22" w:name="t_3_2_2646_a1_fm1"/>
      <w:bookmarkEnd w:id="22"/>
      <w:r w:rsidRPr="006B6925">
        <w:rPr>
          <w:rFonts w:ascii="Times New Roman" w:eastAsia="楷体_GB2312" w:hAnsi="Times New Roman" w:hint="eastAsia"/>
          <w:sz w:val="24"/>
          <w:szCs w:val="24"/>
        </w:rPr>
        <w:t>1</w:t>
      </w:r>
      <w:r w:rsidRPr="006B6925">
        <w:rPr>
          <w:rFonts w:ascii="Times New Roman" w:eastAsia="楷体_GB2312" w:hAnsi="Times New Roman" w:hint="eastAsia"/>
          <w:sz w:val="24"/>
          <w:szCs w:val="24"/>
        </w:rPr>
        <w:t>、中金</w:t>
      </w:r>
      <w:r w:rsidRPr="006B6925">
        <w:rPr>
          <w:rFonts w:ascii="Times New Roman" w:eastAsia="楷体_GB2312" w:hAnsi="Times New Roman" w:hint="eastAsia"/>
          <w:sz w:val="24"/>
          <w:szCs w:val="24"/>
        </w:rPr>
        <w:t>MSCI</w:t>
      </w:r>
      <w:r w:rsidRPr="006B6925">
        <w:rPr>
          <w:rFonts w:ascii="Times New Roman" w:eastAsia="楷体_GB2312" w:hAnsi="Times New Roman" w:hint="eastAsia"/>
          <w:sz w:val="24"/>
          <w:szCs w:val="24"/>
        </w:rPr>
        <w:t>中国</w:t>
      </w:r>
      <w:r w:rsidRPr="006B6925">
        <w:rPr>
          <w:rFonts w:ascii="Times New Roman" w:eastAsia="楷体_GB2312" w:hAnsi="Times New Roman" w:hint="eastAsia"/>
          <w:sz w:val="24"/>
          <w:szCs w:val="24"/>
        </w:rPr>
        <w:t>A</w:t>
      </w:r>
      <w:r w:rsidRPr="006B6925">
        <w:rPr>
          <w:rFonts w:ascii="Times New Roman" w:eastAsia="楷体_GB2312" w:hAnsi="Times New Roman" w:hint="eastAsia"/>
          <w:sz w:val="24"/>
          <w:szCs w:val="24"/>
        </w:rPr>
        <w:t>股国际</w:t>
      </w:r>
      <w:r w:rsidR="00951786">
        <w:rPr>
          <w:rFonts w:ascii="Times New Roman" w:eastAsia="楷体_GB2312" w:hAnsi="Times New Roman" w:hint="eastAsia"/>
          <w:sz w:val="24"/>
          <w:szCs w:val="24"/>
        </w:rPr>
        <w:t>价值</w:t>
      </w:r>
      <w:r w:rsidRPr="006B6925">
        <w:rPr>
          <w:rFonts w:ascii="Times New Roman" w:eastAsia="楷体_GB2312" w:hAnsi="Times New Roman" w:hint="eastAsia"/>
          <w:sz w:val="24"/>
          <w:szCs w:val="24"/>
        </w:rPr>
        <w:t>指数发起式证券投资基金（以下简称“本基金”）的所有销售机构及直销网点自</w:t>
      </w:r>
      <w:r w:rsidRPr="006B6925">
        <w:rPr>
          <w:rFonts w:ascii="Times New Roman" w:eastAsia="楷体_GB2312" w:hAnsi="Times New Roman" w:hint="eastAsia"/>
          <w:sz w:val="24"/>
          <w:szCs w:val="24"/>
        </w:rPr>
        <w:t>20</w:t>
      </w:r>
      <w:r>
        <w:rPr>
          <w:rFonts w:ascii="Times New Roman" w:eastAsia="楷体_GB2312" w:hAnsi="Times New Roman"/>
          <w:sz w:val="24"/>
          <w:szCs w:val="24"/>
        </w:rPr>
        <w:t>2</w:t>
      </w:r>
      <w:r w:rsidR="00951786">
        <w:rPr>
          <w:rFonts w:ascii="Times New Roman" w:eastAsia="楷体_GB2312" w:hAnsi="Times New Roman"/>
          <w:sz w:val="24"/>
          <w:szCs w:val="24"/>
        </w:rPr>
        <w:t>2</w:t>
      </w:r>
      <w:r w:rsidRPr="006B6925">
        <w:rPr>
          <w:rFonts w:ascii="Times New Roman" w:eastAsia="楷体_GB2312" w:hAnsi="Times New Roman" w:hint="eastAsia"/>
          <w:sz w:val="24"/>
          <w:szCs w:val="24"/>
        </w:rPr>
        <w:t>年</w:t>
      </w:r>
      <w:r w:rsidRPr="006B6925">
        <w:rPr>
          <w:rFonts w:ascii="Times New Roman" w:eastAsia="楷体_GB2312" w:hAnsi="Times New Roman" w:hint="eastAsia"/>
          <w:sz w:val="24"/>
          <w:szCs w:val="24"/>
        </w:rPr>
        <w:t>1</w:t>
      </w:r>
      <w:r w:rsidRPr="006B6925">
        <w:rPr>
          <w:rFonts w:ascii="Times New Roman" w:eastAsia="楷体_GB2312" w:hAnsi="Times New Roman" w:hint="eastAsia"/>
          <w:sz w:val="24"/>
          <w:szCs w:val="24"/>
        </w:rPr>
        <w:t>月</w:t>
      </w:r>
      <w:r>
        <w:rPr>
          <w:rFonts w:ascii="Times New Roman" w:eastAsia="楷体_GB2312" w:hAnsi="Times New Roman"/>
          <w:sz w:val="24"/>
          <w:szCs w:val="24"/>
        </w:rPr>
        <w:t>1</w:t>
      </w:r>
      <w:r w:rsidR="00CE30CB">
        <w:rPr>
          <w:rFonts w:ascii="Times New Roman" w:eastAsia="楷体_GB2312" w:hAnsi="Times New Roman"/>
          <w:sz w:val="24"/>
          <w:szCs w:val="24"/>
        </w:rPr>
        <w:t>8</w:t>
      </w:r>
      <w:r w:rsidRPr="006B6925">
        <w:rPr>
          <w:rFonts w:ascii="Times New Roman" w:eastAsia="楷体_GB2312" w:hAnsi="Times New Roman" w:hint="eastAsia"/>
          <w:sz w:val="24"/>
          <w:szCs w:val="24"/>
        </w:rPr>
        <w:t>日起，暂停本基金的申购、转换转入和定期定额投资业务。</w:t>
      </w:r>
    </w:p>
    <w:p w:rsidR="006B6925" w:rsidRDefault="006B6925" w:rsidP="006B6925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6B6925">
        <w:rPr>
          <w:rFonts w:ascii="Times New Roman" w:eastAsia="楷体_GB2312" w:hAnsi="Times New Roman" w:hint="eastAsia"/>
          <w:sz w:val="24"/>
          <w:szCs w:val="24"/>
        </w:rPr>
        <w:t>2</w:t>
      </w:r>
      <w:r w:rsidRPr="006B6925">
        <w:rPr>
          <w:rFonts w:ascii="Times New Roman" w:eastAsia="楷体_GB2312" w:hAnsi="Times New Roman" w:hint="eastAsia"/>
          <w:sz w:val="24"/>
          <w:szCs w:val="24"/>
        </w:rPr>
        <w:t>、在暂停申购、转换转入、定期定额投资业务期间，赎回、转换转出业务正常办理。</w:t>
      </w:r>
    </w:p>
    <w:p w:rsidR="00330A82" w:rsidRPr="00C62255" w:rsidRDefault="001B6800" w:rsidP="006B6925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1B6800">
        <w:rPr>
          <w:rFonts w:ascii="Times New Roman" w:eastAsia="楷体_GB2312" w:hAnsi="Times New Roman" w:hint="eastAsia"/>
          <w:sz w:val="24"/>
          <w:szCs w:val="24"/>
        </w:rPr>
        <w:lastRenderedPageBreak/>
        <w:t>3</w:t>
      </w:r>
      <w:r w:rsidRPr="001B6800">
        <w:rPr>
          <w:rFonts w:ascii="Times New Roman" w:eastAsia="楷体_GB2312" w:hAnsi="Times New Roman" w:hint="eastAsia"/>
          <w:sz w:val="24"/>
          <w:szCs w:val="24"/>
        </w:rPr>
        <w:t>、投资人可以登录本基金管理人网站（</w:t>
      </w:r>
      <w:r w:rsidRPr="001B6800">
        <w:rPr>
          <w:rFonts w:ascii="Times New Roman" w:eastAsia="楷体_GB2312" w:hAnsi="Times New Roman" w:hint="eastAsia"/>
          <w:sz w:val="24"/>
          <w:szCs w:val="24"/>
        </w:rPr>
        <w:t>www.ciccfund.com</w:t>
      </w:r>
      <w:r w:rsidRPr="001B6800">
        <w:rPr>
          <w:rFonts w:ascii="Times New Roman" w:eastAsia="楷体_GB2312" w:hAnsi="Times New Roman" w:hint="eastAsia"/>
          <w:sz w:val="24"/>
          <w:szCs w:val="24"/>
        </w:rPr>
        <w:t>）或拨打客户服务电话</w:t>
      </w:r>
      <w:r w:rsidRPr="001B6800">
        <w:rPr>
          <w:rFonts w:ascii="Times New Roman" w:eastAsia="楷体_GB2312" w:hAnsi="Times New Roman" w:hint="eastAsia"/>
          <w:sz w:val="24"/>
          <w:szCs w:val="24"/>
        </w:rPr>
        <w:t>400-868-1166</w:t>
      </w:r>
      <w:r w:rsidRPr="001B6800">
        <w:rPr>
          <w:rFonts w:ascii="Times New Roman" w:eastAsia="楷体_GB2312" w:hAnsi="Times New Roman" w:hint="eastAsia"/>
          <w:sz w:val="24"/>
          <w:szCs w:val="24"/>
        </w:rPr>
        <w:t>咨询相关信息。</w:t>
      </w:r>
    </w:p>
    <w:p w:rsidR="00330A82" w:rsidRPr="00C62255" w:rsidRDefault="00330A82">
      <w:pPr>
        <w:spacing w:line="360" w:lineRule="auto"/>
        <w:ind w:firstLineChars="200" w:firstLine="420"/>
        <w:jc w:val="left"/>
        <w:rPr>
          <w:rFonts w:ascii="Times New Roman" w:eastAsia="楷体_GB2312" w:hAnsi="Times New Roman"/>
          <w:szCs w:val="21"/>
        </w:rPr>
      </w:pPr>
    </w:p>
    <w:p w:rsidR="00D31973" w:rsidRPr="00C62255" w:rsidRDefault="00330A82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特此公告。</w:t>
      </w:r>
    </w:p>
    <w:p w:rsidR="00D31973" w:rsidRPr="00C62255" w:rsidRDefault="00D31973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</w:p>
    <w:p w:rsidR="00D31973" w:rsidRPr="00C62255" w:rsidRDefault="00D31973" w:rsidP="00923CE3">
      <w:pPr>
        <w:spacing w:line="360" w:lineRule="auto"/>
        <w:ind w:firstLineChars="200" w:firstLine="480"/>
        <w:jc w:val="left"/>
        <w:rPr>
          <w:rFonts w:ascii="Times New Roman" w:eastAsia="楷体_GB2312" w:hAnsi="Times New Roman"/>
          <w:sz w:val="24"/>
          <w:szCs w:val="24"/>
        </w:rPr>
      </w:pPr>
    </w:p>
    <w:p w:rsidR="00330A82" w:rsidRPr="00C62255" w:rsidRDefault="00330A82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中金基金管理有限公司</w:t>
      </w:r>
    </w:p>
    <w:p w:rsidR="00D31973" w:rsidRPr="00C62255" w:rsidRDefault="00951786">
      <w:pPr>
        <w:spacing w:line="36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951786">
        <w:rPr>
          <w:rFonts w:ascii="Times New Roman" w:eastAsia="楷体_GB2312" w:hAnsi="Times New Roman" w:hint="eastAsia"/>
          <w:sz w:val="24"/>
          <w:szCs w:val="24"/>
        </w:rPr>
        <w:t>2022</w:t>
      </w:r>
      <w:r w:rsidRPr="00951786">
        <w:rPr>
          <w:rFonts w:ascii="Times New Roman" w:eastAsia="楷体_GB2312" w:hAnsi="Times New Roman" w:hint="eastAsia"/>
          <w:sz w:val="24"/>
          <w:szCs w:val="24"/>
        </w:rPr>
        <w:t>年</w:t>
      </w:r>
      <w:r w:rsidRPr="00951786">
        <w:rPr>
          <w:rFonts w:ascii="Times New Roman" w:eastAsia="楷体_GB2312" w:hAnsi="Times New Roman" w:hint="eastAsia"/>
          <w:sz w:val="24"/>
          <w:szCs w:val="24"/>
        </w:rPr>
        <w:t>1</w:t>
      </w:r>
      <w:r w:rsidRPr="00951786">
        <w:rPr>
          <w:rFonts w:ascii="Times New Roman" w:eastAsia="楷体_GB2312" w:hAnsi="Times New Roman" w:hint="eastAsia"/>
          <w:sz w:val="24"/>
          <w:szCs w:val="24"/>
        </w:rPr>
        <w:t>月</w:t>
      </w:r>
      <w:r w:rsidRPr="00951786">
        <w:rPr>
          <w:rFonts w:ascii="Times New Roman" w:eastAsia="楷体_GB2312" w:hAnsi="Times New Roman" w:hint="eastAsia"/>
          <w:sz w:val="24"/>
          <w:szCs w:val="24"/>
        </w:rPr>
        <w:t>1</w:t>
      </w:r>
      <w:r w:rsidR="00CE30CB">
        <w:rPr>
          <w:rFonts w:ascii="Times New Roman" w:eastAsia="楷体_GB2312" w:hAnsi="Times New Roman"/>
          <w:sz w:val="24"/>
          <w:szCs w:val="24"/>
        </w:rPr>
        <w:t>8</w:t>
      </w:r>
      <w:r w:rsidRPr="00951786">
        <w:rPr>
          <w:rFonts w:ascii="Times New Roman" w:eastAsia="楷体_GB2312" w:hAnsi="Times New Roman" w:hint="eastAsia"/>
          <w:sz w:val="24"/>
          <w:szCs w:val="24"/>
        </w:rPr>
        <w:t>日</w:t>
      </w:r>
    </w:p>
    <w:sectPr w:rsidR="00D31973" w:rsidRPr="00C62255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C9" w:rsidRDefault="00314CC9" w:rsidP="00101E14">
      <w:r>
        <w:separator/>
      </w:r>
    </w:p>
  </w:endnote>
  <w:endnote w:type="continuationSeparator" w:id="0">
    <w:p w:rsidR="00314CC9" w:rsidRDefault="00314CC9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2506" w:rsidRDefault="00330A82" w:rsidP="00330A82">
    <w:pPr>
      <w:pStyle w:val="a6"/>
      <w:jc w:val="center"/>
      <w:rPr>
        <w:rFonts w:ascii="楷体" w:eastAsia="楷体" w:hAnsi="楷体"/>
      </w:rPr>
    </w:pPr>
    <w:r w:rsidRPr="00DD2506">
      <w:rPr>
        <w:rFonts w:ascii="楷体" w:eastAsia="楷体" w:hAnsi="楷体"/>
      </w:rPr>
      <w:t xml:space="preserve">第 </w:t>
    </w:r>
    <w:r w:rsidRPr="00DD2506">
      <w:rPr>
        <w:rFonts w:ascii="楷体" w:eastAsia="楷体" w:hAnsi="楷体"/>
      </w:rPr>
      <w:fldChar w:fldCharType="begin"/>
    </w:r>
    <w:r w:rsidRPr="00DD2506">
      <w:rPr>
        <w:rFonts w:ascii="楷体" w:eastAsia="楷体" w:hAnsi="楷体"/>
      </w:rPr>
      <w:instrText xml:space="preserve"> PAGE   \* MERGEFORMAT </w:instrText>
    </w:r>
    <w:r w:rsidRPr="00DD2506">
      <w:rPr>
        <w:rFonts w:ascii="楷体" w:eastAsia="楷体" w:hAnsi="楷体"/>
      </w:rPr>
      <w:fldChar w:fldCharType="separate"/>
    </w:r>
    <w:r w:rsidR="00D02534">
      <w:rPr>
        <w:rFonts w:ascii="楷体" w:eastAsia="楷体" w:hAnsi="楷体"/>
        <w:noProof/>
      </w:rPr>
      <w:t>1</w:t>
    </w:r>
    <w:r w:rsidRPr="00DD2506">
      <w:rPr>
        <w:rFonts w:ascii="楷体" w:eastAsia="楷体" w:hAnsi="楷体"/>
      </w:rPr>
      <w:fldChar w:fldCharType="end"/>
    </w:r>
    <w:r w:rsidRPr="00DD2506">
      <w:rPr>
        <w:rFonts w:ascii="楷体" w:eastAsia="楷体" w:hAnsi="楷体"/>
      </w:rPr>
      <w:t xml:space="preserve"> 页 共</w:t>
    </w:r>
    <w:fldSimple w:instr=" NUMPAGES   \* MERGEFORMAT ">
      <w:r w:rsidR="00D02534">
        <w:rPr>
          <w:rFonts w:ascii="楷体" w:eastAsia="楷体" w:hAnsi="楷体"/>
          <w:noProof/>
        </w:rPr>
        <w:t>2</w:t>
      </w:r>
    </w:fldSimple>
    <w:r w:rsidRPr="00DD2506">
      <w:rPr>
        <w:rFonts w:ascii="楷体" w:eastAsia="楷体" w:hAnsi="楷体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C9" w:rsidRDefault="00314CC9" w:rsidP="00101E14">
      <w:r>
        <w:separator/>
      </w:r>
    </w:p>
  </w:footnote>
  <w:footnote w:type="continuationSeparator" w:id="0">
    <w:p w:rsidR="00314CC9" w:rsidRDefault="00314CC9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176D" w:rsidRDefault="00330A82" w:rsidP="004B51C0">
    <w:pPr>
      <w:pStyle w:val="a4"/>
      <w:jc w:val="both"/>
      <w:rPr>
        <w:rFonts w:ascii="楷体" w:eastAsia="楷体" w:hAnsi="楷体"/>
        <w:sz w:val="21"/>
        <w:szCs w:val="21"/>
      </w:rPr>
    </w:pPr>
    <w:r w:rsidRPr="00DD176D">
      <w:rPr>
        <w:rFonts w:ascii="楷体" w:eastAsia="楷体" w:hAnsi="楷体"/>
        <w:sz w:val="21"/>
        <w:szCs w:val="21"/>
      </w:rPr>
      <w:t>关于</w:t>
    </w:r>
    <w:r w:rsidR="001B6800" w:rsidRPr="001B6800">
      <w:rPr>
        <w:rFonts w:ascii="楷体" w:eastAsia="楷体" w:hAnsi="楷体" w:hint="eastAsia"/>
        <w:sz w:val="21"/>
        <w:szCs w:val="21"/>
      </w:rPr>
      <w:t>中金MSCI中国A股国际</w:t>
    </w:r>
    <w:r w:rsidR="00046EF8">
      <w:rPr>
        <w:rFonts w:ascii="楷体" w:eastAsia="楷体" w:hAnsi="楷体" w:hint="eastAsia"/>
        <w:sz w:val="21"/>
        <w:szCs w:val="21"/>
        <w:lang w:eastAsia="zh-CN"/>
      </w:rPr>
      <w:t>价值</w:t>
    </w:r>
    <w:r w:rsidR="001B6800" w:rsidRPr="001B6800">
      <w:rPr>
        <w:rFonts w:ascii="楷体" w:eastAsia="楷体" w:hAnsi="楷体" w:hint="eastAsia"/>
        <w:sz w:val="21"/>
        <w:szCs w:val="21"/>
      </w:rPr>
      <w:t>指数发起式证券投资基金</w:t>
    </w:r>
    <w:r w:rsidR="006B6925" w:rsidRPr="006B6925">
      <w:rPr>
        <w:rFonts w:ascii="楷体" w:eastAsia="楷体" w:hAnsi="楷体" w:hint="eastAsia"/>
        <w:sz w:val="21"/>
        <w:szCs w:val="21"/>
      </w:rPr>
      <w:t>暂停申购、转换转入、定期定额投资业务</w:t>
    </w:r>
    <w:r w:rsidRPr="00DD176D">
      <w:rPr>
        <w:rFonts w:ascii="楷体" w:eastAsia="楷体" w:hAnsi="楷体"/>
        <w:sz w:val="21"/>
        <w:szCs w:val="21"/>
      </w:rPr>
      <w:t>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7A7"/>
    <w:rsid w:val="000424A2"/>
    <w:rsid w:val="00042579"/>
    <w:rsid w:val="00044C65"/>
    <w:rsid w:val="00046EF8"/>
    <w:rsid w:val="000470EC"/>
    <w:rsid w:val="000563B7"/>
    <w:rsid w:val="00057F16"/>
    <w:rsid w:val="000610D8"/>
    <w:rsid w:val="000C5958"/>
    <w:rsid w:val="000C766B"/>
    <w:rsid w:val="00101E14"/>
    <w:rsid w:val="001155F6"/>
    <w:rsid w:val="00116492"/>
    <w:rsid w:val="0013004D"/>
    <w:rsid w:val="00135A9B"/>
    <w:rsid w:val="001512D6"/>
    <w:rsid w:val="00177C61"/>
    <w:rsid w:val="00180F1C"/>
    <w:rsid w:val="00184F59"/>
    <w:rsid w:val="00197F09"/>
    <w:rsid w:val="001A220F"/>
    <w:rsid w:val="001B6800"/>
    <w:rsid w:val="001E57BF"/>
    <w:rsid w:val="002023E8"/>
    <w:rsid w:val="00210D26"/>
    <w:rsid w:val="00216E21"/>
    <w:rsid w:val="002239D1"/>
    <w:rsid w:val="00243EC2"/>
    <w:rsid w:val="00250B1E"/>
    <w:rsid w:val="002808FA"/>
    <w:rsid w:val="00280E76"/>
    <w:rsid w:val="002B29B0"/>
    <w:rsid w:val="002B7259"/>
    <w:rsid w:val="002C07A6"/>
    <w:rsid w:val="002C0C24"/>
    <w:rsid w:val="002C4E74"/>
    <w:rsid w:val="002C6653"/>
    <w:rsid w:val="002D1A42"/>
    <w:rsid w:val="002E4833"/>
    <w:rsid w:val="002F2D42"/>
    <w:rsid w:val="003020BC"/>
    <w:rsid w:val="00314CC9"/>
    <w:rsid w:val="003171F4"/>
    <w:rsid w:val="003175C5"/>
    <w:rsid w:val="00330A82"/>
    <w:rsid w:val="00354305"/>
    <w:rsid w:val="00372676"/>
    <w:rsid w:val="00382667"/>
    <w:rsid w:val="00393A81"/>
    <w:rsid w:val="003B25C3"/>
    <w:rsid w:val="003B3875"/>
    <w:rsid w:val="003B6FAE"/>
    <w:rsid w:val="003C73CE"/>
    <w:rsid w:val="003D5D09"/>
    <w:rsid w:val="003E3308"/>
    <w:rsid w:val="003F111B"/>
    <w:rsid w:val="00421C01"/>
    <w:rsid w:val="004278E7"/>
    <w:rsid w:val="004465E2"/>
    <w:rsid w:val="00481EDB"/>
    <w:rsid w:val="0048250D"/>
    <w:rsid w:val="00485FD6"/>
    <w:rsid w:val="004B51C0"/>
    <w:rsid w:val="004C6F71"/>
    <w:rsid w:val="004D4332"/>
    <w:rsid w:val="004E770E"/>
    <w:rsid w:val="004F1354"/>
    <w:rsid w:val="00501D74"/>
    <w:rsid w:val="00523178"/>
    <w:rsid w:val="00550AF3"/>
    <w:rsid w:val="005635E5"/>
    <w:rsid w:val="00567102"/>
    <w:rsid w:val="00573A03"/>
    <w:rsid w:val="0059074A"/>
    <w:rsid w:val="0059096E"/>
    <w:rsid w:val="00591A74"/>
    <w:rsid w:val="005A3103"/>
    <w:rsid w:val="005A48AF"/>
    <w:rsid w:val="005A6980"/>
    <w:rsid w:val="005B50FF"/>
    <w:rsid w:val="005B7AC7"/>
    <w:rsid w:val="005E13FD"/>
    <w:rsid w:val="005E72D9"/>
    <w:rsid w:val="0061156F"/>
    <w:rsid w:val="0062047C"/>
    <w:rsid w:val="00665EC8"/>
    <w:rsid w:val="00675A9E"/>
    <w:rsid w:val="00695B37"/>
    <w:rsid w:val="006B22D0"/>
    <w:rsid w:val="006B6925"/>
    <w:rsid w:val="006C0E2B"/>
    <w:rsid w:val="006C1DE4"/>
    <w:rsid w:val="006E0C5D"/>
    <w:rsid w:val="006E71DB"/>
    <w:rsid w:val="00705F34"/>
    <w:rsid w:val="00707200"/>
    <w:rsid w:val="007110CD"/>
    <w:rsid w:val="00721D1B"/>
    <w:rsid w:val="00722A3C"/>
    <w:rsid w:val="00722FC0"/>
    <w:rsid w:val="00723AB1"/>
    <w:rsid w:val="007275DE"/>
    <w:rsid w:val="00735C64"/>
    <w:rsid w:val="00736A9A"/>
    <w:rsid w:val="00770C53"/>
    <w:rsid w:val="007B0EDF"/>
    <w:rsid w:val="007B7215"/>
    <w:rsid w:val="007B7C6E"/>
    <w:rsid w:val="007C0E3C"/>
    <w:rsid w:val="007C15E6"/>
    <w:rsid w:val="007F0DBA"/>
    <w:rsid w:val="007F789B"/>
    <w:rsid w:val="00802F63"/>
    <w:rsid w:val="008035DE"/>
    <w:rsid w:val="008059F9"/>
    <w:rsid w:val="00811099"/>
    <w:rsid w:val="00811DA0"/>
    <w:rsid w:val="00860A67"/>
    <w:rsid w:val="00863834"/>
    <w:rsid w:val="0087056B"/>
    <w:rsid w:val="00873D94"/>
    <w:rsid w:val="008975D3"/>
    <w:rsid w:val="008C085B"/>
    <w:rsid w:val="008D53A9"/>
    <w:rsid w:val="008F358D"/>
    <w:rsid w:val="008F67F4"/>
    <w:rsid w:val="00913073"/>
    <w:rsid w:val="00916D4C"/>
    <w:rsid w:val="00917688"/>
    <w:rsid w:val="00923CE3"/>
    <w:rsid w:val="0093223D"/>
    <w:rsid w:val="00950F9E"/>
    <w:rsid w:val="00951786"/>
    <w:rsid w:val="0095368F"/>
    <w:rsid w:val="009A6AC8"/>
    <w:rsid w:val="009D25A6"/>
    <w:rsid w:val="009D2DB0"/>
    <w:rsid w:val="009E2C52"/>
    <w:rsid w:val="009E3ACB"/>
    <w:rsid w:val="009F1753"/>
    <w:rsid w:val="00A016A3"/>
    <w:rsid w:val="00A02F00"/>
    <w:rsid w:val="00A11C58"/>
    <w:rsid w:val="00A20D9B"/>
    <w:rsid w:val="00A25740"/>
    <w:rsid w:val="00A3531A"/>
    <w:rsid w:val="00A449F3"/>
    <w:rsid w:val="00A605BB"/>
    <w:rsid w:val="00A6212D"/>
    <w:rsid w:val="00A90CA6"/>
    <w:rsid w:val="00A93B2E"/>
    <w:rsid w:val="00AA0E49"/>
    <w:rsid w:val="00AA3E41"/>
    <w:rsid w:val="00AB2242"/>
    <w:rsid w:val="00AB5526"/>
    <w:rsid w:val="00AD1762"/>
    <w:rsid w:val="00AE071A"/>
    <w:rsid w:val="00AF6F6D"/>
    <w:rsid w:val="00B136BF"/>
    <w:rsid w:val="00B502FF"/>
    <w:rsid w:val="00B53A61"/>
    <w:rsid w:val="00B56416"/>
    <w:rsid w:val="00B646E5"/>
    <w:rsid w:val="00B66D44"/>
    <w:rsid w:val="00B709C2"/>
    <w:rsid w:val="00B75A8A"/>
    <w:rsid w:val="00BB1C8D"/>
    <w:rsid w:val="00BB4B87"/>
    <w:rsid w:val="00BC29BF"/>
    <w:rsid w:val="00BD6C84"/>
    <w:rsid w:val="00BD74EB"/>
    <w:rsid w:val="00BE4CD8"/>
    <w:rsid w:val="00BE7874"/>
    <w:rsid w:val="00C00C2A"/>
    <w:rsid w:val="00C26C6D"/>
    <w:rsid w:val="00C601BE"/>
    <w:rsid w:val="00C62255"/>
    <w:rsid w:val="00C65EA8"/>
    <w:rsid w:val="00C66C78"/>
    <w:rsid w:val="00C71EA3"/>
    <w:rsid w:val="00C73F48"/>
    <w:rsid w:val="00C760DC"/>
    <w:rsid w:val="00C810F8"/>
    <w:rsid w:val="00C8657F"/>
    <w:rsid w:val="00C87EBC"/>
    <w:rsid w:val="00CC38A1"/>
    <w:rsid w:val="00CE30CB"/>
    <w:rsid w:val="00D02534"/>
    <w:rsid w:val="00D0357E"/>
    <w:rsid w:val="00D14A2E"/>
    <w:rsid w:val="00D31973"/>
    <w:rsid w:val="00D35F85"/>
    <w:rsid w:val="00D71A32"/>
    <w:rsid w:val="00D72041"/>
    <w:rsid w:val="00D74B76"/>
    <w:rsid w:val="00D86F40"/>
    <w:rsid w:val="00DA71AF"/>
    <w:rsid w:val="00DA7E9A"/>
    <w:rsid w:val="00DB5F51"/>
    <w:rsid w:val="00DD176D"/>
    <w:rsid w:val="00DD2506"/>
    <w:rsid w:val="00DD58A4"/>
    <w:rsid w:val="00DE50C4"/>
    <w:rsid w:val="00DF02F3"/>
    <w:rsid w:val="00DF1E41"/>
    <w:rsid w:val="00E018FB"/>
    <w:rsid w:val="00E10693"/>
    <w:rsid w:val="00E13EB4"/>
    <w:rsid w:val="00E370A5"/>
    <w:rsid w:val="00E40547"/>
    <w:rsid w:val="00E60E9A"/>
    <w:rsid w:val="00E65D24"/>
    <w:rsid w:val="00E82B49"/>
    <w:rsid w:val="00E83A6E"/>
    <w:rsid w:val="00EC0C46"/>
    <w:rsid w:val="00EC17D6"/>
    <w:rsid w:val="00EC4C02"/>
    <w:rsid w:val="00ED118A"/>
    <w:rsid w:val="00ED437D"/>
    <w:rsid w:val="00EE2CEB"/>
    <w:rsid w:val="00F123CE"/>
    <w:rsid w:val="00F258DD"/>
    <w:rsid w:val="00F349BC"/>
    <w:rsid w:val="00F34B52"/>
    <w:rsid w:val="00F37E82"/>
    <w:rsid w:val="00F44156"/>
    <w:rsid w:val="00F44C31"/>
    <w:rsid w:val="00F50D16"/>
    <w:rsid w:val="00F56A4A"/>
    <w:rsid w:val="00F863BD"/>
    <w:rsid w:val="00F92ACF"/>
    <w:rsid w:val="00F97BF7"/>
    <w:rsid w:val="00FA01F9"/>
    <w:rsid w:val="00FB2EF1"/>
    <w:rsid w:val="00FB351D"/>
    <w:rsid w:val="00FD79F5"/>
    <w:rsid w:val="00FF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character" w:styleId="a8">
    <w:name w:val="annotation reference"/>
    <w:uiPriority w:val="99"/>
    <w:semiHidden/>
    <w:unhideWhenUsed/>
    <w:rsid w:val="00C601B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C601BE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C601BE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01BE"/>
    <w:rPr>
      <w:b/>
      <w:bCs/>
    </w:rPr>
  </w:style>
  <w:style w:type="character" w:customStyle="1" w:styleId="Char4">
    <w:name w:val="批注主题 Char"/>
    <w:link w:val="aa"/>
    <w:uiPriority w:val="99"/>
    <w:semiHidden/>
    <w:rsid w:val="00C601BE"/>
    <w:rPr>
      <w:b/>
      <w:bCs/>
      <w:kern w:val="2"/>
      <w:sz w:val="21"/>
    </w:rPr>
  </w:style>
  <w:style w:type="paragraph" w:styleId="ab">
    <w:name w:val="Balloon Text"/>
    <w:basedOn w:val="a"/>
    <w:link w:val="Char5"/>
    <w:uiPriority w:val="99"/>
    <w:semiHidden/>
    <w:unhideWhenUsed/>
    <w:rsid w:val="00C601BE"/>
    <w:rPr>
      <w:sz w:val="18"/>
      <w:szCs w:val="18"/>
      <w:lang/>
    </w:rPr>
  </w:style>
  <w:style w:type="character" w:customStyle="1" w:styleId="Char5">
    <w:name w:val="批注框文本 Char"/>
    <w:link w:val="ab"/>
    <w:uiPriority w:val="99"/>
    <w:semiHidden/>
    <w:rsid w:val="00C601BE"/>
    <w:rPr>
      <w:kern w:val="2"/>
      <w:sz w:val="18"/>
      <w:szCs w:val="18"/>
    </w:rPr>
  </w:style>
  <w:style w:type="paragraph" w:customStyle="1" w:styleId="Default">
    <w:name w:val="Default"/>
    <w:rsid w:val="00EC0C4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Revision"/>
    <w:hidden/>
    <w:uiPriority w:val="99"/>
    <w:semiHidden/>
    <w:rsid w:val="003171F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505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4614-21E6-42FA-80AD-D3F4D29F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关于中金现金管家货币市场基金暂停大额申购、转换转入、定期定额业务的公告</dc:title>
  <dc:subject/>
  <dc:creator>Weijun Wang</dc:creator>
  <cp:keywords/>
  <cp:lastModifiedBy>ZHONGM</cp:lastModifiedBy>
  <cp:revision>2</cp:revision>
  <cp:lastPrinted>2021-09-14T10:28:00Z</cp:lastPrinted>
  <dcterms:created xsi:type="dcterms:W3CDTF">2022-01-17T16:02:00Z</dcterms:created>
  <dcterms:modified xsi:type="dcterms:W3CDTF">2022-01-17T16:02:00Z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