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2" w:rsidRPr="00B64A1E" w:rsidRDefault="009C7417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a3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冀东水泥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（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000401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RDefault="009C7417" w:rsidP="0057502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="00575028" w:rsidRPr="00472218">
        <w:rPr>
          <w:kern w:val="0"/>
          <w:sz w:val="24"/>
        </w:rPr>
        <w:t>部分</w:t>
      </w:r>
      <w:r w:rsidR="00377AFD" w:rsidRPr="00472218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="00F20762" w:rsidRPr="00472218">
        <w:rPr>
          <w:kern w:val="0"/>
          <w:sz w:val="24"/>
        </w:rPr>
        <w:t>唐山冀东水泥股份有限公司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RDefault="009C7417" w:rsidP="00387016">
      <w:pPr>
        <w:widowControl/>
        <w:spacing w:after="240"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根据中国证监会《公开募集</w:t>
      </w:r>
      <w:bookmarkStart w:id="0" w:name="_GoBack"/>
      <w:bookmarkEnd w:id="0"/>
      <w:r>
        <w:rPr>
          <w:kern w:val="0"/>
          <w:sz w:val="24"/>
        </w:rPr>
        <w:t>证券投资基金信息披露管理办法》</w:t>
      </w:r>
      <w:r w:rsidR="00EA10E2" w:rsidRPr="00472218">
        <w:rPr>
          <w:kern w:val="0"/>
          <w:sz w:val="24"/>
        </w:rPr>
        <w:t>《关于基金投资非公开发行股票等流通受限证券有关问题的通知》等有关规定</w:t>
      </w:r>
      <w:r w:rsidR="00EA10E2" w:rsidRPr="00472218">
        <w:rPr>
          <w:kern w:val="0"/>
          <w:sz w:val="24"/>
        </w:rPr>
        <w:t>,</w:t>
      </w:r>
      <w:r w:rsidR="00EA10E2" w:rsidRPr="00472218">
        <w:rPr>
          <w:kern w:val="0"/>
          <w:sz w:val="24"/>
        </w:rPr>
        <w:t>本公司现将</w:t>
      </w:r>
      <w:r w:rsidR="00E80951" w:rsidRPr="00E80951">
        <w:rPr>
          <w:rFonts w:hint="eastAsia"/>
          <w:kern w:val="0"/>
          <w:sz w:val="24"/>
        </w:rPr>
        <w:t>旗下</w:t>
      </w:r>
      <w:r w:rsidR="00FC7DF3" w:rsidRPr="00472218">
        <w:rPr>
          <w:kern w:val="0"/>
          <w:sz w:val="24"/>
        </w:rPr>
        <w:t>基金</w:t>
      </w:r>
      <w:r w:rsidR="00EA10E2" w:rsidRPr="00472218">
        <w:rPr>
          <w:kern w:val="0"/>
          <w:sz w:val="24"/>
        </w:rPr>
        <w:t>获配</w:t>
      </w:r>
      <w:r w:rsidR="00F20762" w:rsidRPr="00472218">
        <w:rPr>
          <w:kern w:val="0"/>
          <w:sz w:val="24"/>
        </w:rPr>
        <w:t>唐山冀东水泥股份有限公司</w:t>
      </w:r>
      <w:r w:rsidR="00EA10E2" w:rsidRPr="00472218">
        <w:rPr>
          <w:kern w:val="0"/>
          <w:sz w:val="24"/>
        </w:rPr>
        <w:t>非公开发行股票情况披露如下：</w:t>
      </w:r>
    </w:p>
    <w:tbl>
      <w:tblPr>
        <w:tblStyle w:val="a8"/>
        <w:tblW w:w="0" w:type="auto"/>
        <w:jc w:val="center"/>
        <w:tblLook w:val="04A0"/>
      </w:tblPr>
      <w:tblGrid>
        <w:gridCol w:w="2189"/>
        <w:gridCol w:w="1123"/>
        <w:gridCol w:w="1486"/>
        <w:gridCol w:w="844"/>
        <w:gridCol w:w="1424"/>
        <w:gridCol w:w="896"/>
        <w:gridCol w:w="560"/>
      </w:tblGrid>
      <w:tr w:rsidR="00A12DF4" w:rsidTr="00387016">
        <w:trPr>
          <w:jc w:val="center"/>
        </w:trPr>
        <w:tc>
          <w:tcPr>
            <w:tcW w:w="992" w:type="dxa"/>
            <w:vAlign w:val="center"/>
          </w:tcPr>
          <w:p w:rsidR="00387016" w:rsidRPr="0054726D" w:rsidRDefault="009C7417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41" w:type="dxa"/>
            <w:vAlign w:val="center"/>
          </w:tcPr>
          <w:p w:rsidR="00387016" w:rsidRPr="0054726D" w:rsidRDefault="009C7417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594" w:type="dxa"/>
            <w:vAlign w:val="center"/>
          </w:tcPr>
          <w:p w:rsidR="00387016" w:rsidRPr="0054726D" w:rsidRDefault="009C7417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993" w:type="dxa"/>
            <w:vAlign w:val="center"/>
          </w:tcPr>
          <w:p w:rsidR="00387016" w:rsidRPr="0054726D" w:rsidRDefault="009C7417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17" w:type="dxa"/>
            <w:vAlign w:val="center"/>
          </w:tcPr>
          <w:p w:rsidR="00387016" w:rsidRPr="0054726D" w:rsidRDefault="009C7417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134" w:type="dxa"/>
            <w:vAlign w:val="center"/>
          </w:tcPr>
          <w:p w:rsidR="00387016" w:rsidRPr="0054726D" w:rsidRDefault="009C7417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788" w:type="dxa"/>
            <w:vAlign w:val="center"/>
          </w:tcPr>
          <w:p w:rsidR="00387016" w:rsidRPr="0054726D" w:rsidRDefault="009C7417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 w:rsidR="00A12DF4">
        <w:trPr>
          <w:jc w:val="center"/>
        </w:trPr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易方达裕惠回报定期开放式混合型发起式证券投资基金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535,715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6,000,008.00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0.20%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6,289,294.10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0.20%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A12DF4">
        <w:trPr>
          <w:jc w:val="center"/>
        </w:trPr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易方达裕如灵活配置混合型证券投资基金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178,572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2,000,006.40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0.14%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2,096,435.28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0.15%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A12DF4">
        <w:trPr>
          <w:jc w:val="center"/>
        </w:trPr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易方达增强回报债券型证券投资基金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8,035,714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89,999,996.80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0.36%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94,339,282.36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0.38%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A12DF4">
        <w:trPr>
          <w:jc w:val="center"/>
        </w:trPr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易方达双债增强债券型证券投资基金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7,142,856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79,999,987.20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0.73%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83,857,129.44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0.76%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A12DF4">
        <w:trPr>
          <w:jc w:val="center"/>
        </w:trPr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易方达岁丰添利债券型证券投资基金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1,339,285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14,999,992.00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0.43%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15,723,205.90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0.45%</w:t>
            </w:r>
          </w:p>
        </w:tc>
        <w:tc>
          <w:tcPr>
            <w:tcW w:w="0" w:type="auto"/>
            <w:vAlign w:val="center"/>
          </w:tcPr>
          <w:p w:rsidR="00A12DF4" w:rsidRDefault="009C7417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</w:tbl>
    <w:p w:rsidR="00387016" w:rsidRPr="00472218" w:rsidRDefault="00387016" w:rsidP="006905CB">
      <w:pPr>
        <w:spacing w:line="360" w:lineRule="auto"/>
        <w:rPr>
          <w:kern w:val="0"/>
          <w:sz w:val="24"/>
        </w:rPr>
      </w:pPr>
    </w:p>
    <w:p w:rsidR="006905CB" w:rsidRPr="00472218" w:rsidRDefault="009C7417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="00F20762" w:rsidRPr="00472218">
        <w:rPr>
          <w:kern w:val="0"/>
          <w:sz w:val="24"/>
        </w:rPr>
        <w:t>2022</w:t>
      </w:r>
      <w:r w:rsidR="00F20762" w:rsidRPr="00472218">
        <w:rPr>
          <w:kern w:val="0"/>
          <w:sz w:val="24"/>
        </w:rPr>
        <w:t>年</w:t>
      </w:r>
      <w:r w:rsidR="00F20762" w:rsidRPr="00472218">
        <w:rPr>
          <w:kern w:val="0"/>
          <w:sz w:val="24"/>
        </w:rPr>
        <w:t>1</w:t>
      </w:r>
      <w:r w:rsidR="00F20762" w:rsidRPr="00472218">
        <w:rPr>
          <w:kern w:val="0"/>
          <w:sz w:val="24"/>
        </w:rPr>
        <w:t>月</w:t>
      </w:r>
      <w:r w:rsidR="00F20762" w:rsidRPr="00472218">
        <w:rPr>
          <w:kern w:val="0"/>
          <w:sz w:val="24"/>
        </w:rPr>
        <w:t>13</w:t>
      </w:r>
      <w:r w:rsidR="00F20762" w:rsidRPr="00472218">
        <w:rPr>
          <w:kern w:val="0"/>
          <w:sz w:val="24"/>
        </w:rPr>
        <w:t>日</w:t>
      </w:r>
      <w:r w:rsidRPr="00472218">
        <w:rPr>
          <w:kern w:val="0"/>
          <w:sz w:val="24"/>
        </w:rPr>
        <w:t>数据。</w:t>
      </w:r>
    </w:p>
    <w:p w:rsidR="006905CB" w:rsidRPr="00472218" w:rsidRDefault="009C7417" w:rsidP="00E94FC4">
      <w:pPr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="003F4B29" w:rsidRPr="00472218">
        <w:rPr>
          <w:kern w:val="0"/>
          <w:sz w:val="24"/>
        </w:rPr>
        <w:t>。</w:t>
      </w:r>
    </w:p>
    <w:p w:rsidR="006905CB" w:rsidRPr="00472218" w:rsidRDefault="009C7417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RDefault="009C7417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2022</w:t>
      </w:r>
      <w:r w:rsidRPr="00472218">
        <w:rPr>
          <w:kern w:val="0"/>
          <w:sz w:val="24"/>
        </w:rPr>
        <w:t>年</w:t>
      </w:r>
      <w:r w:rsidRPr="00472218">
        <w:rPr>
          <w:kern w:val="0"/>
          <w:sz w:val="24"/>
        </w:rPr>
        <w:t>1</w:t>
      </w:r>
      <w:r w:rsidRPr="00472218">
        <w:rPr>
          <w:kern w:val="0"/>
          <w:sz w:val="24"/>
        </w:rPr>
        <w:t>月</w:t>
      </w:r>
      <w:r w:rsidRPr="00472218">
        <w:rPr>
          <w:kern w:val="0"/>
          <w:sz w:val="24"/>
        </w:rPr>
        <w:t>15</w:t>
      </w:r>
      <w:r w:rsidRPr="00472218">
        <w:rPr>
          <w:kern w:val="0"/>
          <w:sz w:val="24"/>
        </w:rPr>
        <w:t>日</w:t>
      </w: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Pr="00EA10E2" w:rsidRDefault="008068CA" w:rsidP="00740340">
      <w:pPr>
        <w:spacing w:line="360" w:lineRule="auto"/>
        <w:jc w:val="right"/>
      </w:pPr>
    </w:p>
    <w:sectPr w:rsidR="008068CA" w:rsidRPr="00EA10E2"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0E2"/>
    <w:rsid w:val="000068AC"/>
    <w:rsid w:val="00056A9D"/>
    <w:rsid w:val="00067C88"/>
    <w:rsid w:val="0007578E"/>
    <w:rsid w:val="00084730"/>
    <w:rsid w:val="00091454"/>
    <w:rsid w:val="00091C26"/>
    <w:rsid w:val="000D409F"/>
    <w:rsid w:val="000F4885"/>
    <w:rsid w:val="001104F8"/>
    <w:rsid w:val="00182DBA"/>
    <w:rsid w:val="00185879"/>
    <w:rsid w:val="00196752"/>
    <w:rsid w:val="001B1DBB"/>
    <w:rsid w:val="001C374B"/>
    <w:rsid w:val="001C412F"/>
    <w:rsid w:val="001E1CD2"/>
    <w:rsid w:val="00225369"/>
    <w:rsid w:val="00277148"/>
    <w:rsid w:val="00294F51"/>
    <w:rsid w:val="00296B13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F4B29"/>
    <w:rsid w:val="00426619"/>
    <w:rsid w:val="00437EFE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7759"/>
    <w:rsid w:val="005D6EFF"/>
    <w:rsid w:val="005F5B86"/>
    <w:rsid w:val="006162D1"/>
    <w:rsid w:val="0066427C"/>
    <w:rsid w:val="0067264D"/>
    <w:rsid w:val="006742D8"/>
    <w:rsid w:val="006904DC"/>
    <w:rsid w:val="006905CB"/>
    <w:rsid w:val="00694AB9"/>
    <w:rsid w:val="006A6F40"/>
    <w:rsid w:val="006B20BE"/>
    <w:rsid w:val="006B73C3"/>
    <w:rsid w:val="006E31C5"/>
    <w:rsid w:val="006E3C8F"/>
    <w:rsid w:val="00701BA4"/>
    <w:rsid w:val="00713551"/>
    <w:rsid w:val="00740340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943EEF"/>
    <w:rsid w:val="00945A25"/>
    <w:rsid w:val="00953744"/>
    <w:rsid w:val="009744BE"/>
    <w:rsid w:val="00990035"/>
    <w:rsid w:val="009A0A35"/>
    <w:rsid w:val="009A4875"/>
    <w:rsid w:val="009B4906"/>
    <w:rsid w:val="009C0D0E"/>
    <w:rsid w:val="009C7417"/>
    <w:rsid w:val="009F70AA"/>
    <w:rsid w:val="009F7B3D"/>
    <w:rsid w:val="00A023DA"/>
    <w:rsid w:val="00A12DF4"/>
    <w:rsid w:val="00A76FCB"/>
    <w:rsid w:val="00A9101C"/>
    <w:rsid w:val="00AD2F78"/>
    <w:rsid w:val="00AE5C3D"/>
    <w:rsid w:val="00B06905"/>
    <w:rsid w:val="00B27AC1"/>
    <w:rsid w:val="00B37206"/>
    <w:rsid w:val="00B57F57"/>
    <w:rsid w:val="00B64A1E"/>
    <w:rsid w:val="00B67FB7"/>
    <w:rsid w:val="00BA15AC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73256"/>
    <w:rsid w:val="00C74CAB"/>
    <w:rsid w:val="00C76D21"/>
    <w:rsid w:val="00CA7C64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716D"/>
    <w:rsid w:val="00E37F29"/>
    <w:rsid w:val="00E41585"/>
    <w:rsid w:val="00E46D9A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2449"/>
    <w:rsid w:val="00FC7DF3"/>
    <w:rsid w:val="00FF2B45"/>
    <w:rsid w:val="00FF37E9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a3">
    <w:name w:val="Strong"/>
    <w:qFormat/>
    <w:rsid w:val="00EA10E2"/>
    <w:rPr>
      <w:b/>
      <w:bCs/>
    </w:rPr>
  </w:style>
  <w:style w:type="character" w:styleId="HTML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semiHidden/>
    <w:rsid w:val="00EA10E2"/>
    <w:rPr>
      <w:sz w:val="18"/>
      <w:szCs w:val="18"/>
    </w:rPr>
  </w:style>
  <w:style w:type="paragraph" w:styleId="a5">
    <w:name w:val="header"/>
    <w:basedOn w:val="a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A6FD4"/>
    <w:rPr>
      <w:kern w:val="2"/>
      <w:sz w:val="18"/>
      <w:szCs w:val="18"/>
    </w:rPr>
  </w:style>
  <w:style w:type="paragraph" w:styleId="a6">
    <w:name w:val="footer"/>
    <w:basedOn w:val="a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A6FD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068CA"/>
    <w:pPr>
      <w:ind w:leftChars="2500" w:left="100"/>
    </w:pPr>
  </w:style>
  <w:style w:type="character" w:customStyle="1" w:styleId="Char1">
    <w:name w:val="日期 Char"/>
    <w:link w:val="a7"/>
    <w:rsid w:val="008068CA"/>
    <w:rPr>
      <w:kern w:val="2"/>
      <w:sz w:val="21"/>
      <w:szCs w:val="24"/>
    </w:rPr>
  </w:style>
  <w:style w:type="table" w:styleId="a8">
    <w:name w:val="Table Grid"/>
    <w:basedOn w:val="a1"/>
    <w:rsid w:val="0038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ECD0-3733-4592-825D-6516D5B7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4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易方达基金管理有限公司关于旗下部分基金获配中泰化学（002092）非公开发行A股的公告</dc:title>
  <dc:creator>刘树荣</dc:creator>
  <cp:lastModifiedBy>ZHONGM</cp:lastModifiedBy>
  <cp:revision>2</cp:revision>
  <cp:lastPrinted>2010-08-23T02:49:00Z</cp:lastPrinted>
  <dcterms:created xsi:type="dcterms:W3CDTF">2022-01-14T16:01:00Z</dcterms:created>
  <dcterms:modified xsi:type="dcterms:W3CDTF">2022-01-14T16:01:00Z</dcterms:modified>
</cp:coreProperties>
</file>