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AF" w:rsidRPr="007D4BAC" w:rsidRDefault="00F624D8">
      <w:pPr>
        <w:widowControl/>
        <w:shd w:val="clear" w:color="auto" w:fill="FFFFFF"/>
        <w:adjustRightInd w:val="0"/>
        <w:snapToGrid w:val="0"/>
        <w:spacing w:after="300" w:line="360" w:lineRule="auto"/>
        <w:jc w:val="center"/>
        <w:outlineLvl w:val="2"/>
        <w:rPr>
          <w:rFonts w:ascii="宋体" w:eastAsia="宋体" w:hAnsi="宋体" w:cs="宋体"/>
          <w:b/>
          <w:bCs/>
          <w:kern w:val="0"/>
          <w:sz w:val="28"/>
          <w:szCs w:val="24"/>
        </w:rPr>
      </w:pPr>
      <w:bookmarkStart w:id="0" w:name="_GoBack"/>
      <w:bookmarkEnd w:id="0"/>
      <w:r w:rsidRPr="007D4BAC">
        <w:rPr>
          <w:rFonts w:ascii="宋体" w:eastAsia="宋体" w:hAnsi="宋体" w:cs="宋体" w:hint="eastAsia"/>
          <w:b/>
          <w:bCs/>
          <w:kern w:val="0"/>
          <w:sz w:val="28"/>
          <w:szCs w:val="24"/>
        </w:rPr>
        <w:t xml:space="preserve"> </w:t>
      </w:r>
      <w:r w:rsidR="0064283F" w:rsidRPr="007D4BAC">
        <w:rPr>
          <w:rFonts w:ascii="宋体" w:eastAsia="宋体" w:hAnsi="宋体" w:cs="宋体" w:hint="eastAsia"/>
          <w:b/>
          <w:bCs/>
          <w:kern w:val="0"/>
          <w:sz w:val="28"/>
          <w:szCs w:val="24"/>
        </w:rPr>
        <w:t>金鹰基金管理有限公司</w:t>
      </w:r>
      <w:r w:rsidR="00180312" w:rsidRPr="00180312">
        <w:rPr>
          <w:rFonts w:ascii="宋体" w:eastAsia="宋体" w:hAnsi="宋体" w:cs="宋体" w:hint="eastAsia"/>
          <w:b/>
          <w:bCs/>
          <w:kern w:val="0"/>
          <w:sz w:val="28"/>
          <w:szCs w:val="24"/>
        </w:rPr>
        <w:t>旗下部分基金</w:t>
      </w:r>
      <w:r w:rsidR="0064283F" w:rsidRPr="007D4BAC">
        <w:rPr>
          <w:rFonts w:ascii="宋体" w:eastAsia="宋体" w:hAnsi="宋体" w:cs="宋体" w:hint="eastAsia"/>
          <w:b/>
          <w:bCs/>
          <w:kern w:val="0"/>
          <w:sz w:val="28"/>
          <w:szCs w:val="24"/>
        </w:rPr>
        <w:t>新增</w:t>
      </w:r>
      <w:r w:rsidR="005858C4">
        <w:rPr>
          <w:rFonts w:ascii="宋体" w:eastAsia="宋体" w:hAnsi="宋体" w:cs="宋体" w:hint="eastAsia"/>
          <w:b/>
          <w:bCs/>
          <w:kern w:val="0"/>
          <w:sz w:val="28"/>
          <w:szCs w:val="24"/>
        </w:rPr>
        <w:t>腾安基金销售（深圳）有限公司</w:t>
      </w:r>
      <w:r w:rsidR="0064283F" w:rsidRPr="007D4BAC">
        <w:rPr>
          <w:rFonts w:ascii="宋体" w:eastAsia="宋体" w:hAnsi="宋体" w:cs="宋体" w:hint="eastAsia"/>
          <w:b/>
          <w:bCs/>
          <w:kern w:val="0"/>
          <w:sz w:val="28"/>
          <w:szCs w:val="24"/>
        </w:rPr>
        <w:t>为代销机构</w:t>
      </w:r>
      <w:r w:rsidR="000F751B" w:rsidRPr="000F751B">
        <w:rPr>
          <w:rFonts w:ascii="宋体" w:eastAsia="宋体" w:hAnsi="宋体" w:cs="宋体" w:hint="eastAsia"/>
          <w:b/>
          <w:bCs/>
          <w:kern w:val="0"/>
          <w:sz w:val="28"/>
          <w:szCs w:val="24"/>
        </w:rPr>
        <w:t>并开通基金转换、基金定投业务及费率优惠的公告</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为了更好地满足广大投资者的理财需求，根据金鹰基金管理有限公司（以下简称“本公司”）与</w:t>
      </w:r>
      <w:r w:rsidR="005858C4">
        <w:rPr>
          <w:rFonts w:cs="Calibri" w:hint="eastAsia"/>
        </w:rPr>
        <w:t>腾安基金销售（深圳）有限公司</w:t>
      </w:r>
      <w:r w:rsidR="00163302">
        <w:rPr>
          <w:rFonts w:hint="eastAsia"/>
        </w:rPr>
        <w:t>（以下简称“</w:t>
      </w:r>
      <w:r w:rsidR="005858C4">
        <w:rPr>
          <w:rFonts w:cs="Calibri" w:hint="eastAsia"/>
        </w:rPr>
        <w:t>腾安基金</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180312">
        <w:t>本公司决定自202</w:t>
      </w:r>
      <w:r w:rsidR="00A51A7C">
        <w:t>2</w:t>
      </w:r>
      <w:r w:rsidR="00180312">
        <w:t>年</w:t>
      </w:r>
      <w:r w:rsidR="00A51A7C">
        <w:t>1</w:t>
      </w:r>
      <w:r w:rsidR="00180312">
        <w:t>月</w:t>
      </w:r>
      <w:r w:rsidR="00224FC9">
        <w:t>7</w:t>
      </w:r>
      <w:r w:rsidR="00180312">
        <w:t>日起</w:t>
      </w:r>
      <w:r w:rsidR="00F043D3">
        <w:t>，</w:t>
      </w:r>
      <w:r w:rsidR="00180312">
        <w:t>通过</w:t>
      </w:r>
      <w:r w:rsidR="005858C4">
        <w:rPr>
          <w:rFonts w:hint="eastAsia"/>
        </w:rPr>
        <w:t>腾安基金</w:t>
      </w:r>
      <w:r w:rsidR="00180312">
        <w:t>代理销售本公司旗下部分基金，</w:t>
      </w:r>
      <w:r w:rsidR="00702DBD">
        <w:t>并开通基金转换、基金定期定额投资（以 下简称“基金定投”）业务及费率优惠，</w:t>
      </w:r>
      <w:r w:rsidR="00180312">
        <w:t>具体公告如下：</w:t>
      </w:r>
    </w:p>
    <w:p w:rsidR="00A00AAF" w:rsidRPr="00180312"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180312" w:rsidRDefault="009877A4" w:rsidP="002A454B">
      <w:pPr>
        <w:pStyle w:val="a7"/>
        <w:shd w:val="clear" w:color="auto" w:fill="FFFFFF"/>
        <w:adjustRightInd w:val="0"/>
        <w:snapToGrid w:val="0"/>
        <w:spacing w:before="0" w:beforeAutospacing="0" w:after="0" w:afterAutospacing="0" w:line="360" w:lineRule="auto"/>
        <w:ind w:firstLine="420"/>
        <w:jc w:val="both"/>
        <w:rPr>
          <w:rFonts w:asciiTheme="minorEastAsia" w:eastAsiaTheme="minorEastAsia" w:hAnsiTheme="minorEastAsia" w:cs="Calibri"/>
        </w:rPr>
      </w:pPr>
      <w:r w:rsidRPr="009877A4">
        <w:rPr>
          <w:rFonts w:cs="Calibri" w:hint="eastAsia"/>
        </w:rPr>
        <w:t> </w:t>
      </w:r>
      <w:r w:rsidR="002A228B" w:rsidRPr="00180312">
        <w:rPr>
          <w:rFonts w:asciiTheme="minorEastAsia" w:eastAsiaTheme="minorEastAsia" w:hAnsiTheme="minorEastAsia" w:cs="Calibri" w:hint="eastAsia"/>
        </w:rPr>
        <w:t>一、新增代销基金</w:t>
      </w:r>
      <w:r w:rsidRPr="00180312">
        <w:rPr>
          <w:rFonts w:asciiTheme="minorEastAsia" w:eastAsiaTheme="minorEastAsia" w:hAnsiTheme="minorEastAsia" w:cs="Calibri" w:hint="eastAsia"/>
        </w:rPr>
        <w:t xml:space="preserve"> </w:t>
      </w:r>
    </w:p>
    <w:tbl>
      <w:tblPr>
        <w:tblW w:w="645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90"/>
        <w:gridCol w:w="4862"/>
      </w:tblGrid>
      <w:tr w:rsidR="00C37A3F" w:rsidTr="00C37A3F">
        <w:trPr>
          <w:trHeight w:val="312"/>
        </w:trPr>
        <w:tc>
          <w:tcPr>
            <w:tcW w:w="1590" w:type="dxa"/>
            <w:shd w:val="clear" w:color="auto" w:fill="auto"/>
            <w:tcMar>
              <w:top w:w="15" w:type="dxa"/>
              <w:left w:w="15" w:type="dxa"/>
              <w:right w:w="15" w:type="dxa"/>
            </w:tcMar>
            <w:vAlign w:val="center"/>
          </w:tcPr>
          <w:p w:rsidR="00C37A3F" w:rsidRDefault="00C37A3F" w:rsidP="00547363">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基金代码</w:t>
            </w:r>
          </w:p>
        </w:tc>
        <w:tc>
          <w:tcPr>
            <w:tcW w:w="4862" w:type="dxa"/>
            <w:shd w:val="clear" w:color="auto" w:fill="auto"/>
            <w:tcMar>
              <w:top w:w="15" w:type="dxa"/>
              <w:left w:w="15" w:type="dxa"/>
              <w:right w:w="15" w:type="dxa"/>
            </w:tcMar>
            <w:vAlign w:val="center"/>
          </w:tcPr>
          <w:p w:rsidR="00C37A3F" w:rsidRDefault="00C37A3F" w:rsidP="00547363">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产品名称</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000110</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金鹰元安混合型证券投资基金</w:t>
            </w:r>
            <w:r>
              <w:rPr>
                <w:rFonts w:hint="eastAsia"/>
                <w:color w:val="000000"/>
                <w:sz w:val="22"/>
              </w:rPr>
              <w:t>A</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001167</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金鹰科技创新股票型证券投资基金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001298</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金鹰民族新兴灵活配置混合型证券投资基金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001366</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金鹰产业整合灵活配置混合型证券投资基金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001951</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金鹰改革红利灵活配置混合型证券投资基金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002425</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金鹰元禧混合型证券投资基金</w:t>
            </w:r>
            <w:r>
              <w:rPr>
                <w:rFonts w:hint="eastAsia"/>
                <w:color w:val="000000"/>
                <w:sz w:val="22"/>
              </w:rPr>
              <w:t>C</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002490</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金鹰元祺信用债债券型证券投资基金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002513</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金鹰元安混合型证券投资基金</w:t>
            </w:r>
            <w:r>
              <w:rPr>
                <w:rFonts w:hint="eastAsia"/>
                <w:color w:val="000000"/>
                <w:sz w:val="22"/>
              </w:rPr>
              <w:t>C</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002681</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金鹰元和灵活配置混合型证券投资基金</w:t>
            </w:r>
            <w:r>
              <w:rPr>
                <w:rFonts w:hint="eastAsia"/>
                <w:color w:val="000000"/>
                <w:sz w:val="22"/>
              </w:rPr>
              <w:t>A</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002682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金鹰元和灵活配置混合型证券投资基金</w:t>
            </w:r>
            <w:r>
              <w:rPr>
                <w:rFonts w:hint="eastAsia"/>
                <w:color w:val="000000"/>
                <w:sz w:val="22"/>
              </w:rPr>
              <w:t>C</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002844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金鹰多元策略灵活配置混合型证券投资基金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003484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金鹰鑫益灵活配置混合型证券投资基金</w:t>
            </w:r>
            <w:r>
              <w:rPr>
                <w:rFonts w:hint="eastAsia"/>
                <w:color w:val="000000"/>
                <w:sz w:val="22"/>
              </w:rPr>
              <w:t>A</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003485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金鹰鑫益灵活配置混合型证券投资基金</w:t>
            </w:r>
            <w:r>
              <w:rPr>
                <w:rFonts w:hint="eastAsia"/>
                <w:color w:val="000000"/>
                <w:sz w:val="22"/>
              </w:rPr>
              <w:t>C</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003502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金鹰鑫瑞灵活配置混合型证券投资基金</w:t>
            </w:r>
            <w:r>
              <w:rPr>
                <w:rFonts w:hint="eastAsia"/>
                <w:color w:val="000000"/>
                <w:sz w:val="22"/>
              </w:rPr>
              <w:t>A</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003503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金鹰鑫瑞灵活配置混合型证券投资基金</w:t>
            </w:r>
            <w:r>
              <w:rPr>
                <w:rFonts w:hint="eastAsia"/>
                <w:color w:val="000000"/>
                <w:sz w:val="22"/>
              </w:rPr>
              <w:t>C</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003853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金鹰信息产业股票型证券投资基金</w:t>
            </w:r>
            <w:r w:rsidRPr="00635346">
              <w:rPr>
                <w:rFonts w:hint="eastAsia"/>
                <w:color w:val="000000"/>
                <w:sz w:val="22"/>
              </w:rPr>
              <w:t>A</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004040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金鹰医疗健康产业股票型证券投资基金</w:t>
            </w:r>
            <w:r>
              <w:rPr>
                <w:rFonts w:hint="eastAsia"/>
                <w:color w:val="000000"/>
                <w:sz w:val="22"/>
              </w:rPr>
              <w:t>A</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004041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金鹰医疗健康产业股票型证券投资基金</w:t>
            </w:r>
            <w:r>
              <w:rPr>
                <w:rFonts w:hint="eastAsia"/>
                <w:color w:val="000000"/>
                <w:sz w:val="22"/>
              </w:rPr>
              <w:t>C</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004044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金鹰转型动力灵活配置混合型证券投资基金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004267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金鹰持久增利债券型证券投资基金（</w:t>
            </w:r>
            <w:r w:rsidRPr="00635346">
              <w:rPr>
                <w:color w:val="000000"/>
                <w:sz w:val="22"/>
              </w:rPr>
              <w:t>LOF</w:t>
            </w:r>
            <w:r w:rsidRPr="00635346">
              <w:rPr>
                <w:color w:val="000000"/>
                <w:sz w:val="22"/>
              </w:rPr>
              <w:t>）</w:t>
            </w:r>
            <w:r>
              <w:rPr>
                <w:rFonts w:hint="eastAsia"/>
                <w:color w:val="000000"/>
                <w:sz w:val="22"/>
              </w:rPr>
              <w:t>E</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005885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金鹰信息产业股票型证券投资基金</w:t>
            </w:r>
            <w:r w:rsidRPr="00635346">
              <w:rPr>
                <w:rFonts w:hint="eastAsia"/>
                <w:color w:val="000000"/>
                <w:sz w:val="22"/>
              </w:rPr>
              <w:t>C</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color w:val="000000"/>
                <w:sz w:val="22"/>
              </w:rPr>
              <w:t>007233</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金鹰鑫益灵活配置混合型证券投资基金</w:t>
            </w:r>
            <w:r w:rsidRPr="00635346">
              <w:rPr>
                <w:rFonts w:hint="eastAsia"/>
                <w:color w:val="000000"/>
                <w:sz w:val="22"/>
              </w:rPr>
              <w:t>E</w:t>
            </w:r>
            <w:r>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4431EA">
              <w:rPr>
                <w:color w:val="000000"/>
                <w:sz w:val="22"/>
              </w:rPr>
              <w:t>009968</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rFonts w:hint="eastAsia"/>
                <w:color w:val="000000"/>
                <w:sz w:val="22"/>
              </w:rPr>
              <w:t>金鹰内需成长混合型证券投资基金</w:t>
            </w:r>
            <w:r w:rsidRPr="00635346">
              <w:rPr>
                <w:rFonts w:hint="eastAsia"/>
                <w:color w:val="000000"/>
                <w:sz w:val="22"/>
              </w:rPr>
              <w:t>A</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201AEC">
              <w:rPr>
                <w:color w:val="000000"/>
                <w:sz w:val="22"/>
              </w:rPr>
              <w:t>009969</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rFonts w:hint="eastAsia"/>
                <w:color w:val="000000"/>
                <w:sz w:val="22"/>
              </w:rPr>
              <w:t>金鹰内需成长混合型证券投资基金</w:t>
            </w:r>
            <w:r w:rsidRPr="00635346">
              <w:rPr>
                <w:rFonts w:hint="eastAsia"/>
                <w:color w:val="000000"/>
                <w:sz w:val="22"/>
              </w:rPr>
              <w:t>C</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78117E">
              <w:rPr>
                <w:color w:val="000000"/>
                <w:sz w:val="22"/>
              </w:rPr>
              <w:t>011155</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rFonts w:hint="eastAsia"/>
                <w:color w:val="000000"/>
                <w:sz w:val="22"/>
              </w:rPr>
              <w:t>金鹰责任投资混合型证券投资基金</w:t>
            </w:r>
            <w:r w:rsidRPr="00635346">
              <w:rPr>
                <w:rFonts w:hint="eastAsia"/>
                <w:color w:val="000000"/>
                <w:sz w:val="22"/>
              </w:rPr>
              <w:t>A</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78117E">
              <w:rPr>
                <w:color w:val="000000"/>
                <w:sz w:val="22"/>
              </w:rPr>
              <w:t>011156</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rFonts w:hint="eastAsia"/>
                <w:color w:val="000000"/>
                <w:sz w:val="22"/>
              </w:rPr>
              <w:t>金鹰责任投资混合型证券投资基金</w:t>
            </w:r>
            <w:r w:rsidRPr="00635346">
              <w:rPr>
                <w:rFonts w:hint="eastAsia"/>
                <w:color w:val="000000"/>
                <w:sz w:val="22"/>
              </w:rPr>
              <w:t>C</w:t>
            </w:r>
            <w:r w:rsidRPr="00635346">
              <w:rPr>
                <w:rFonts w:hint="eastAsia"/>
                <w:color w:val="000000"/>
                <w:sz w:val="22"/>
              </w:rPr>
              <w:t>类份额</w:t>
            </w:r>
          </w:p>
        </w:tc>
      </w:tr>
      <w:tr w:rsidR="00C37A3F" w:rsidRPr="002E5192" w:rsidTr="00C37A3F">
        <w:trPr>
          <w:trHeight w:val="312"/>
        </w:trPr>
        <w:tc>
          <w:tcPr>
            <w:tcW w:w="1590" w:type="dxa"/>
            <w:shd w:val="clear" w:color="auto" w:fill="auto"/>
            <w:tcMar>
              <w:top w:w="15" w:type="dxa"/>
              <w:left w:w="15" w:type="dxa"/>
              <w:right w:w="15" w:type="dxa"/>
            </w:tcMar>
          </w:tcPr>
          <w:p w:rsidR="00C37A3F" w:rsidRPr="0078117E" w:rsidRDefault="00C37A3F" w:rsidP="00547363">
            <w:pPr>
              <w:rPr>
                <w:color w:val="000000"/>
                <w:sz w:val="22"/>
              </w:rPr>
            </w:pPr>
            <w:r w:rsidRPr="00C91D13">
              <w:rPr>
                <w:color w:val="000000"/>
                <w:sz w:val="22"/>
              </w:rPr>
              <w:lastRenderedPageBreak/>
              <w:t>011260</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金鹰新能源混合型证券投资基金</w:t>
            </w:r>
            <w:r w:rsidRPr="00635346">
              <w:rPr>
                <w:rFonts w:hint="eastAsia"/>
                <w:color w:val="000000"/>
                <w:sz w:val="22"/>
              </w:rPr>
              <w:t xml:space="preserve"> A</w:t>
            </w:r>
            <w:r w:rsidRPr="00635346">
              <w:rPr>
                <w:rFonts w:hint="eastAsia"/>
                <w:color w:val="000000"/>
                <w:sz w:val="22"/>
              </w:rPr>
              <w:t>类份额</w:t>
            </w:r>
          </w:p>
        </w:tc>
      </w:tr>
      <w:tr w:rsidR="00C37A3F" w:rsidRPr="002E5192" w:rsidTr="00C37A3F">
        <w:trPr>
          <w:trHeight w:val="312"/>
        </w:trPr>
        <w:tc>
          <w:tcPr>
            <w:tcW w:w="1590" w:type="dxa"/>
            <w:shd w:val="clear" w:color="auto" w:fill="auto"/>
            <w:tcMar>
              <w:top w:w="15" w:type="dxa"/>
              <w:left w:w="15" w:type="dxa"/>
              <w:right w:w="15" w:type="dxa"/>
            </w:tcMar>
          </w:tcPr>
          <w:p w:rsidR="00C37A3F" w:rsidRPr="0078117E" w:rsidRDefault="00C37A3F" w:rsidP="00547363">
            <w:pPr>
              <w:rPr>
                <w:color w:val="000000"/>
                <w:sz w:val="22"/>
              </w:rPr>
            </w:pPr>
            <w:r w:rsidRPr="00C91D13">
              <w:rPr>
                <w:color w:val="000000"/>
                <w:sz w:val="22"/>
              </w:rPr>
              <w:t>011261</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金鹰新能源混合型证券投资基金</w:t>
            </w:r>
            <w:r w:rsidRPr="00635346">
              <w:rPr>
                <w:rFonts w:hint="eastAsia"/>
                <w:color w:val="000000"/>
                <w:sz w:val="22"/>
              </w:rPr>
              <w:t xml:space="preserve"> C</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012541</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金鹰产业升级混合型证券投资基金</w:t>
            </w:r>
            <w:r w:rsidRPr="00635346">
              <w:rPr>
                <w:rFonts w:hint="eastAsia"/>
                <w:color w:val="000000"/>
                <w:sz w:val="22"/>
              </w:rPr>
              <w:t xml:space="preserve"> A</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012542</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金鹰产业升级混合型证券投资基金</w:t>
            </w:r>
            <w:r w:rsidRPr="00635346">
              <w:rPr>
                <w:rFonts w:hint="eastAsia"/>
                <w:color w:val="000000"/>
                <w:sz w:val="22"/>
              </w:rPr>
              <w:t xml:space="preserve"> C</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013209</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金鹰大视野混合型证券投资基金</w:t>
            </w:r>
            <w:r w:rsidRPr="00635346">
              <w:rPr>
                <w:rFonts w:hint="eastAsia"/>
                <w:color w:val="000000"/>
                <w:sz w:val="22"/>
              </w:rPr>
              <w:t xml:space="preserve"> A</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013210</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78117E">
              <w:rPr>
                <w:rFonts w:hint="eastAsia"/>
                <w:color w:val="000000"/>
                <w:sz w:val="22"/>
              </w:rPr>
              <w:t>金鹰大视野混合型证券投资基金</w:t>
            </w:r>
            <w:r w:rsidRPr="00635346">
              <w:rPr>
                <w:rFonts w:hint="eastAsia"/>
                <w:color w:val="000000"/>
                <w:sz w:val="22"/>
              </w:rPr>
              <w:t xml:space="preserve"> C</w:t>
            </w:r>
            <w:r w:rsidRPr="00635346">
              <w:rPr>
                <w:rFonts w:hint="eastAsia"/>
                <w:color w:val="000000"/>
                <w:sz w:val="22"/>
              </w:rPr>
              <w:t>类份额</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210002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金鹰红利价值灵活配置混合型证券投资基金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210003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金鹰行业优势混合型证券投资基金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210004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金鹰稳健成长混合型证券投资基金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210005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金鹰主题优势混合型证券投资基金</w:t>
            </w:r>
          </w:p>
        </w:tc>
      </w:tr>
      <w:tr w:rsidR="00C37A3F" w:rsidTr="00C37A3F">
        <w:trPr>
          <w:trHeight w:val="312"/>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210006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金鹰元禧混合型证券投资基金</w:t>
            </w:r>
            <w:r>
              <w:rPr>
                <w:rFonts w:hint="eastAsia"/>
                <w:color w:val="000000"/>
                <w:sz w:val="22"/>
              </w:rPr>
              <w:t>A</w:t>
            </w:r>
            <w:r>
              <w:rPr>
                <w:rFonts w:hint="eastAsia"/>
                <w:color w:val="000000"/>
                <w:sz w:val="22"/>
              </w:rPr>
              <w:t>类份额</w:t>
            </w:r>
          </w:p>
        </w:tc>
      </w:tr>
      <w:tr w:rsidR="00C37A3F" w:rsidTr="00C37A3F">
        <w:trPr>
          <w:trHeight w:val="117"/>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210008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金鹰策略配置混合型证券投资基金</w:t>
            </w:r>
          </w:p>
        </w:tc>
      </w:tr>
      <w:tr w:rsidR="00C37A3F" w:rsidTr="00C37A3F">
        <w:trPr>
          <w:trHeight w:val="150"/>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210009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金鹰核心资源混合型证券投资基金</w:t>
            </w:r>
          </w:p>
        </w:tc>
      </w:tr>
      <w:tr w:rsidR="00C37A3F" w:rsidTr="00C37A3F">
        <w:trPr>
          <w:trHeight w:val="151"/>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210010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金鹰灵活配置混合型证券投资基金</w:t>
            </w:r>
            <w:r w:rsidRPr="00635346">
              <w:rPr>
                <w:color w:val="000000"/>
                <w:sz w:val="22"/>
              </w:rPr>
              <w:t>A</w:t>
            </w:r>
            <w:r w:rsidRPr="00635346">
              <w:rPr>
                <w:color w:val="000000"/>
                <w:sz w:val="22"/>
              </w:rPr>
              <w:t>类</w:t>
            </w:r>
            <w:r>
              <w:rPr>
                <w:rFonts w:hint="eastAsia"/>
                <w:color w:val="000000"/>
                <w:sz w:val="22"/>
              </w:rPr>
              <w:t>份额</w:t>
            </w:r>
          </w:p>
        </w:tc>
      </w:tr>
      <w:tr w:rsidR="00C37A3F" w:rsidTr="00C37A3F">
        <w:trPr>
          <w:trHeight w:val="167"/>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210011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金鹰灵活配置混合型证券投资基金</w:t>
            </w:r>
            <w:r w:rsidRPr="00635346">
              <w:rPr>
                <w:rFonts w:hint="eastAsia"/>
                <w:color w:val="000000"/>
                <w:sz w:val="22"/>
              </w:rPr>
              <w:t>C</w:t>
            </w:r>
            <w:r w:rsidRPr="00635346">
              <w:rPr>
                <w:color w:val="000000"/>
                <w:sz w:val="22"/>
              </w:rPr>
              <w:t>类</w:t>
            </w:r>
            <w:r>
              <w:rPr>
                <w:rFonts w:hint="eastAsia"/>
                <w:color w:val="000000"/>
                <w:sz w:val="22"/>
              </w:rPr>
              <w:t>份额</w:t>
            </w:r>
          </w:p>
        </w:tc>
      </w:tr>
      <w:tr w:rsidR="00C37A3F" w:rsidTr="00C37A3F">
        <w:trPr>
          <w:trHeight w:val="134"/>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Pr>
                <w:rFonts w:hint="eastAsia"/>
                <w:color w:val="000000"/>
                <w:sz w:val="22"/>
              </w:rPr>
              <w:t xml:space="preserve">210014 </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金鹰元丰债券型证券投资基金</w:t>
            </w:r>
            <w:r w:rsidR="003F0C0A" w:rsidRPr="00635346">
              <w:rPr>
                <w:rFonts w:hint="eastAsia"/>
                <w:color w:val="000000"/>
                <w:sz w:val="22"/>
              </w:rPr>
              <w:t>A</w:t>
            </w:r>
            <w:r w:rsidR="003F0C0A" w:rsidRPr="00635346">
              <w:rPr>
                <w:rFonts w:hint="eastAsia"/>
                <w:color w:val="000000"/>
                <w:sz w:val="22"/>
              </w:rPr>
              <w:t>类</w:t>
            </w:r>
          </w:p>
        </w:tc>
      </w:tr>
      <w:tr w:rsidR="00C37A3F" w:rsidTr="00C37A3F">
        <w:trPr>
          <w:trHeight w:val="167"/>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014119</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rFonts w:hint="eastAsia"/>
                <w:color w:val="000000"/>
                <w:sz w:val="22"/>
              </w:rPr>
              <w:t>金鹰时代先锋混合型证券投资基金</w:t>
            </w:r>
            <w:r w:rsidRPr="00635346">
              <w:rPr>
                <w:rFonts w:hint="eastAsia"/>
                <w:color w:val="000000"/>
                <w:sz w:val="22"/>
              </w:rPr>
              <w:t>A</w:t>
            </w:r>
            <w:r w:rsidRPr="00635346">
              <w:rPr>
                <w:rFonts w:hint="eastAsia"/>
                <w:color w:val="000000"/>
                <w:sz w:val="22"/>
              </w:rPr>
              <w:t>类</w:t>
            </w:r>
          </w:p>
        </w:tc>
      </w:tr>
      <w:tr w:rsidR="00C37A3F" w:rsidTr="00C37A3F">
        <w:trPr>
          <w:trHeight w:val="167"/>
        </w:trPr>
        <w:tc>
          <w:tcPr>
            <w:tcW w:w="1590" w:type="dxa"/>
            <w:shd w:val="clear" w:color="auto" w:fill="auto"/>
            <w:tcMar>
              <w:top w:w="15" w:type="dxa"/>
              <w:left w:w="15" w:type="dxa"/>
              <w:right w:w="15" w:type="dxa"/>
            </w:tcMar>
          </w:tcPr>
          <w:p w:rsidR="00C37A3F" w:rsidRPr="00635346" w:rsidRDefault="00C37A3F" w:rsidP="00547363">
            <w:pPr>
              <w:rPr>
                <w:color w:val="000000"/>
                <w:sz w:val="22"/>
              </w:rPr>
            </w:pPr>
            <w:r w:rsidRPr="00635346">
              <w:rPr>
                <w:color w:val="000000"/>
                <w:sz w:val="22"/>
              </w:rPr>
              <w:t>014120</w:t>
            </w:r>
          </w:p>
        </w:tc>
        <w:tc>
          <w:tcPr>
            <w:tcW w:w="4862" w:type="dxa"/>
            <w:shd w:val="clear" w:color="auto" w:fill="auto"/>
            <w:tcMar>
              <w:top w:w="15" w:type="dxa"/>
              <w:left w:w="15" w:type="dxa"/>
              <w:right w:w="15" w:type="dxa"/>
            </w:tcMar>
          </w:tcPr>
          <w:p w:rsidR="00C37A3F" w:rsidRPr="00635346" w:rsidRDefault="00C37A3F" w:rsidP="00547363">
            <w:pPr>
              <w:rPr>
                <w:color w:val="000000"/>
                <w:sz w:val="22"/>
              </w:rPr>
            </w:pPr>
            <w:r w:rsidRPr="00635346">
              <w:rPr>
                <w:rFonts w:hint="eastAsia"/>
                <w:color w:val="000000"/>
                <w:sz w:val="22"/>
              </w:rPr>
              <w:t>金鹰时代先锋混合型证券投资基金</w:t>
            </w:r>
            <w:r w:rsidRPr="00635346">
              <w:rPr>
                <w:rFonts w:hint="eastAsia"/>
                <w:color w:val="000000"/>
                <w:sz w:val="22"/>
              </w:rPr>
              <w:t>C</w:t>
            </w:r>
            <w:r w:rsidRPr="00635346">
              <w:rPr>
                <w:rFonts w:hint="eastAsia"/>
                <w:color w:val="000000"/>
                <w:sz w:val="22"/>
              </w:rPr>
              <w:t>类</w:t>
            </w:r>
          </w:p>
        </w:tc>
      </w:tr>
    </w:tbl>
    <w:p w:rsidR="002A454B" w:rsidRPr="002A454B" w:rsidRDefault="002A454B" w:rsidP="009974A3">
      <w:pPr>
        <w:pStyle w:val="Default"/>
        <w:snapToGrid w:val="0"/>
        <w:spacing w:line="360" w:lineRule="auto"/>
        <w:ind w:firstLineChars="200" w:firstLine="480"/>
        <w:jc w:val="both"/>
        <w:rPr>
          <w:rFonts w:ascii="宋体" w:eastAsia="宋体" w:hAnsi="宋体" w:cs="Calibri"/>
          <w:color w:val="auto"/>
        </w:rPr>
      </w:pPr>
    </w:p>
    <w:p w:rsidR="000F751B" w:rsidRDefault="000F751B" w:rsidP="000F751B">
      <w:pPr>
        <w:pStyle w:val="a7"/>
        <w:shd w:val="clear" w:color="auto" w:fill="FFFFFF"/>
        <w:adjustRightInd w:val="0"/>
        <w:snapToGrid w:val="0"/>
        <w:spacing w:before="0" w:beforeAutospacing="0" w:after="0" w:afterAutospacing="0" w:line="360" w:lineRule="auto"/>
        <w:ind w:firstLineChars="200" w:firstLine="480"/>
        <w:jc w:val="both"/>
      </w:pPr>
      <w:r>
        <w:rPr>
          <w:rFonts w:hint="eastAsia"/>
        </w:rPr>
        <w:t>二</w:t>
      </w:r>
      <w:r>
        <w:t>、投资者可在</w:t>
      </w:r>
      <w:r w:rsidR="005858C4">
        <w:t>腾安基金</w:t>
      </w:r>
      <w:r>
        <w:t>办理上述基金的开户、申购、赎回、基金转换、 基金定期定额投资（以下简称“基金定投”）等业务，相关规则遵照代销机构的有关规定以及上述基金的招募说明书、基金合同</w:t>
      </w:r>
      <w:r w:rsidR="00702DBD">
        <w:t>、产品资料概要</w:t>
      </w:r>
      <w:r>
        <w:t>等法律文件。</w:t>
      </w:r>
    </w:p>
    <w:p w:rsidR="000F751B" w:rsidRDefault="000F751B" w:rsidP="000F751B">
      <w:pPr>
        <w:pStyle w:val="a7"/>
        <w:shd w:val="clear" w:color="auto" w:fill="FFFFFF"/>
        <w:adjustRightInd w:val="0"/>
        <w:snapToGrid w:val="0"/>
        <w:spacing w:before="0" w:beforeAutospacing="0" w:after="0" w:afterAutospacing="0" w:line="360" w:lineRule="auto"/>
        <w:ind w:firstLineChars="200" w:firstLine="480"/>
        <w:jc w:val="both"/>
      </w:pPr>
      <w:r>
        <w:t xml:space="preserve">三、重要提示 </w:t>
      </w:r>
    </w:p>
    <w:p w:rsidR="00C37A3F" w:rsidRDefault="000F751B" w:rsidP="008F66A9">
      <w:pPr>
        <w:pStyle w:val="a7"/>
        <w:shd w:val="clear" w:color="auto" w:fill="FFFFFF"/>
        <w:adjustRightInd w:val="0"/>
        <w:snapToGrid w:val="0"/>
        <w:spacing w:before="0" w:beforeAutospacing="0" w:after="0" w:afterAutospacing="0" w:line="360" w:lineRule="auto"/>
        <w:ind w:firstLineChars="200" w:firstLine="480"/>
        <w:jc w:val="both"/>
      </w:pPr>
      <w:r>
        <w:t>1、</w:t>
      </w:r>
      <w:r w:rsidR="00A51A7C">
        <w:t>目前，</w:t>
      </w:r>
      <w:r w:rsidR="00C37A3F">
        <w:t>金鹰时代先锋混合型证券投资基金</w:t>
      </w:r>
      <w:r w:rsidR="00C37A3F">
        <w:rPr>
          <w:rFonts w:hint="eastAsia"/>
        </w:rPr>
        <w:t>A</w:t>
      </w:r>
      <w:r w:rsidR="00C37A3F">
        <w:t>/C</w:t>
      </w:r>
      <w:r w:rsidR="00C37A3F">
        <w:rPr>
          <w:rFonts w:hint="eastAsia"/>
        </w:rPr>
        <w:t>类处于募集期，</w:t>
      </w:r>
      <w:r w:rsidR="00C37A3F">
        <w:t>募集</w:t>
      </w:r>
      <w:r w:rsidR="003E50D8">
        <w:rPr>
          <w:rFonts w:hint="eastAsia"/>
        </w:rPr>
        <w:t>期</w:t>
      </w:r>
      <w:r w:rsidR="00C37A3F">
        <w:t>为：2022年1月10日至2022年1月21日</w:t>
      </w:r>
      <w:r w:rsidR="00C37A3F">
        <w:rPr>
          <w:rFonts w:hint="eastAsia"/>
        </w:rPr>
        <w:t>。</w:t>
      </w:r>
    </w:p>
    <w:p w:rsidR="000F751B" w:rsidRDefault="008F66A9" w:rsidP="000F751B">
      <w:pPr>
        <w:pStyle w:val="a7"/>
        <w:shd w:val="clear" w:color="auto" w:fill="FFFFFF"/>
        <w:adjustRightInd w:val="0"/>
        <w:snapToGrid w:val="0"/>
        <w:spacing w:before="0" w:beforeAutospacing="0" w:after="0" w:afterAutospacing="0" w:line="360" w:lineRule="auto"/>
        <w:ind w:firstLineChars="200" w:firstLine="480"/>
        <w:jc w:val="both"/>
      </w:pPr>
      <w:r>
        <w:t>2</w:t>
      </w:r>
      <w:r>
        <w:rPr>
          <w:rFonts w:hint="eastAsia"/>
        </w:rPr>
        <w:t>、</w:t>
      </w:r>
      <w:r w:rsidR="000F751B">
        <w:t>基金定投业务是指投资者通过本公司指定的基金销售机构提交申请，约定每期扣款时间和扣款金额，由销售机构于每期约定扣款日在投资者指定资金账户内自动完成扣款和基金申购申请的一种投资方式。</w:t>
      </w:r>
    </w:p>
    <w:p w:rsidR="000F751B" w:rsidRDefault="008F66A9" w:rsidP="000F751B">
      <w:pPr>
        <w:pStyle w:val="a7"/>
        <w:shd w:val="clear" w:color="auto" w:fill="FFFFFF"/>
        <w:adjustRightInd w:val="0"/>
        <w:snapToGrid w:val="0"/>
        <w:spacing w:before="0" w:beforeAutospacing="0" w:after="0" w:afterAutospacing="0" w:line="360" w:lineRule="auto"/>
        <w:ind w:firstLineChars="200" w:firstLine="480"/>
        <w:jc w:val="both"/>
      </w:pPr>
      <w:r>
        <w:t>3</w:t>
      </w:r>
      <w:r w:rsidR="000F751B">
        <w:t>、转换不适用基金：对于本公司后端收费模式基金以及中登系统基金不支 持与其他基金之间相互转换；对于同一只基金不同份额之间不支持相互转换。</w:t>
      </w:r>
    </w:p>
    <w:p w:rsidR="00A00AAF" w:rsidRDefault="008F66A9" w:rsidP="00A51A7C">
      <w:pPr>
        <w:pStyle w:val="a7"/>
        <w:shd w:val="clear" w:color="auto" w:fill="FFFFFF"/>
        <w:adjustRightInd w:val="0"/>
        <w:snapToGrid w:val="0"/>
        <w:spacing w:before="0" w:beforeAutospacing="0" w:after="0" w:afterAutospacing="0" w:line="360" w:lineRule="auto"/>
        <w:ind w:firstLineChars="200" w:firstLine="480"/>
        <w:jc w:val="both"/>
      </w:pPr>
      <w:r>
        <w:t>4</w:t>
      </w:r>
      <w:r w:rsidR="000F751B">
        <w:t>、</w:t>
      </w:r>
      <w:r w:rsidR="00A51A7C">
        <w:t>对于</w:t>
      </w:r>
      <w:r w:rsidR="005858C4">
        <w:t>腾安基金</w:t>
      </w:r>
      <w:r w:rsidR="00A51A7C">
        <w:t>实施的费率优惠活动本基金管理人不再进行限制，投资者通过</w:t>
      </w:r>
      <w:r w:rsidR="005858C4">
        <w:t>腾安基金</w:t>
      </w:r>
      <w:r w:rsidR="00A51A7C">
        <w:t>申购、定投本基金管理人旗下适用基金（仅限前端收费模式），其申购、定投费率以</w:t>
      </w:r>
      <w:r w:rsidR="005858C4">
        <w:t>腾安基金</w:t>
      </w:r>
      <w:r w:rsidR="00A51A7C">
        <w:t>公布的费率优惠活动为准。优惠前申购费率为固定费用的，则按原费率执行，不再享有费率折扣。</w:t>
      </w:r>
    </w:p>
    <w:p w:rsidR="000F751B" w:rsidRPr="009877A4" w:rsidRDefault="00A51A7C" w:rsidP="000F751B">
      <w:pPr>
        <w:pStyle w:val="a7"/>
        <w:shd w:val="clear" w:color="auto" w:fill="FFFFFF"/>
        <w:adjustRightInd w:val="0"/>
        <w:snapToGrid w:val="0"/>
        <w:spacing w:before="0" w:beforeAutospacing="0" w:after="0" w:afterAutospacing="0" w:line="360" w:lineRule="auto"/>
        <w:ind w:firstLineChars="200" w:firstLine="480"/>
        <w:jc w:val="both"/>
        <w:rPr>
          <w:rFonts w:cs="Calibri"/>
        </w:rPr>
      </w:pPr>
      <w:r>
        <w:lastRenderedPageBreak/>
        <w:t>5</w:t>
      </w:r>
      <w:r w:rsidR="000F751B">
        <w:t>、本基金管理人其他基金如新增</w:t>
      </w:r>
      <w:r w:rsidR="005858C4">
        <w:t>腾安基金</w:t>
      </w:r>
      <w:r w:rsidR="000F751B">
        <w:t>为代销机构，将同时开通基金转换、基金定投及费率优惠，我司不再另行公告。</w:t>
      </w:r>
    </w:p>
    <w:p w:rsidR="00A00AAF" w:rsidRPr="009877A4" w:rsidRDefault="000F751B"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5858C4">
        <w:rPr>
          <w:rFonts w:cs="Calibri" w:hint="eastAsia"/>
        </w:rPr>
        <w:t>腾安基金</w:t>
      </w:r>
    </w:p>
    <w:p w:rsidR="00B75847" w:rsidRPr="009702B1" w:rsidRDefault="006928B4" w:rsidP="009702B1">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客服电话：</w:t>
      </w:r>
      <w:r w:rsidR="005858C4" w:rsidRPr="005858C4">
        <w:t>4000-890-555</w:t>
      </w:r>
    </w:p>
    <w:p w:rsidR="005A54A0" w:rsidRPr="005A54A0" w:rsidRDefault="006C5397" w:rsidP="006C5397">
      <w:pPr>
        <w:pStyle w:val="a7"/>
        <w:shd w:val="clear" w:color="auto" w:fill="FFFFFF"/>
        <w:adjustRightInd w:val="0"/>
        <w:snapToGrid w:val="0"/>
        <w:spacing w:before="0" w:beforeAutospacing="0" w:after="0" w:afterAutospacing="0" w:line="360" w:lineRule="auto"/>
        <w:ind w:firstLine="420"/>
        <w:jc w:val="both"/>
        <w:rPr>
          <w:rFonts w:cs="Calibri"/>
        </w:rPr>
      </w:pPr>
      <w:r w:rsidRPr="00DA3BCA">
        <w:rPr>
          <w:rFonts w:cs="Calibri" w:hint="eastAsia"/>
        </w:rPr>
        <w:t>网址：</w:t>
      </w:r>
      <w:r w:rsidR="005858C4" w:rsidRPr="005858C4">
        <w:t>www.txfund.com</w:t>
      </w:r>
    </w:p>
    <w:p w:rsidR="00A00AAF" w:rsidRPr="009877A4" w:rsidRDefault="0016330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、本公司</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w:t>
      </w:r>
      <w:r w:rsidR="007D4BAC">
        <w:rPr>
          <w:rFonts w:cs="Calibri"/>
        </w:rPr>
        <w:t>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风险提示：</w:t>
      </w:r>
      <w:r w:rsidR="00BC7D60" w:rsidRPr="00BC7D60">
        <w:rPr>
          <w:rFonts w:cs="Calibri" w:hint="eastAsia"/>
        </w:rPr>
        <w:t>本基金管理人承诺以诚实信用、勤勉尽责的原则管理和运用基金资产。但不保证基金一定盈利，也不保证最低收益。中国证监会对基金募集的注册</w:t>
      </w:r>
      <w:r w:rsidR="00702DBD">
        <w:rPr>
          <w:rFonts w:cs="Calibri" w:hint="eastAsia"/>
        </w:rPr>
        <w:t>或核准</w:t>
      </w:r>
      <w:r w:rsidR="00BC7D60" w:rsidRPr="00BC7D60">
        <w:rPr>
          <w:rFonts w:cs="Calibri" w:hint="eastAsia"/>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r w:rsidRPr="009877A4">
        <w:rPr>
          <w:rFonts w:cs="Calibri" w:hint="eastAsia"/>
        </w:rPr>
        <w:t> </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702DBD">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Pr>
          <w:rFonts w:cs="Calibri"/>
        </w:rPr>
        <w:t>2</w:t>
      </w:r>
      <w:r w:rsidR="009877A4" w:rsidRPr="009877A4">
        <w:rPr>
          <w:rFonts w:cs="Calibri" w:hint="eastAsia"/>
        </w:rPr>
        <w:t>年</w:t>
      </w:r>
      <w:r w:rsidR="00A51A7C">
        <w:rPr>
          <w:rFonts w:cs="Calibri"/>
        </w:rPr>
        <w:t>1</w:t>
      </w:r>
      <w:r w:rsidR="009877A4" w:rsidRPr="009877A4">
        <w:rPr>
          <w:rFonts w:cs="Calibri" w:hint="eastAsia"/>
        </w:rPr>
        <w:t>月</w:t>
      </w:r>
      <w:r w:rsidR="00023DC9">
        <w:rPr>
          <w:rFonts w:cs="Calibri"/>
        </w:rPr>
        <w:t>7</w:t>
      </w:r>
      <w:r w:rsidR="009877A4" w:rsidRPr="009877A4">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0E76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4A" w:rsidRDefault="0098324A" w:rsidP="00E3201D">
      <w:r>
        <w:separator/>
      </w:r>
    </w:p>
  </w:endnote>
  <w:endnote w:type="continuationSeparator" w:id="0">
    <w:p w:rsidR="0098324A" w:rsidRDefault="0098324A"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宋体_ā">
    <w:altName w:val="宋体"/>
    <w:charset w:val="86"/>
    <w:family w:val="roma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4A" w:rsidRDefault="0098324A" w:rsidP="00E3201D">
      <w:r>
        <w:separator/>
      </w:r>
    </w:p>
  </w:footnote>
  <w:footnote w:type="continuationSeparator" w:id="0">
    <w:p w:rsidR="0098324A" w:rsidRDefault="0098324A"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3DC9"/>
    <w:rsid w:val="00071F16"/>
    <w:rsid w:val="0007668C"/>
    <w:rsid w:val="00080FDB"/>
    <w:rsid w:val="000904E7"/>
    <w:rsid w:val="000951EB"/>
    <w:rsid w:val="000B1AB2"/>
    <w:rsid w:val="000C7B8E"/>
    <w:rsid w:val="000D68C8"/>
    <w:rsid w:val="000E10B7"/>
    <w:rsid w:val="000E7631"/>
    <w:rsid w:val="000F5212"/>
    <w:rsid w:val="000F751B"/>
    <w:rsid w:val="00112143"/>
    <w:rsid w:val="00122648"/>
    <w:rsid w:val="00126069"/>
    <w:rsid w:val="00156402"/>
    <w:rsid w:val="00163302"/>
    <w:rsid w:val="00172A27"/>
    <w:rsid w:val="00180312"/>
    <w:rsid w:val="0018431F"/>
    <w:rsid w:val="001A011E"/>
    <w:rsid w:val="001E1F31"/>
    <w:rsid w:val="00204212"/>
    <w:rsid w:val="00224FC9"/>
    <w:rsid w:val="002573FC"/>
    <w:rsid w:val="0026767D"/>
    <w:rsid w:val="002A228B"/>
    <w:rsid w:val="002A454B"/>
    <w:rsid w:val="002B4142"/>
    <w:rsid w:val="002B6B49"/>
    <w:rsid w:val="002C28DF"/>
    <w:rsid w:val="002C547F"/>
    <w:rsid w:val="002C5740"/>
    <w:rsid w:val="00304248"/>
    <w:rsid w:val="00317240"/>
    <w:rsid w:val="00336D66"/>
    <w:rsid w:val="00347FF3"/>
    <w:rsid w:val="00364825"/>
    <w:rsid w:val="00371D98"/>
    <w:rsid w:val="003808EC"/>
    <w:rsid w:val="00390CB1"/>
    <w:rsid w:val="003C7AEC"/>
    <w:rsid w:val="003D3C4C"/>
    <w:rsid w:val="003E168F"/>
    <w:rsid w:val="003E50D8"/>
    <w:rsid w:val="003F0C0A"/>
    <w:rsid w:val="003F276E"/>
    <w:rsid w:val="00420793"/>
    <w:rsid w:val="0043356C"/>
    <w:rsid w:val="00447446"/>
    <w:rsid w:val="00472802"/>
    <w:rsid w:val="004840C8"/>
    <w:rsid w:val="004944A3"/>
    <w:rsid w:val="00496116"/>
    <w:rsid w:val="004A1B5A"/>
    <w:rsid w:val="004B1512"/>
    <w:rsid w:val="004C26F2"/>
    <w:rsid w:val="00504054"/>
    <w:rsid w:val="00506924"/>
    <w:rsid w:val="00510266"/>
    <w:rsid w:val="00522178"/>
    <w:rsid w:val="00526A5C"/>
    <w:rsid w:val="00534398"/>
    <w:rsid w:val="00551AB7"/>
    <w:rsid w:val="00566452"/>
    <w:rsid w:val="00566D76"/>
    <w:rsid w:val="005706A4"/>
    <w:rsid w:val="005858C4"/>
    <w:rsid w:val="005A54A0"/>
    <w:rsid w:val="005B7934"/>
    <w:rsid w:val="005D6C25"/>
    <w:rsid w:val="005E5033"/>
    <w:rsid w:val="005F0540"/>
    <w:rsid w:val="00631BBC"/>
    <w:rsid w:val="00635346"/>
    <w:rsid w:val="00636821"/>
    <w:rsid w:val="0064283F"/>
    <w:rsid w:val="00646793"/>
    <w:rsid w:val="006853B5"/>
    <w:rsid w:val="006928B4"/>
    <w:rsid w:val="006C5397"/>
    <w:rsid w:val="006C64AF"/>
    <w:rsid w:val="006D717C"/>
    <w:rsid w:val="00702DBD"/>
    <w:rsid w:val="00720C03"/>
    <w:rsid w:val="007252F6"/>
    <w:rsid w:val="0072741B"/>
    <w:rsid w:val="00780E79"/>
    <w:rsid w:val="0078526A"/>
    <w:rsid w:val="007B64B3"/>
    <w:rsid w:val="007C4602"/>
    <w:rsid w:val="007D4BAC"/>
    <w:rsid w:val="007F15F1"/>
    <w:rsid w:val="007F166F"/>
    <w:rsid w:val="007F31CD"/>
    <w:rsid w:val="007F42E4"/>
    <w:rsid w:val="008032D2"/>
    <w:rsid w:val="00810562"/>
    <w:rsid w:val="0082716F"/>
    <w:rsid w:val="00846936"/>
    <w:rsid w:val="008512B8"/>
    <w:rsid w:val="00860E1D"/>
    <w:rsid w:val="00864CDD"/>
    <w:rsid w:val="008748BD"/>
    <w:rsid w:val="008769F5"/>
    <w:rsid w:val="0088224E"/>
    <w:rsid w:val="008845C2"/>
    <w:rsid w:val="008919C0"/>
    <w:rsid w:val="008B5B89"/>
    <w:rsid w:val="008E589A"/>
    <w:rsid w:val="008F66A9"/>
    <w:rsid w:val="00953E06"/>
    <w:rsid w:val="0096184E"/>
    <w:rsid w:val="009702B1"/>
    <w:rsid w:val="0098324A"/>
    <w:rsid w:val="009877A4"/>
    <w:rsid w:val="009974A3"/>
    <w:rsid w:val="009B7508"/>
    <w:rsid w:val="009D5A96"/>
    <w:rsid w:val="009F38CE"/>
    <w:rsid w:val="00A00A93"/>
    <w:rsid w:val="00A00AAF"/>
    <w:rsid w:val="00A04693"/>
    <w:rsid w:val="00A0535F"/>
    <w:rsid w:val="00A46BE9"/>
    <w:rsid w:val="00A51A7C"/>
    <w:rsid w:val="00A522B4"/>
    <w:rsid w:val="00A70945"/>
    <w:rsid w:val="00AD4BE8"/>
    <w:rsid w:val="00AF1A2D"/>
    <w:rsid w:val="00AF5E5A"/>
    <w:rsid w:val="00B0516D"/>
    <w:rsid w:val="00B632AB"/>
    <w:rsid w:val="00B75847"/>
    <w:rsid w:val="00B946B5"/>
    <w:rsid w:val="00B975FE"/>
    <w:rsid w:val="00BB0D06"/>
    <w:rsid w:val="00BB477F"/>
    <w:rsid w:val="00BC38F5"/>
    <w:rsid w:val="00BC560B"/>
    <w:rsid w:val="00BC7D60"/>
    <w:rsid w:val="00BD01CC"/>
    <w:rsid w:val="00BD49AB"/>
    <w:rsid w:val="00BE1FB8"/>
    <w:rsid w:val="00C06005"/>
    <w:rsid w:val="00C1237E"/>
    <w:rsid w:val="00C15BBA"/>
    <w:rsid w:val="00C37A3F"/>
    <w:rsid w:val="00C51529"/>
    <w:rsid w:val="00C52FB1"/>
    <w:rsid w:val="00C5608E"/>
    <w:rsid w:val="00C735C3"/>
    <w:rsid w:val="00C8230B"/>
    <w:rsid w:val="00C916D8"/>
    <w:rsid w:val="00CA0CDA"/>
    <w:rsid w:val="00CA2869"/>
    <w:rsid w:val="00CA36CF"/>
    <w:rsid w:val="00CA3B8C"/>
    <w:rsid w:val="00CC7A3B"/>
    <w:rsid w:val="00CD2771"/>
    <w:rsid w:val="00D26F21"/>
    <w:rsid w:val="00DA5245"/>
    <w:rsid w:val="00DC4CB3"/>
    <w:rsid w:val="00DC5262"/>
    <w:rsid w:val="00E05F57"/>
    <w:rsid w:val="00E13E9E"/>
    <w:rsid w:val="00E14296"/>
    <w:rsid w:val="00E22DBA"/>
    <w:rsid w:val="00E26862"/>
    <w:rsid w:val="00E3201D"/>
    <w:rsid w:val="00E320C0"/>
    <w:rsid w:val="00E57911"/>
    <w:rsid w:val="00E87CD2"/>
    <w:rsid w:val="00EA1F68"/>
    <w:rsid w:val="00EA60E4"/>
    <w:rsid w:val="00EA695E"/>
    <w:rsid w:val="00EC1F38"/>
    <w:rsid w:val="00EC2EAA"/>
    <w:rsid w:val="00EE68E6"/>
    <w:rsid w:val="00EF6CCF"/>
    <w:rsid w:val="00F043D3"/>
    <w:rsid w:val="00F14BCF"/>
    <w:rsid w:val="00F23E9A"/>
    <w:rsid w:val="00F31BC6"/>
    <w:rsid w:val="00F53580"/>
    <w:rsid w:val="00F55EE7"/>
    <w:rsid w:val="00F624D8"/>
    <w:rsid w:val="00F8346B"/>
    <w:rsid w:val="00FA3C34"/>
    <w:rsid w:val="00FA7A46"/>
    <w:rsid w:val="00FB73D6"/>
    <w:rsid w:val="00FC0836"/>
    <w:rsid w:val="00FC3D8F"/>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3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071F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0E763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E7631"/>
    <w:pPr>
      <w:jc w:val="left"/>
    </w:pPr>
  </w:style>
  <w:style w:type="paragraph" w:styleId="a4">
    <w:name w:val="Balloon Text"/>
    <w:basedOn w:val="a"/>
    <w:link w:val="Char0"/>
    <w:uiPriority w:val="99"/>
    <w:semiHidden/>
    <w:unhideWhenUsed/>
    <w:qFormat/>
    <w:rsid w:val="000E7631"/>
    <w:rPr>
      <w:sz w:val="18"/>
      <w:szCs w:val="18"/>
    </w:rPr>
  </w:style>
  <w:style w:type="paragraph" w:styleId="a5">
    <w:name w:val="footer"/>
    <w:basedOn w:val="a"/>
    <w:link w:val="Char1"/>
    <w:uiPriority w:val="99"/>
    <w:unhideWhenUsed/>
    <w:qFormat/>
    <w:rsid w:val="000E763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E763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E7631"/>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0E7631"/>
    <w:rPr>
      <w:b/>
      <w:bCs/>
    </w:rPr>
  </w:style>
  <w:style w:type="table" w:styleId="a9">
    <w:name w:val="Table Grid"/>
    <w:basedOn w:val="a1"/>
    <w:uiPriority w:val="59"/>
    <w:qFormat/>
    <w:rsid w:val="000E7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0E7631"/>
    <w:rPr>
      <w:color w:val="4C4C4C"/>
      <w:u w:val="none"/>
    </w:rPr>
  </w:style>
  <w:style w:type="character" w:styleId="ab">
    <w:name w:val="Emphasis"/>
    <w:basedOn w:val="a0"/>
    <w:uiPriority w:val="20"/>
    <w:qFormat/>
    <w:rsid w:val="000E7631"/>
  </w:style>
  <w:style w:type="character" w:styleId="HTML">
    <w:name w:val="HTML Acronym"/>
    <w:basedOn w:val="a0"/>
    <w:uiPriority w:val="99"/>
    <w:semiHidden/>
    <w:unhideWhenUsed/>
    <w:qFormat/>
    <w:rsid w:val="000E7631"/>
  </w:style>
  <w:style w:type="character" w:styleId="ac">
    <w:name w:val="Hyperlink"/>
    <w:basedOn w:val="a0"/>
    <w:uiPriority w:val="99"/>
    <w:unhideWhenUsed/>
    <w:qFormat/>
    <w:rsid w:val="000E7631"/>
    <w:rPr>
      <w:color w:val="0000FF"/>
      <w:u w:val="single"/>
    </w:rPr>
  </w:style>
  <w:style w:type="character" w:styleId="ad">
    <w:name w:val="annotation reference"/>
    <w:basedOn w:val="a0"/>
    <w:uiPriority w:val="99"/>
    <w:semiHidden/>
    <w:unhideWhenUsed/>
    <w:qFormat/>
    <w:rsid w:val="000E7631"/>
    <w:rPr>
      <w:sz w:val="21"/>
      <w:szCs w:val="21"/>
    </w:rPr>
  </w:style>
  <w:style w:type="character" w:customStyle="1" w:styleId="3Char">
    <w:name w:val="标题 3 Char"/>
    <w:basedOn w:val="a0"/>
    <w:link w:val="3"/>
    <w:uiPriority w:val="9"/>
    <w:qFormat/>
    <w:rsid w:val="000E7631"/>
    <w:rPr>
      <w:rFonts w:ascii="宋体" w:eastAsia="宋体" w:hAnsi="宋体" w:cs="宋体"/>
      <w:b/>
      <w:bCs/>
      <w:kern w:val="0"/>
      <w:sz w:val="27"/>
      <w:szCs w:val="27"/>
    </w:rPr>
  </w:style>
  <w:style w:type="character" w:customStyle="1" w:styleId="span4">
    <w:name w:val="span4"/>
    <w:basedOn w:val="a0"/>
    <w:qFormat/>
    <w:rsid w:val="000E7631"/>
  </w:style>
  <w:style w:type="character" w:customStyle="1" w:styleId="span01">
    <w:name w:val="span01"/>
    <w:basedOn w:val="a0"/>
    <w:qFormat/>
    <w:rsid w:val="000E7631"/>
    <w:rPr>
      <w:sz w:val="24"/>
      <w:szCs w:val="24"/>
    </w:rPr>
  </w:style>
  <w:style w:type="character" w:customStyle="1" w:styleId="icon2">
    <w:name w:val="icon2"/>
    <w:basedOn w:val="a0"/>
    <w:qFormat/>
    <w:rsid w:val="000E7631"/>
  </w:style>
  <w:style w:type="character" w:customStyle="1" w:styleId="fqrsyliswk">
    <w:name w:val="fqrsyl_iswk"/>
    <w:basedOn w:val="a0"/>
    <w:qFormat/>
    <w:rsid w:val="000E7631"/>
  </w:style>
  <w:style w:type="character" w:customStyle="1" w:styleId="span03">
    <w:name w:val="span03"/>
    <w:basedOn w:val="a0"/>
    <w:qFormat/>
    <w:rsid w:val="000E7631"/>
  </w:style>
  <w:style w:type="character" w:customStyle="1" w:styleId="span031">
    <w:name w:val="span031"/>
    <w:basedOn w:val="a0"/>
    <w:qFormat/>
    <w:rsid w:val="000E7631"/>
  </w:style>
  <w:style w:type="character" w:customStyle="1" w:styleId="fmwfsyiswk">
    <w:name w:val="fmwfsy_iswk"/>
    <w:basedOn w:val="a0"/>
    <w:qFormat/>
    <w:rsid w:val="000E7631"/>
  </w:style>
  <w:style w:type="character" w:customStyle="1" w:styleId="span1">
    <w:name w:val="span1"/>
    <w:basedOn w:val="a0"/>
    <w:qFormat/>
    <w:rsid w:val="000E7631"/>
  </w:style>
  <w:style w:type="character" w:customStyle="1" w:styleId="span2">
    <w:name w:val="span2"/>
    <w:basedOn w:val="a0"/>
    <w:qFormat/>
    <w:rsid w:val="000E7631"/>
  </w:style>
  <w:style w:type="character" w:customStyle="1" w:styleId="hover46">
    <w:name w:val="hover46"/>
    <w:basedOn w:val="a0"/>
    <w:qFormat/>
    <w:rsid w:val="000E7631"/>
    <w:rPr>
      <w:shd w:val="clear" w:color="auto" w:fill="FEF2E7"/>
    </w:rPr>
  </w:style>
  <w:style w:type="character" w:customStyle="1" w:styleId="hover47">
    <w:name w:val="hover47"/>
    <w:basedOn w:val="a0"/>
    <w:qFormat/>
    <w:rsid w:val="000E7631"/>
    <w:rPr>
      <w:color w:val="F88413"/>
    </w:rPr>
  </w:style>
  <w:style w:type="character" w:customStyle="1" w:styleId="span02">
    <w:name w:val="span02"/>
    <w:basedOn w:val="a0"/>
    <w:qFormat/>
    <w:rsid w:val="000E7631"/>
    <w:rPr>
      <w:sz w:val="24"/>
      <w:szCs w:val="24"/>
    </w:rPr>
  </w:style>
  <w:style w:type="character" w:customStyle="1" w:styleId="span021">
    <w:name w:val="span021"/>
    <w:basedOn w:val="a0"/>
    <w:qFormat/>
    <w:rsid w:val="000E7631"/>
  </w:style>
  <w:style w:type="character" w:customStyle="1" w:styleId="on26">
    <w:name w:val="on26"/>
    <w:basedOn w:val="a0"/>
    <w:qFormat/>
    <w:rsid w:val="000E7631"/>
    <w:rPr>
      <w:color w:val="F88413"/>
    </w:rPr>
  </w:style>
  <w:style w:type="character" w:customStyle="1" w:styleId="on27">
    <w:name w:val="on27"/>
    <w:basedOn w:val="a0"/>
    <w:qFormat/>
    <w:rsid w:val="000E7631"/>
  </w:style>
  <w:style w:type="character" w:customStyle="1" w:styleId="span3">
    <w:name w:val="span3"/>
    <w:basedOn w:val="a0"/>
    <w:qFormat/>
    <w:rsid w:val="000E7631"/>
  </w:style>
  <w:style w:type="character" w:customStyle="1" w:styleId="span011">
    <w:name w:val="span011"/>
    <w:basedOn w:val="a0"/>
    <w:qFormat/>
    <w:rsid w:val="000E7631"/>
  </w:style>
  <w:style w:type="character" w:customStyle="1" w:styleId="icon">
    <w:name w:val="icon"/>
    <w:basedOn w:val="a0"/>
    <w:qFormat/>
    <w:rsid w:val="000E7631"/>
  </w:style>
  <w:style w:type="character" w:customStyle="1" w:styleId="hover44">
    <w:name w:val="hover44"/>
    <w:basedOn w:val="a0"/>
    <w:qFormat/>
    <w:rsid w:val="000E7631"/>
    <w:rPr>
      <w:shd w:val="clear" w:color="auto" w:fill="FEF2E7"/>
    </w:rPr>
  </w:style>
  <w:style w:type="character" w:customStyle="1" w:styleId="hover45">
    <w:name w:val="hover45"/>
    <w:basedOn w:val="a0"/>
    <w:qFormat/>
    <w:rsid w:val="000E7631"/>
    <w:rPr>
      <w:color w:val="F88413"/>
    </w:rPr>
  </w:style>
  <w:style w:type="character" w:customStyle="1" w:styleId="on">
    <w:name w:val="on"/>
    <w:basedOn w:val="a0"/>
    <w:qFormat/>
    <w:rsid w:val="000E7631"/>
    <w:rPr>
      <w:color w:val="F88413"/>
    </w:rPr>
  </w:style>
  <w:style w:type="character" w:customStyle="1" w:styleId="on1">
    <w:name w:val="on1"/>
    <w:basedOn w:val="a0"/>
    <w:qFormat/>
    <w:rsid w:val="000E7631"/>
  </w:style>
  <w:style w:type="character" w:customStyle="1" w:styleId="Char2">
    <w:name w:val="页眉 Char"/>
    <w:basedOn w:val="a0"/>
    <w:link w:val="a6"/>
    <w:uiPriority w:val="99"/>
    <w:qFormat/>
    <w:rsid w:val="000E7631"/>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0E7631"/>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0E7631"/>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0E7631"/>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0E7631"/>
    <w:rPr>
      <w:rFonts w:asciiTheme="minorHAnsi" w:eastAsiaTheme="minorEastAsia" w:hAnsiTheme="minorHAnsi" w:cstheme="minorBidi"/>
      <w:kern w:val="2"/>
      <w:sz w:val="18"/>
      <w:szCs w:val="18"/>
    </w:rPr>
  </w:style>
  <w:style w:type="character" w:customStyle="1" w:styleId="hover43">
    <w:name w:val="hover43"/>
    <w:basedOn w:val="a0"/>
    <w:qFormat/>
    <w:rsid w:val="000E7631"/>
    <w:rPr>
      <w:color w:val="F88413"/>
    </w:rPr>
  </w:style>
  <w:style w:type="paragraph" w:customStyle="1" w:styleId="Default">
    <w:name w:val="Default"/>
    <w:qFormat/>
    <w:rsid w:val="000E7631"/>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0E7631"/>
    <w:rPr>
      <w:color w:val="F88413"/>
    </w:rPr>
  </w:style>
  <w:style w:type="character" w:customStyle="1" w:styleId="hover1">
    <w:name w:val="hover1"/>
    <w:basedOn w:val="a0"/>
    <w:qFormat/>
    <w:rsid w:val="000E7631"/>
    <w:rPr>
      <w:shd w:val="clear" w:color="auto" w:fill="FEF2E7"/>
    </w:rPr>
  </w:style>
  <w:style w:type="character" w:customStyle="1" w:styleId="hover42">
    <w:name w:val="hover42"/>
    <w:basedOn w:val="a0"/>
    <w:qFormat/>
    <w:rsid w:val="000E7631"/>
    <w:rPr>
      <w:shd w:val="clear" w:color="auto" w:fill="FEF2E7"/>
    </w:rPr>
  </w:style>
  <w:style w:type="character" w:customStyle="1" w:styleId="on3">
    <w:name w:val="on3"/>
    <w:basedOn w:val="a0"/>
    <w:qFormat/>
    <w:rsid w:val="000E7631"/>
  </w:style>
  <w:style w:type="character" w:customStyle="1" w:styleId="on4">
    <w:name w:val="on4"/>
    <w:basedOn w:val="a0"/>
    <w:qFormat/>
    <w:rsid w:val="000E7631"/>
    <w:rPr>
      <w:color w:val="F88413"/>
    </w:rPr>
  </w:style>
  <w:style w:type="character" w:customStyle="1" w:styleId="2Char">
    <w:name w:val="标题 2 Char"/>
    <w:basedOn w:val="a0"/>
    <w:link w:val="2"/>
    <w:uiPriority w:val="9"/>
    <w:semiHidden/>
    <w:rsid w:val="00071F16"/>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74948397">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13148726">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978607268">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482771752">
      <w:bodyDiv w:val="1"/>
      <w:marLeft w:val="0"/>
      <w:marRight w:val="0"/>
      <w:marTop w:val="0"/>
      <w:marBottom w:val="0"/>
      <w:divBdr>
        <w:top w:val="none" w:sz="0" w:space="0" w:color="auto"/>
        <w:left w:val="none" w:sz="0" w:space="0" w:color="auto"/>
        <w:bottom w:val="none" w:sz="0" w:space="0" w:color="auto"/>
        <w:right w:val="none" w:sz="0" w:space="0" w:color="auto"/>
      </w:divBdr>
    </w:div>
    <w:div w:id="1559709167">
      <w:bodyDiv w:val="1"/>
      <w:marLeft w:val="0"/>
      <w:marRight w:val="0"/>
      <w:marTop w:val="0"/>
      <w:marBottom w:val="0"/>
      <w:divBdr>
        <w:top w:val="none" w:sz="0" w:space="0" w:color="auto"/>
        <w:left w:val="none" w:sz="0" w:space="0" w:color="auto"/>
        <w:bottom w:val="none" w:sz="0" w:space="0" w:color="auto"/>
        <w:right w:val="none" w:sz="0" w:space="0" w:color="auto"/>
      </w:divBdr>
    </w:div>
    <w:div w:id="1683627671">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768694195">
      <w:bodyDiv w:val="1"/>
      <w:marLeft w:val="0"/>
      <w:marRight w:val="0"/>
      <w:marTop w:val="0"/>
      <w:marBottom w:val="0"/>
      <w:divBdr>
        <w:top w:val="none" w:sz="0" w:space="0" w:color="auto"/>
        <w:left w:val="none" w:sz="0" w:space="0" w:color="auto"/>
        <w:bottom w:val="none" w:sz="0" w:space="0" w:color="auto"/>
        <w:right w:val="none" w:sz="0" w:space="0" w:color="auto"/>
      </w:divBdr>
    </w:div>
    <w:div w:id="1914967541">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2222</Characters>
  <Application>Microsoft Office Word</Application>
  <DocSecurity>4</DocSecurity>
  <Lines>18</Lines>
  <Paragraphs>5</Paragraphs>
  <ScaleCrop>false</ScaleCrop>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谢礼星</dc:creator>
  <cp:keywords/>
  <dc:description/>
  <cp:lastModifiedBy>ZHONGM</cp:lastModifiedBy>
  <cp:revision>2</cp:revision>
  <cp:lastPrinted>2020-12-23T05:38:00Z</cp:lastPrinted>
  <dcterms:created xsi:type="dcterms:W3CDTF">2022-01-06T16:02:00Z</dcterms:created>
  <dcterms:modified xsi:type="dcterms:W3CDTF">2022-01-06T16:02:00Z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