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67" w:rsidRDefault="00CA3867">
      <w:pPr>
        <w:spacing w:line="360" w:lineRule="auto"/>
        <w:jc w:val="center"/>
        <w:rPr>
          <w:rFonts w:ascii="宋体" w:hAnsi="宋体" w:hint="eastAsia"/>
          <w:b/>
          <w:sz w:val="28"/>
          <w:szCs w:val="28"/>
        </w:rPr>
      </w:pPr>
      <w:r>
        <w:rPr>
          <w:rFonts w:ascii="宋体" w:hAnsi="宋体" w:hint="eastAsia"/>
          <w:b/>
          <w:sz w:val="28"/>
          <w:szCs w:val="28"/>
        </w:rPr>
        <w:t>国联安基金管理有限公司关于旗下部分基金参加</w:t>
      </w:r>
      <w:r w:rsidR="006B634F">
        <w:rPr>
          <w:rFonts w:ascii="宋体" w:hAnsi="宋体" w:hint="eastAsia"/>
          <w:b/>
          <w:sz w:val="28"/>
          <w:szCs w:val="28"/>
        </w:rPr>
        <w:t>中国</w:t>
      </w:r>
      <w:r>
        <w:rPr>
          <w:rFonts w:ascii="宋体" w:hAnsi="宋体" w:hint="eastAsia"/>
          <w:b/>
          <w:sz w:val="28"/>
          <w:szCs w:val="28"/>
        </w:rPr>
        <w:t>银行费率优惠活动的公告</w:t>
      </w:r>
    </w:p>
    <w:p w:rsidR="00CA3867" w:rsidRDefault="00CA3867">
      <w:pPr>
        <w:spacing w:line="360" w:lineRule="auto"/>
        <w:rPr>
          <w:rFonts w:ascii="宋体" w:hAnsi="宋体" w:hint="eastAsia"/>
        </w:rPr>
      </w:pPr>
    </w:p>
    <w:p w:rsidR="00CA3867" w:rsidRDefault="00CA3867">
      <w:pPr>
        <w:spacing w:line="360" w:lineRule="auto"/>
        <w:ind w:firstLineChars="200" w:firstLine="420"/>
        <w:jc w:val="left"/>
        <w:rPr>
          <w:rFonts w:ascii="宋体" w:hAnsi="宋体" w:hint="eastAsia"/>
        </w:rPr>
      </w:pPr>
      <w:r>
        <w:rPr>
          <w:rFonts w:ascii="宋体" w:hAnsi="宋体" w:hint="eastAsia"/>
        </w:rPr>
        <w:t>为了更好地满足广大投资者的理财需求，国联安基金管理有限公司（以下简称“本公司”）经与</w:t>
      </w:r>
      <w:r w:rsidR="006B634F">
        <w:rPr>
          <w:rFonts w:ascii="宋体" w:hAnsi="宋体" w:hint="eastAsia"/>
        </w:rPr>
        <w:t>中国</w:t>
      </w:r>
      <w:r w:rsidR="00945C04" w:rsidRPr="00945C04">
        <w:rPr>
          <w:rFonts w:ascii="宋体" w:hAnsi="宋体" w:hint="eastAsia"/>
        </w:rPr>
        <w:t>银行股份有限公司</w:t>
      </w:r>
      <w:r>
        <w:rPr>
          <w:rFonts w:ascii="宋体" w:hAnsi="宋体" w:hint="eastAsia"/>
          <w:color w:val="000000"/>
        </w:rPr>
        <w:t>（以下简称“</w:t>
      </w:r>
      <w:r w:rsidR="00813033">
        <w:rPr>
          <w:rFonts w:ascii="宋体" w:hAnsi="宋体" w:hint="eastAsia"/>
          <w:color w:val="000000"/>
        </w:rPr>
        <w:t>中国</w:t>
      </w:r>
      <w:r>
        <w:rPr>
          <w:rFonts w:ascii="宋体" w:hAnsi="宋体" w:hint="eastAsia"/>
          <w:color w:val="000000"/>
        </w:rPr>
        <w:t>银行”）协商一致，决定本公司旗下场外前端收费模式下的部分基金自</w:t>
      </w:r>
      <w:r w:rsidR="00363F28">
        <w:rPr>
          <w:rFonts w:ascii="宋体" w:hAnsi="宋体" w:hint="eastAsia"/>
        </w:rPr>
        <w:t>202</w:t>
      </w:r>
      <w:r w:rsidR="00363F28">
        <w:rPr>
          <w:rFonts w:ascii="宋体" w:hAnsi="宋体"/>
        </w:rPr>
        <w:t>2</w:t>
      </w:r>
      <w:r w:rsidR="00363F28">
        <w:rPr>
          <w:rFonts w:ascii="宋体" w:hAnsi="宋体" w:hint="eastAsia"/>
        </w:rPr>
        <w:t>年</w:t>
      </w:r>
      <w:r w:rsidR="00363F28">
        <w:rPr>
          <w:rFonts w:ascii="宋体" w:hAnsi="宋体"/>
        </w:rPr>
        <w:t>1</w:t>
      </w:r>
      <w:r w:rsidR="00363F28">
        <w:rPr>
          <w:rFonts w:ascii="宋体" w:hAnsi="宋体" w:hint="eastAsia"/>
        </w:rPr>
        <w:t>月</w:t>
      </w:r>
      <w:r w:rsidR="00363F28">
        <w:rPr>
          <w:rFonts w:ascii="宋体" w:hAnsi="宋体"/>
        </w:rPr>
        <w:t>4</w:t>
      </w:r>
      <w:r>
        <w:rPr>
          <w:rFonts w:ascii="宋体" w:hAnsi="宋体" w:hint="eastAsia"/>
        </w:rPr>
        <w:t>日起参加</w:t>
      </w:r>
      <w:r w:rsidR="00813033">
        <w:rPr>
          <w:rFonts w:ascii="宋体" w:hAnsi="宋体" w:hint="eastAsia"/>
        </w:rPr>
        <w:t>中国</w:t>
      </w:r>
      <w:r w:rsidR="00945C04">
        <w:rPr>
          <w:rFonts w:ascii="宋体" w:hAnsi="宋体" w:hint="eastAsia"/>
        </w:rPr>
        <w:t>银行</w:t>
      </w:r>
      <w:r>
        <w:rPr>
          <w:rFonts w:ascii="宋体" w:hAnsi="宋体" w:hint="eastAsia"/>
        </w:rPr>
        <w:t>申购</w:t>
      </w:r>
      <w:r w:rsidR="00B71187">
        <w:rPr>
          <w:rFonts w:ascii="宋体" w:hAnsi="宋体" w:hint="eastAsia"/>
        </w:rPr>
        <w:t>及</w:t>
      </w:r>
      <w:r>
        <w:rPr>
          <w:rFonts w:ascii="宋体" w:hAnsi="宋体" w:hint="eastAsia"/>
        </w:rPr>
        <w:t>定期定额投资费率的优惠活动。现就有关事项公告如下：</w:t>
      </w:r>
    </w:p>
    <w:p w:rsidR="00CA3867" w:rsidRDefault="00CA3867">
      <w:pPr>
        <w:spacing w:line="360" w:lineRule="auto"/>
        <w:ind w:firstLine="200"/>
        <w:rPr>
          <w:rFonts w:ascii="宋体" w:hAnsi="宋体" w:hint="eastAsia"/>
        </w:rPr>
      </w:pPr>
    </w:p>
    <w:p w:rsidR="00CA3867" w:rsidRDefault="00CA3867">
      <w:pPr>
        <w:spacing w:line="360" w:lineRule="auto"/>
        <w:ind w:firstLineChars="194" w:firstLine="407"/>
        <w:rPr>
          <w:rFonts w:ascii="宋体" w:hAnsi="宋体" w:hint="eastAsia"/>
        </w:rPr>
      </w:pPr>
      <w:r>
        <w:rPr>
          <w:rFonts w:ascii="宋体" w:hAnsi="宋体" w:hint="eastAsia"/>
        </w:rPr>
        <w:t>一、</w:t>
      </w:r>
      <w:r w:rsidR="004C4E17">
        <w:rPr>
          <w:rFonts w:ascii="Arial" w:cs="Arial" w:hint="eastAsia"/>
          <w:szCs w:val="21"/>
        </w:rPr>
        <w:t>业务范围</w:t>
      </w:r>
    </w:p>
    <w:p w:rsidR="00CA3867" w:rsidRDefault="004C4E17" w:rsidP="004C4E17">
      <w:pPr>
        <w:spacing w:line="360" w:lineRule="auto"/>
        <w:ind w:firstLineChars="200" w:firstLine="420"/>
        <w:rPr>
          <w:rFonts w:ascii="宋体" w:hAnsi="宋体" w:hint="eastAsia"/>
        </w:rPr>
      </w:pPr>
      <w:r w:rsidRPr="004C4E17">
        <w:rPr>
          <w:rFonts w:ascii="宋体" w:hAnsi="宋体" w:hint="eastAsia"/>
        </w:rPr>
        <w:t>投资者可在</w:t>
      </w:r>
      <w:r w:rsidR="00813033">
        <w:rPr>
          <w:rFonts w:ascii="宋体" w:hAnsi="宋体" w:hint="eastAsia"/>
        </w:rPr>
        <w:t>中国</w:t>
      </w:r>
      <w:r w:rsidR="00945C04">
        <w:rPr>
          <w:rFonts w:ascii="宋体" w:hAnsi="宋体" w:hint="eastAsia"/>
        </w:rPr>
        <w:t>银行</w:t>
      </w:r>
      <w:r w:rsidR="00A137F3" w:rsidRPr="00A137F3">
        <w:rPr>
          <w:rFonts w:ascii="宋体" w:hAnsi="宋体" w:hint="eastAsia"/>
        </w:rPr>
        <w:t>柜台、手机银行、网上银行、智能柜台等渠道</w:t>
      </w:r>
      <w:r w:rsidR="00A137F3">
        <w:rPr>
          <w:rFonts w:ascii="宋体" w:hAnsi="宋体" w:hint="eastAsia"/>
        </w:rPr>
        <w:t>等</w:t>
      </w:r>
      <w:r>
        <w:rPr>
          <w:rFonts w:ascii="宋体" w:hAnsi="宋体" w:hint="eastAsia"/>
        </w:rPr>
        <w:t>办理下述基金的申购及定期定额投资业务</w:t>
      </w:r>
      <w:r w:rsidRPr="004C4E17">
        <w:rPr>
          <w:rFonts w:ascii="宋体" w:hAnsi="宋体" w:hint="eastAsia"/>
        </w:rPr>
        <w:t>：</w:t>
      </w:r>
    </w:p>
    <w:p w:rsidR="00CA3867" w:rsidRPr="008A5DF7" w:rsidRDefault="00CA3867">
      <w:pPr>
        <w:spacing w:line="360" w:lineRule="auto"/>
        <w:ind w:firstLineChars="200" w:firstLine="420"/>
        <w:rPr>
          <w:rFonts w:ascii="宋体" w:hAnsi="宋体" w:hint="eastAsia"/>
        </w:rPr>
      </w:pPr>
      <w:r>
        <w:rPr>
          <w:rFonts w:ascii="宋体" w:hAnsi="宋体" w:hint="eastAsia"/>
        </w:rPr>
        <w:t>国</w:t>
      </w:r>
      <w:r w:rsidRPr="007230FE">
        <w:rPr>
          <w:rFonts w:ascii="宋体" w:hAnsi="宋体" w:hint="eastAsia"/>
        </w:rPr>
        <w:t>联安</w:t>
      </w:r>
      <w:r w:rsidRPr="008A5DF7">
        <w:rPr>
          <w:rFonts w:ascii="宋体" w:hAnsi="宋体" w:hint="eastAsia"/>
        </w:rPr>
        <w:t>德盛稳健证券投资基金（基金简称：国联安稳健混合；基金代码：255010）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国联安德盛小盘精选证券投资基金（基金简称：国联安小盘精选混合；基金代码：257010）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国联安德盛安心成长混合型证券投资基金（基金简称：国联安安心成长混合；基金代码：253010）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国联安德盛精选混合型证券投资基金（基金简称：国联安精选混合；基金代码：257020）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国联安德盛优势混合型证券投资基金（基金简称：国联安优势混合；基金代码：257030）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国联安德盛红利混合型证券投资基金（基金简称：国联安红利混合；基金代码：257040）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国联安德盛增利债券证券投资基金（基金简称：国联安增利债券；基金代码：A类253020）</w:t>
      </w:r>
    </w:p>
    <w:p w:rsidR="00CA3867" w:rsidRPr="008A5DF7" w:rsidRDefault="00CA3867">
      <w:pPr>
        <w:spacing w:line="360" w:lineRule="auto"/>
        <w:ind w:firstLineChars="200" w:firstLine="420"/>
        <w:rPr>
          <w:rFonts w:ascii="宋体" w:hAnsi="宋体"/>
        </w:rPr>
      </w:pPr>
      <w:r w:rsidRPr="008A5DF7">
        <w:rPr>
          <w:rFonts w:ascii="宋体" w:hAnsi="宋体" w:hint="eastAsia"/>
        </w:rPr>
        <w:t>国联安主题驱动混合型证券投资基金（基金简称：国联安主题驱动混合；基金代码：257050）</w:t>
      </w:r>
    </w:p>
    <w:p w:rsidR="00CA3867" w:rsidRPr="008A5DF7" w:rsidRDefault="00CA3867">
      <w:pPr>
        <w:spacing w:line="360" w:lineRule="auto"/>
        <w:ind w:firstLineChars="200" w:firstLine="420"/>
        <w:rPr>
          <w:rFonts w:ascii="Arial" w:cs="Arial" w:hint="eastAsia"/>
          <w:szCs w:val="21"/>
        </w:rPr>
      </w:pPr>
      <w:r w:rsidRPr="008A5DF7">
        <w:rPr>
          <w:rFonts w:ascii="Arial" w:cs="Arial" w:hint="eastAsia"/>
          <w:szCs w:val="21"/>
        </w:rPr>
        <w:t>国联安信心增益债券型证券投资基金</w:t>
      </w:r>
      <w:r w:rsidRPr="008A5DF7">
        <w:rPr>
          <w:rFonts w:ascii="Arial" w:cs="Arial"/>
          <w:szCs w:val="21"/>
        </w:rPr>
        <w:t>（基金简称：国联安信心增益债券；基金代码：</w:t>
      </w:r>
      <w:r w:rsidRPr="008A5DF7">
        <w:rPr>
          <w:rFonts w:ascii="宋体" w:hAnsi="宋体"/>
        </w:rPr>
        <w:t>253030）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国联安上证大宗商品股票交易型开放式指数证券投资基金联接基金（基金简称：国联安上证商品ETF联接；基金代码：257060）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国联安优选行业混合型证券投资基金（基金简称：国联安优选行业混合；基金代码：257070）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t>国联安信心增长债券型证券投资基金（基金简称：国联安信心增长债券；基金代码：A类253060）</w:t>
      </w:r>
    </w:p>
    <w:p w:rsidR="00CA3867" w:rsidRPr="008A5DF7" w:rsidRDefault="00CA3867">
      <w:pPr>
        <w:spacing w:line="360" w:lineRule="auto"/>
        <w:ind w:firstLineChars="200" w:firstLine="420"/>
        <w:rPr>
          <w:rFonts w:ascii="宋体" w:hAnsi="宋体" w:hint="eastAsia"/>
        </w:rPr>
      </w:pPr>
      <w:r w:rsidRPr="008A5DF7">
        <w:rPr>
          <w:rFonts w:ascii="宋体" w:hAnsi="宋体" w:hint="eastAsia"/>
        </w:rPr>
        <w:lastRenderedPageBreak/>
        <w:t>国联安科技动力股票型证券投资基金（基金简称：国联安科技动力股票；基金代码：001956）</w:t>
      </w:r>
    </w:p>
    <w:p w:rsidR="00783B9E" w:rsidRDefault="00783B9E" w:rsidP="00783B9E">
      <w:pPr>
        <w:spacing w:line="360" w:lineRule="auto"/>
        <w:ind w:firstLineChars="200" w:firstLine="420"/>
        <w:rPr>
          <w:rFonts w:ascii="宋体" w:hAnsi="宋体"/>
        </w:rPr>
      </w:pPr>
      <w:r w:rsidRPr="008A5DF7">
        <w:rPr>
          <w:rFonts w:ascii="宋体" w:hAnsi="宋体" w:hint="eastAsia"/>
        </w:rPr>
        <w:t>国联安中证100指数证券</w:t>
      </w:r>
      <w:r w:rsidRPr="00783B9E">
        <w:rPr>
          <w:rFonts w:ascii="宋体" w:hAnsi="宋体" w:hint="eastAsia"/>
        </w:rPr>
        <w:t>投资基金（LOF）（基金简称：国联安中证100指数（LOF）；基金代码：162509）</w:t>
      </w:r>
    </w:p>
    <w:p w:rsidR="001B1475" w:rsidRDefault="001B1475" w:rsidP="00783B9E">
      <w:pPr>
        <w:spacing w:line="360" w:lineRule="auto"/>
        <w:ind w:firstLineChars="200" w:firstLine="420"/>
        <w:rPr>
          <w:rFonts w:ascii="宋体" w:hAnsi="宋体" w:hint="eastAsia"/>
        </w:rPr>
      </w:pPr>
      <w:r w:rsidRPr="001B1475">
        <w:rPr>
          <w:rFonts w:ascii="宋体" w:hAnsi="宋体" w:hint="eastAsia"/>
        </w:rPr>
        <w:t>国联安匠心科技1个月滚动持有混合型证券投资基金</w:t>
      </w:r>
      <w:r>
        <w:rPr>
          <w:rFonts w:ascii="宋体" w:hAnsi="宋体" w:hint="eastAsia"/>
        </w:rPr>
        <w:t>（基金简称：</w:t>
      </w:r>
      <w:r w:rsidRPr="001B1475">
        <w:rPr>
          <w:rFonts w:ascii="宋体" w:hAnsi="宋体" w:hint="eastAsia"/>
        </w:rPr>
        <w:t>国联安匠心科技 1 个月滚动持有混合</w:t>
      </w:r>
      <w:r>
        <w:rPr>
          <w:rFonts w:ascii="宋体" w:hAnsi="宋体" w:hint="eastAsia"/>
        </w:rPr>
        <w:t>；基金代码：0</w:t>
      </w:r>
      <w:r>
        <w:rPr>
          <w:rFonts w:ascii="宋体" w:hAnsi="宋体"/>
        </w:rPr>
        <w:t>11599</w:t>
      </w:r>
      <w:r>
        <w:rPr>
          <w:rFonts w:ascii="宋体" w:hAnsi="宋体" w:hint="eastAsia"/>
        </w:rPr>
        <w:t>）</w:t>
      </w:r>
    </w:p>
    <w:p w:rsidR="00783B9E" w:rsidRPr="002627A2" w:rsidRDefault="00783B9E" w:rsidP="00D76E86">
      <w:pPr>
        <w:spacing w:line="360" w:lineRule="auto"/>
        <w:rPr>
          <w:rFonts w:ascii="宋体" w:hAnsi="宋体" w:hint="eastAsia"/>
        </w:rPr>
      </w:pPr>
    </w:p>
    <w:p w:rsidR="00CA3867" w:rsidRDefault="004C4E17">
      <w:pPr>
        <w:spacing w:line="360" w:lineRule="auto"/>
        <w:ind w:left="360"/>
        <w:rPr>
          <w:rFonts w:ascii="宋体" w:hAnsi="宋体" w:hint="eastAsia"/>
        </w:rPr>
      </w:pPr>
      <w:r>
        <w:rPr>
          <w:rFonts w:ascii="宋体" w:hAnsi="宋体" w:hint="eastAsia"/>
        </w:rPr>
        <w:t>二</w:t>
      </w:r>
      <w:r w:rsidR="00CA3867">
        <w:rPr>
          <w:rFonts w:ascii="宋体" w:hAnsi="宋体" w:hint="eastAsia"/>
        </w:rPr>
        <w:t>、优惠活动方案</w:t>
      </w:r>
    </w:p>
    <w:p w:rsidR="00CA3867" w:rsidRDefault="00CA3867">
      <w:pPr>
        <w:spacing w:line="360" w:lineRule="auto"/>
        <w:ind w:firstLineChars="200" w:firstLine="420"/>
        <w:rPr>
          <w:rFonts w:ascii="宋体" w:hAnsi="宋体" w:hint="eastAsia"/>
        </w:rPr>
      </w:pPr>
      <w:r>
        <w:rPr>
          <w:rFonts w:ascii="宋体" w:hAnsi="宋体" w:hint="eastAsia"/>
        </w:rPr>
        <w:t>1、业务开通时间</w:t>
      </w:r>
    </w:p>
    <w:p w:rsidR="00CA3867" w:rsidRDefault="00CA3867">
      <w:pPr>
        <w:spacing w:line="360" w:lineRule="auto"/>
        <w:ind w:firstLineChars="200" w:firstLine="420"/>
        <w:rPr>
          <w:rFonts w:ascii="宋体" w:hAnsi="宋体" w:hint="eastAsia"/>
        </w:rPr>
      </w:pPr>
      <w:r>
        <w:rPr>
          <w:rFonts w:ascii="宋体" w:hAnsi="宋体" w:hint="eastAsia"/>
        </w:rPr>
        <w:t>费率优惠活动时间为</w:t>
      </w:r>
      <w:r w:rsidR="00363F28">
        <w:rPr>
          <w:rFonts w:ascii="宋体" w:hAnsi="宋体" w:hint="eastAsia"/>
        </w:rPr>
        <w:t>202</w:t>
      </w:r>
      <w:r w:rsidR="00363F28">
        <w:rPr>
          <w:rFonts w:ascii="宋体" w:hAnsi="宋体"/>
        </w:rPr>
        <w:t>2</w:t>
      </w:r>
      <w:r w:rsidR="00363F28">
        <w:rPr>
          <w:rFonts w:ascii="宋体" w:hAnsi="宋体" w:hint="eastAsia"/>
        </w:rPr>
        <w:t>年</w:t>
      </w:r>
      <w:r w:rsidR="00363F28">
        <w:rPr>
          <w:rFonts w:ascii="宋体" w:hAnsi="宋体"/>
        </w:rPr>
        <w:t>1</w:t>
      </w:r>
      <w:r w:rsidR="00363F28">
        <w:rPr>
          <w:rFonts w:ascii="宋体" w:hAnsi="宋体" w:hint="eastAsia"/>
        </w:rPr>
        <w:t>月</w:t>
      </w:r>
      <w:r w:rsidR="00363F28">
        <w:rPr>
          <w:rFonts w:ascii="宋体" w:hAnsi="宋体"/>
        </w:rPr>
        <w:t>4</w:t>
      </w:r>
      <w:r>
        <w:rPr>
          <w:rFonts w:ascii="宋体" w:hAnsi="宋体" w:hint="eastAsia"/>
        </w:rPr>
        <w:t>日</w:t>
      </w:r>
      <w:r w:rsidR="000A7C7C">
        <w:rPr>
          <w:rFonts w:ascii="宋体" w:hAnsi="宋体" w:hint="eastAsia"/>
        </w:rPr>
        <w:t>起的</w:t>
      </w:r>
      <w:r>
        <w:rPr>
          <w:rFonts w:ascii="宋体" w:hAnsi="宋体" w:hint="eastAsia"/>
        </w:rPr>
        <w:t>全部法定基金交易日。</w:t>
      </w:r>
    </w:p>
    <w:p w:rsidR="00CA3867" w:rsidRDefault="00CA3867">
      <w:pPr>
        <w:spacing w:line="360" w:lineRule="auto"/>
        <w:ind w:firstLineChars="200" w:firstLine="420"/>
        <w:rPr>
          <w:rFonts w:ascii="宋体" w:hAnsi="宋体" w:hint="eastAsia"/>
        </w:rPr>
      </w:pPr>
      <w:r>
        <w:rPr>
          <w:rFonts w:ascii="宋体" w:hAnsi="宋体" w:hint="eastAsia"/>
        </w:rPr>
        <w:t>2、</w:t>
      </w:r>
      <w:r>
        <w:rPr>
          <w:rFonts w:ascii="Arial" w:cs="Arial" w:hint="eastAsia"/>
          <w:szCs w:val="21"/>
        </w:rPr>
        <w:t>优惠活动方案</w:t>
      </w:r>
    </w:p>
    <w:p w:rsidR="00FE44C2" w:rsidRDefault="00E34EE3" w:rsidP="00FE44C2">
      <w:pPr>
        <w:spacing w:line="360" w:lineRule="auto"/>
        <w:ind w:firstLineChars="200" w:firstLine="420"/>
        <w:rPr>
          <w:rFonts w:ascii="宋体" w:hAnsi="宋体" w:hint="eastAsia"/>
        </w:rPr>
      </w:pPr>
      <w:r>
        <w:rPr>
          <w:rFonts w:ascii="Arial" w:hAnsi="Arial" w:cs="Arial" w:hint="eastAsia"/>
          <w:szCs w:val="21"/>
        </w:rPr>
        <w:t>投资者通过</w:t>
      </w:r>
      <w:r w:rsidR="00813033">
        <w:rPr>
          <w:rFonts w:ascii="Arial" w:hAnsi="Arial" w:cs="Arial" w:hint="eastAsia"/>
          <w:szCs w:val="21"/>
        </w:rPr>
        <w:t>中国</w:t>
      </w:r>
      <w:r>
        <w:rPr>
          <w:rFonts w:ascii="Arial" w:hAnsi="Arial" w:cs="Arial" w:hint="eastAsia"/>
          <w:szCs w:val="21"/>
        </w:rPr>
        <w:t>银行指定方式办理本公司旗下部分基金申购或定期定额投资业务的，涉及的参与申购费率优惠的基金名称、优惠标准、优惠活动期限以销售机构公示信息为准，本公司将不对费率设置折扣限制，申购费率为固定费用的，不享受折扣费率。基金原费率请详见基金合同、招募说明书等法律文件，以及本公司发布的最新业务公告。</w:t>
      </w:r>
    </w:p>
    <w:p w:rsidR="00CA3867" w:rsidRDefault="00CA3867">
      <w:pPr>
        <w:spacing w:line="360" w:lineRule="auto"/>
        <w:ind w:firstLineChars="200" w:firstLine="420"/>
        <w:rPr>
          <w:rFonts w:ascii="宋体" w:hAnsi="宋体" w:cs="宋体" w:hint="eastAsia"/>
          <w:kern w:val="0"/>
          <w:szCs w:val="21"/>
        </w:rPr>
      </w:pPr>
    </w:p>
    <w:p w:rsidR="00CA3867" w:rsidRDefault="004C4E17">
      <w:pPr>
        <w:spacing w:line="360" w:lineRule="auto"/>
        <w:ind w:firstLineChars="200" w:firstLine="420"/>
        <w:rPr>
          <w:rFonts w:ascii="宋体" w:hAnsi="宋体" w:cs="宋体" w:hint="eastAsia"/>
          <w:kern w:val="0"/>
          <w:szCs w:val="21"/>
        </w:rPr>
      </w:pPr>
      <w:r>
        <w:rPr>
          <w:rFonts w:ascii="宋体" w:hAnsi="宋体" w:cs="宋体" w:hint="eastAsia"/>
          <w:kern w:val="0"/>
          <w:szCs w:val="21"/>
        </w:rPr>
        <w:t>三</w:t>
      </w:r>
      <w:r w:rsidR="00CA3867">
        <w:rPr>
          <w:rFonts w:ascii="宋体" w:hAnsi="宋体" w:cs="宋体" w:hint="eastAsia"/>
          <w:kern w:val="0"/>
          <w:szCs w:val="21"/>
        </w:rPr>
        <w:t>、投资者可通过以下途径了解或咨询相关情况</w:t>
      </w:r>
    </w:p>
    <w:p w:rsidR="00CA3867" w:rsidRDefault="00CA3867">
      <w:pPr>
        <w:spacing w:line="360" w:lineRule="auto"/>
        <w:ind w:firstLineChars="200" w:firstLine="420"/>
        <w:rPr>
          <w:rFonts w:ascii="宋体" w:hAnsi="宋体" w:hint="eastAsia"/>
        </w:rPr>
      </w:pPr>
      <w:r>
        <w:rPr>
          <w:rFonts w:ascii="宋体" w:hAnsi="宋体" w:cs="宋体" w:hint="eastAsia"/>
          <w:kern w:val="0"/>
          <w:szCs w:val="21"/>
        </w:rPr>
        <w:t>1、</w:t>
      </w:r>
      <w:r w:rsidR="00813033">
        <w:rPr>
          <w:rFonts w:ascii="宋体" w:hAnsi="宋体"/>
        </w:rPr>
        <w:t>中国</w:t>
      </w:r>
      <w:r w:rsidR="00945C04">
        <w:rPr>
          <w:rFonts w:ascii="宋体" w:hAnsi="宋体"/>
        </w:rPr>
        <w:t>银行</w:t>
      </w:r>
      <w:r>
        <w:rPr>
          <w:rFonts w:ascii="宋体" w:hAnsi="宋体" w:hint="eastAsia"/>
        </w:rPr>
        <w:t>股份有限公司：</w:t>
      </w:r>
    </w:p>
    <w:p w:rsidR="00CA3867" w:rsidRDefault="00CA3867">
      <w:pPr>
        <w:spacing w:line="360" w:lineRule="auto"/>
        <w:ind w:firstLineChars="200" w:firstLine="420"/>
        <w:rPr>
          <w:rFonts w:ascii="宋体" w:hAnsi="宋体"/>
        </w:rPr>
      </w:pPr>
      <w:r>
        <w:rPr>
          <w:rFonts w:ascii="宋体" w:hAnsi="宋体"/>
        </w:rPr>
        <w:t>客户</w:t>
      </w:r>
      <w:r>
        <w:rPr>
          <w:rFonts w:ascii="宋体" w:hAnsi="宋体" w:hint="eastAsia"/>
        </w:rPr>
        <w:t>服务电话</w:t>
      </w:r>
      <w:r>
        <w:rPr>
          <w:rFonts w:ascii="宋体" w:hAnsi="宋体"/>
        </w:rPr>
        <w:t>：</w:t>
      </w:r>
      <w:r w:rsidR="00E34EE3">
        <w:rPr>
          <w:rFonts w:ascii="宋体" w:hAnsi="宋体" w:hint="eastAsia"/>
        </w:rPr>
        <w:t>955</w:t>
      </w:r>
      <w:r w:rsidR="000A7C7C">
        <w:rPr>
          <w:rFonts w:ascii="宋体" w:hAnsi="宋体" w:hint="eastAsia"/>
        </w:rPr>
        <w:t>66</w:t>
      </w:r>
    </w:p>
    <w:p w:rsidR="00CA3867" w:rsidRDefault="00CA3867">
      <w:pPr>
        <w:spacing w:line="360" w:lineRule="auto"/>
        <w:ind w:firstLineChars="200" w:firstLine="420"/>
        <w:rPr>
          <w:rFonts w:ascii="宋体" w:hAnsi="宋体" w:hint="eastAsia"/>
        </w:rPr>
      </w:pPr>
      <w:r>
        <w:rPr>
          <w:rFonts w:ascii="宋体" w:hAnsi="宋体" w:hint="eastAsia"/>
        </w:rPr>
        <w:t>网站</w:t>
      </w:r>
      <w:r>
        <w:rPr>
          <w:rFonts w:ascii="宋体" w:hAnsi="宋体"/>
        </w:rPr>
        <w:t>：</w:t>
      </w:r>
      <w:r w:rsidR="000A7C7C" w:rsidRPr="000A7C7C">
        <w:rPr>
          <w:rFonts w:ascii="宋体" w:hAnsi="宋体"/>
        </w:rPr>
        <w:t>www.boc.cn</w:t>
      </w:r>
    </w:p>
    <w:p w:rsidR="00CA3867" w:rsidRDefault="00CA3867">
      <w:pPr>
        <w:spacing w:line="360" w:lineRule="auto"/>
        <w:ind w:firstLineChars="200" w:firstLine="420"/>
        <w:rPr>
          <w:rFonts w:ascii="宋体" w:hAnsi="宋体" w:hint="eastAsia"/>
        </w:rPr>
      </w:pPr>
      <w:r>
        <w:rPr>
          <w:rFonts w:ascii="宋体" w:hAnsi="宋体" w:hint="eastAsia"/>
        </w:rPr>
        <w:t>2、国联安基金管理有限公司：</w:t>
      </w:r>
    </w:p>
    <w:p w:rsidR="00CA3867" w:rsidRDefault="00CA3867">
      <w:pPr>
        <w:spacing w:line="360" w:lineRule="auto"/>
        <w:ind w:firstLineChars="200" w:firstLine="420"/>
        <w:rPr>
          <w:rFonts w:ascii="宋体" w:hAnsi="宋体" w:hint="eastAsia"/>
        </w:rPr>
      </w:pPr>
      <w:r>
        <w:rPr>
          <w:rFonts w:ascii="宋体" w:hAnsi="宋体" w:hint="eastAsia"/>
        </w:rPr>
        <w:t>客户服务电话：021-38784766，400-7000-365（免长途话费）</w:t>
      </w:r>
    </w:p>
    <w:p w:rsidR="00CA3867" w:rsidRDefault="00CA3867">
      <w:pPr>
        <w:spacing w:line="360" w:lineRule="auto"/>
        <w:ind w:firstLineChars="200" w:firstLine="420"/>
        <w:rPr>
          <w:rFonts w:ascii="宋体" w:hAnsi="宋体" w:hint="eastAsia"/>
        </w:rPr>
      </w:pPr>
      <w:r>
        <w:rPr>
          <w:rFonts w:ascii="宋体" w:hAnsi="宋体" w:hint="eastAsia"/>
        </w:rPr>
        <w:t>网站：www.cpicfunds.com</w:t>
      </w:r>
    </w:p>
    <w:p w:rsidR="00CA3867" w:rsidRDefault="00CA3867">
      <w:pPr>
        <w:spacing w:line="360" w:lineRule="auto"/>
        <w:ind w:firstLine="200"/>
        <w:rPr>
          <w:rFonts w:ascii="宋体" w:hAnsi="宋体" w:hint="eastAsia"/>
        </w:rPr>
      </w:pPr>
    </w:p>
    <w:p w:rsidR="00CA3867" w:rsidRDefault="004C4E17">
      <w:pPr>
        <w:autoSpaceDE w:val="0"/>
        <w:autoSpaceDN w:val="0"/>
        <w:adjustRightInd w:val="0"/>
        <w:spacing w:line="360" w:lineRule="auto"/>
        <w:ind w:firstLineChars="200" w:firstLine="420"/>
        <w:jc w:val="left"/>
        <w:rPr>
          <w:rFonts w:ascii="宋体" w:hAnsi="宋体" w:cs="宋体"/>
          <w:kern w:val="0"/>
          <w:szCs w:val="21"/>
        </w:rPr>
      </w:pPr>
      <w:r>
        <w:rPr>
          <w:rFonts w:ascii="宋体" w:hAnsi="宋体" w:cs="宋体" w:hint="eastAsia"/>
          <w:kern w:val="0"/>
          <w:szCs w:val="21"/>
        </w:rPr>
        <w:t>四</w:t>
      </w:r>
      <w:r w:rsidR="00CA3867">
        <w:rPr>
          <w:rFonts w:ascii="宋体" w:hAnsi="宋体" w:cs="宋体" w:hint="eastAsia"/>
          <w:kern w:val="0"/>
          <w:szCs w:val="21"/>
        </w:rPr>
        <w:t>、重要提示</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kern w:val="0"/>
          <w:szCs w:val="21"/>
        </w:rPr>
        <w:t>1</w:t>
      </w:r>
      <w:r>
        <w:rPr>
          <w:rFonts w:ascii="宋体" w:hAnsi="宋体" w:cs="宋体" w:hint="eastAsia"/>
          <w:kern w:val="0"/>
          <w:szCs w:val="21"/>
        </w:rPr>
        <w:t>、投资者办理基金交易业务前，应仔细阅读相关基金的基金合同、招募说明书</w:t>
      </w:r>
      <w:r w:rsidR="00E35120">
        <w:rPr>
          <w:rFonts w:ascii="宋体" w:hAnsi="宋体" w:cs="宋体" w:hint="eastAsia"/>
          <w:kern w:val="0"/>
          <w:szCs w:val="21"/>
        </w:rPr>
        <w:t>、产品资料概要</w:t>
      </w:r>
      <w:r>
        <w:rPr>
          <w:rFonts w:ascii="宋体" w:hAnsi="宋体" w:cs="宋体" w:hint="eastAsia"/>
          <w:kern w:val="0"/>
          <w:szCs w:val="21"/>
        </w:rPr>
        <w:t>及其更新、风险提示及相关业务规则和操作指南等文件；</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kern w:val="0"/>
          <w:szCs w:val="21"/>
        </w:rPr>
        <w:t>2</w:t>
      </w:r>
      <w:r>
        <w:rPr>
          <w:rFonts w:ascii="宋体" w:hAnsi="宋体" w:cs="宋体" w:hint="eastAsia"/>
          <w:kern w:val="0"/>
          <w:szCs w:val="21"/>
        </w:rPr>
        <w:t>、本公告涉及相关费率优惠活动的最终解释权归</w:t>
      </w:r>
      <w:r w:rsidR="00813033">
        <w:rPr>
          <w:rFonts w:ascii="宋体" w:hAnsi="宋体" w:cs="宋体" w:hint="eastAsia"/>
          <w:kern w:val="0"/>
          <w:szCs w:val="21"/>
        </w:rPr>
        <w:t>中国</w:t>
      </w:r>
      <w:r w:rsidR="00945C04">
        <w:rPr>
          <w:rFonts w:ascii="宋体" w:hAnsi="宋体" w:cs="宋体" w:hint="eastAsia"/>
          <w:kern w:val="0"/>
          <w:szCs w:val="21"/>
        </w:rPr>
        <w:t>银行</w:t>
      </w:r>
      <w:r>
        <w:rPr>
          <w:rFonts w:ascii="宋体" w:hAnsi="宋体" w:cs="宋体" w:hint="eastAsia"/>
          <w:kern w:val="0"/>
          <w:szCs w:val="21"/>
        </w:rPr>
        <w:t>所有；凡涉及相关基金在</w:t>
      </w:r>
      <w:r w:rsidR="00813033">
        <w:rPr>
          <w:rFonts w:ascii="宋体" w:hAnsi="宋体" w:cs="宋体" w:hint="eastAsia"/>
          <w:kern w:val="0"/>
          <w:szCs w:val="21"/>
        </w:rPr>
        <w:t>中国</w:t>
      </w:r>
      <w:r w:rsidR="00945C04">
        <w:rPr>
          <w:rFonts w:ascii="宋体" w:hAnsi="宋体" w:cs="宋体" w:hint="eastAsia"/>
          <w:kern w:val="0"/>
          <w:szCs w:val="21"/>
        </w:rPr>
        <w:t>银行</w:t>
      </w:r>
      <w:r>
        <w:rPr>
          <w:rFonts w:ascii="宋体" w:hAnsi="宋体" w:cs="宋体" w:hint="eastAsia"/>
          <w:kern w:val="0"/>
          <w:szCs w:val="21"/>
        </w:rPr>
        <w:t>办理基金销售业务的其他未明事项，敬请遵循</w:t>
      </w:r>
      <w:r w:rsidR="00813033">
        <w:rPr>
          <w:rFonts w:ascii="宋体" w:hAnsi="宋体" w:cs="宋体" w:hint="eastAsia"/>
          <w:kern w:val="0"/>
          <w:szCs w:val="21"/>
        </w:rPr>
        <w:t>中国</w:t>
      </w:r>
      <w:r w:rsidR="00945C04">
        <w:rPr>
          <w:rFonts w:ascii="宋体" w:hAnsi="宋体" w:cs="宋体" w:hint="eastAsia"/>
          <w:kern w:val="0"/>
          <w:szCs w:val="21"/>
        </w:rPr>
        <w:t>银行</w:t>
      </w:r>
      <w:r>
        <w:rPr>
          <w:rFonts w:ascii="宋体" w:hAnsi="宋体" w:cs="宋体" w:hint="eastAsia"/>
          <w:kern w:val="0"/>
          <w:szCs w:val="21"/>
        </w:rPr>
        <w:t xml:space="preserve">的具体规定； </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Arial" w:hint="eastAsia"/>
          <w:kern w:val="0"/>
          <w:szCs w:val="21"/>
        </w:rPr>
        <w:t>3</w:t>
      </w:r>
      <w:r>
        <w:rPr>
          <w:rFonts w:ascii="宋体" w:hAnsi="宋体" w:cs="宋体" w:hint="eastAsia"/>
          <w:kern w:val="0"/>
          <w:szCs w:val="21"/>
        </w:rPr>
        <w:t>、本公告仅就本公司旗下</w:t>
      </w:r>
      <w:r>
        <w:rPr>
          <w:rFonts w:ascii="宋体" w:hAnsi="宋体" w:hint="eastAsia"/>
          <w:color w:val="000000"/>
        </w:rPr>
        <w:t>部分基金（前端模式）</w:t>
      </w:r>
      <w:r>
        <w:rPr>
          <w:rFonts w:ascii="宋体" w:hAnsi="宋体" w:cs="宋体" w:hint="eastAsia"/>
          <w:kern w:val="0"/>
          <w:szCs w:val="21"/>
        </w:rPr>
        <w:t>参与</w:t>
      </w:r>
      <w:r w:rsidR="00813033">
        <w:rPr>
          <w:rFonts w:ascii="宋体" w:hAnsi="宋体" w:cs="宋体" w:hint="eastAsia"/>
          <w:kern w:val="0"/>
          <w:szCs w:val="21"/>
        </w:rPr>
        <w:t>中国</w:t>
      </w:r>
      <w:r w:rsidR="00945C04">
        <w:rPr>
          <w:rFonts w:ascii="宋体" w:hAnsi="宋体" w:cs="宋体" w:hint="eastAsia"/>
          <w:kern w:val="0"/>
          <w:szCs w:val="21"/>
        </w:rPr>
        <w:t>银行</w:t>
      </w:r>
      <w:r>
        <w:rPr>
          <w:rFonts w:hint="eastAsia"/>
          <w:color w:val="000000"/>
          <w:szCs w:val="21"/>
        </w:rPr>
        <w:t>相关</w:t>
      </w:r>
      <w:r>
        <w:rPr>
          <w:rFonts w:ascii="宋体" w:hAnsi="宋体" w:cs="宋体" w:hint="eastAsia"/>
          <w:kern w:val="0"/>
          <w:szCs w:val="21"/>
        </w:rPr>
        <w:t>费率优惠活动的有</w:t>
      </w:r>
      <w:r>
        <w:rPr>
          <w:rFonts w:ascii="宋体" w:hAnsi="宋体" w:cs="宋体" w:hint="eastAsia"/>
          <w:kern w:val="0"/>
          <w:szCs w:val="21"/>
        </w:rPr>
        <w:lastRenderedPageBreak/>
        <w:t>关事项予以公告，不包括：</w:t>
      </w:r>
    </w:p>
    <w:p w:rsidR="00CA3867" w:rsidRDefault="00CA3867">
      <w:pPr>
        <w:autoSpaceDE w:val="0"/>
        <w:autoSpaceDN w:val="0"/>
        <w:adjustRightInd w:val="0"/>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（1）后端收费模式下基金的申购费率；</w:t>
      </w:r>
    </w:p>
    <w:p w:rsidR="00CA3867" w:rsidRDefault="00CA3867">
      <w:pPr>
        <w:spacing w:line="360" w:lineRule="auto"/>
        <w:ind w:firstLineChars="200" w:firstLine="420"/>
        <w:rPr>
          <w:rFonts w:hint="eastAsia"/>
          <w:color w:val="000000"/>
          <w:szCs w:val="21"/>
        </w:rPr>
      </w:pPr>
      <w:r>
        <w:rPr>
          <w:rFonts w:ascii="宋体" w:hAnsi="宋体" w:cs="宋体" w:hint="eastAsia"/>
          <w:kern w:val="0"/>
          <w:szCs w:val="21"/>
        </w:rPr>
        <w:t>（2）</w:t>
      </w:r>
      <w:r>
        <w:rPr>
          <w:rFonts w:hint="eastAsia"/>
          <w:color w:val="000000"/>
          <w:szCs w:val="21"/>
        </w:rPr>
        <w:t>场内基金的申购费率；</w:t>
      </w:r>
    </w:p>
    <w:p w:rsidR="00CA3867" w:rsidRDefault="00CA3867">
      <w:pPr>
        <w:spacing w:line="360" w:lineRule="auto"/>
        <w:ind w:firstLineChars="200" w:firstLine="420"/>
        <w:rPr>
          <w:rFonts w:ascii="宋体" w:hAnsi="宋体" w:cs="宋体"/>
          <w:kern w:val="0"/>
          <w:szCs w:val="21"/>
        </w:rPr>
      </w:pPr>
      <w:r>
        <w:rPr>
          <w:rFonts w:ascii="宋体" w:hAnsi="宋体" w:cs="宋体" w:hint="eastAsia"/>
          <w:kern w:val="0"/>
          <w:szCs w:val="21"/>
        </w:rPr>
        <w:t>（3）基金转换业务等其他业务的手续费；</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r>
        <w:rPr>
          <w:rFonts w:ascii="宋体" w:hAnsi="宋体" w:cs="Arial" w:hint="eastAsia"/>
          <w:kern w:val="0"/>
          <w:szCs w:val="21"/>
        </w:rPr>
        <w:t>4</w:t>
      </w:r>
      <w:r>
        <w:rPr>
          <w:rFonts w:ascii="宋体" w:hAnsi="宋体" w:cs="宋体" w:hint="eastAsia"/>
          <w:kern w:val="0"/>
          <w:szCs w:val="21"/>
        </w:rPr>
        <w:t>、本公告的最终解释权归本公司所有，今后若增加</w:t>
      </w:r>
      <w:r w:rsidR="00813033">
        <w:rPr>
          <w:rFonts w:ascii="宋体" w:hAnsi="宋体" w:cs="宋体" w:hint="eastAsia"/>
          <w:kern w:val="0"/>
          <w:szCs w:val="21"/>
        </w:rPr>
        <w:t>中国</w:t>
      </w:r>
      <w:r w:rsidR="00945C04">
        <w:rPr>
          <w:rFonts w:ascii="宋体" w:hAnsi="宋体" w:cs="宋体" w:hint="eastAsia"/>
          <w:kern w:val="0"/>
          <w:szCs w:val="21"/>
        </w:rPr>
        <w:t>银行</w:t>
      </w:r>
      <w:r>
        <w:rPr>
          <w:rFonts w:ascii="宋体" w:hAnsi="宋体" w:cs="宋体" w:hint="eastAsia"/>
          <w:kern w:val="0"/>
          <w:szCs w:val="21"/>
        </w:rPr>
        <w:t>为本公司旗下其他开放式基金的销售机构，上述基金同样适用于此费率优惠活动，届时不再另行公告。</w:t>
      </w:r>
    </w:p>
    <w:p w:rsidR="00CA3867" w:rsidRDefault="00CA3867">
      <w:pPr>
        <w:spacing w:line="360" w:lineRule="auto"/>
        <w:ind w:firstLineChars="200" w:firstLine="420"/>
        <w:rPr>
          <w:rFonts w:ascii="宋体" w:hAnsi="宋体" w:cs="宋体" w:hint="eastAsia"/>
          <w:kern w:val="0"/>
          <w:szCs w:val="21"/>
        </w:rPr>
      </w:pP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FB7475" w:rsidRPr="00FB7475"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销售机构根据法规要求对投资者类别、风险承受能力和基金的风险等级进行划分，并提出适当性匹配意见。投资者在投资基金前应认真阅读《基金合同》</w:t>
      </w:r>
      <w:r w:rsidR="00E35120">
        <w:rPr>
          <w:rFonts w:ascii="宋体" w:hAnsi="宋体" w:cs="宋体" w:hint="eastAsia"/>
          <w:kern w:val="0"/>
          <w:szCs w:val="21"/>
        </w:rPr>
        <w:t>、</w:t>
      </w:r>
      <w:r w:rsidRPr="00FB7475">
        <w:rPr>
          <w:rFonts w:ascii="宋体" w:hAnsi="宋体" w:cs="宋体" w:hint="eastAsia"/>
          <w:kern w:val="0"/>
          <w:szCs w:val="21"/>
        </w:rPr>
        <w:t>《招募说明书》</w:t>
      </w:r>
      <w:r w:rsidR="00E35120">
        <w:rPr>
          <w:rFonts w:ascii="宋体" w:hAnsi="宋体" w:cs="宋体" w:hint="eastAsia"/>
          <w:kern w:val="0"/>
          <w:szCs w:val="21"/>
        </w:rPr>
        <w:t>和《产品资料概要》</w:t>
      </w:r>
      <w:r w:rsidRPr="00FB7475">
        <w:rPr>
          <w:rFonts w:ascii="宋体" w:hAnsi="宋体" w:cs="宋体" w:hint="eastAsia"/>
          <w:kern w:val="0"/>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CA3867" w:rsidRDefault="00FB7475" w:rsidP="00FB7475">
      <w:pPr>
        <w:autoSpaceDE w:val="0"/>
        <w:autoSpaceDN w:val="0"/>
        <w:adjustRightInd w:val="0"/>
        <w:spacing w:line="360" w:lineRule="auto"/>
        <w:ind w:firstLineChars="200" w:firstLine="420"/>
        <w:jc w:val="left"/>
        <w:rPr>
          <w:rFonts w:ascii="宋体" w:hAnsi="宋体" w:cs="宋体" w:hint="eastAsia"/>
          <w:kern w:val="0"/>
          <w:szCs w:val="21"/>
        </w:rPr>
      </w:pPr>
      <w:r w:rsidRPr="00FB7475">
        <w:rPr>
          <w:rFonts w:ascii="宋体" w:hAnsi="宋体" w:cs="宋体" w:hint="eastAsia"/>
          <w:kern w:val="0"/>
          <w:szCs w:val="21"/>
        </w:rPr>
        <w:t>特此公告。</w:t>
      </w:r>
    </w:p>
    <w:p w:rsidR="00CA3867" w:rsidRDefault="00CA3867">
      <w:pPr>
        <w:autoSpaceDE w:val="0"/>
        <w:autoSpaceDN w:val="0"/>
        <w:adjustRightInd w:val="0"/>
        <w:spacing w:line="360" w:lineRule="auto"/>
        <w:ind w:firstLineChars="200" w:firstLine="420"/>
        <w:jc w:val="left"/>
        <w:rPr>
          <w:rFonts w:ascii="宋体" w:hAnsi="宋体" w:cs="宋体"/>
          <w:kern w:val="0"/>
          <w:szCs w:val="21"/>
        </w:rPr>
      </w:pPr>
    </w:p>
    <w:p w:rsidR="00CA3867" w:rsidRDefault="00CA3867">
      <w:pPr>
        <w:autoSpaceDE w:val="0"/>
        <w:autoSpaceDN w:val="0"/>
        <w:adjustRightInd w:val="0"/>
        <w:spacing w:line="360" w:lineRule="auto"/>
        <w:jc w:val="right"/>
        <w:rPr>
          <w:rFonts w:ascii="宋体" w:hAnsi="宋体" w:cs="宋体" w:hint="eastAsia"/>
          <w:kern w:val="0"/>
          <w:szCs w:val="21"/>
        </w:rPr>
      </w:pPr>
    </w:p>
    <w:p w:rsidR="00CA3867" w:rsidRDefault="00CA3867">
      <w:pPr>
        <w:autoSpaceDE w:val="0"/>
        <w:autoSpaceDN w:val="0"/>
        <w:adjustRightInd w:val="0"/>
        <w:spacing w:line="360" w:lineRule="auto"/>
        <w:jc w:val="right"/>
        <w:rPr>
          <w:rFonts w:ascii="宋体" w:hAnsi="宋体" w:cs="宋体"/>
          <w:kern w:val="0"/>
          <w:szCs w:val="21"/>
        </w:rPr>
      </w:pPr>
      <w:r>
        <w:rPr>
          <w:rFonts w:ascii="宋体" w:hAnsi="宋体" w:cs="宋体" w:hint="eastAsia"/>
          <w:kern w:val="0"/>
          <w:szCs w:val="21"/>
        </w:rPr>
        <w:t>国联安基金管理有限公司</w:t>
      </w:r>
    </w:p>
    <w:p w:rsidR="00CA3867" w:rsidRDefault="00CA3867">
      <w:pPr>
        <w:spacing w:line="360" w:lineRule="auto"/>
        <w:jc w:val="right"/>
        <w:rPr>
          <w:rFonts w:ascii="宋体" w:hAnsi="宋体" w:hint="eastAsia"/>
        </w:rPr>
      </w:pPr>
      <w:r>
        <w:rPr>
          <w:rFonts w:ascii="宋体" w:hAnsi="宋体" w:cs="宋体" w:hint="eastAsia"/>
          <w:kern w:val="0"/>
          <w:szCs w:val="21"/>
        </w:rPr>
        <w:t>二〇二</w:t>
      </w:r>
      <w:r w:rsidR="001B1475">
        <w:rPr>
          <w:rFonts w:ascii="宋体" w:hAnsi="宋体" w:cs="宋体" w:hint="eastAsia"/>
          <w:kern w:val="0"/>
          <w:szCs w:val="21"/>
        </w:rPr>
        <w:t>二</w:t>
      </w:r>
      <w:r>
        <w:rPr>
          <w:rFonts w:ascii="宋体" w:hAnsi="宋体" w:cs="宋体" w:hint="eastAsia"/>
          <w:kern w:val="0"/>
          <w:szCs w:val="21"/>
        </w:rPr>
        <w:t>年</w:t>
      </w:r>
      <w:r w:rsidR="000A7C7C">
        <w:rPr>
          <w:rFonts w:ascii="宋体" w:hAnsi="宋体" w:cs="宋体" w:hint="eastAsia"/>
          <w:kern w:val="0"/>
          <w:szCs w:val="21"/>
        </w:rPr>
        <w:t>一</w:t>
      </w:r>
      <w:r>
        <w:rPr>
          <w:rFonts w:ascii="宋体" w:hAnsi="宋体" w:cs="宋体" w:hint="eastAsia"/>
          <w:kern w:val="0"/>
          <w:szCs w:val="21"/>
        </w:rPr>
        <w:t>月</w:t>
      </w:r>
      <w:r w:rsidR="00363F28">
        <w:rPr>
          <w:rFonts w:ascii="宋体" w:hAnsi="宋体" w:cs="宋体" w:hint="eastAsia"/>
          <w:kern w:val="0"/>
          <w:szCs w:val="21"/>
        </w:rPr>
        <w:t>五</w:t>
      </w:r>
      <w:r>
        <w:rPr>
          <w:rFonts w:ascii="宋体" w:hAnsi="宋体" w:cs="宋体" w:hint="eastAsia"/>
          <w:kern w:val="0"/>
          <w:szCs w:val="21"/>
        </w:rPr>
        <w:t>日</w:t>
      </w:r>
    </w:p>
    <w:sectPr w:rsidR="00CA386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36C" w:rsidRDefault="00EF136C" w:rsidP="0025367F">
      <w:r>
        <w:separator/>
      </w:r>
    </w:p>
  </w:endnote>
  <w:endnote w:type="continuationSeparator" w:id="0">
    <w:p w:rsidR="00EF136C" w:rsidRDefault="00EF136C" w:rsidP="0025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36C" w:rsidRDefault="00EF136C" w:rsidP="0025367F">
      <w:r>
        <w:separator/>
      </w:r>
    </w:p>
  </w:footnote>
  <w:footnote w:type="continuationSeparator" w:id="0">
    <w:p w:rsidR="00EF136C" w:rsidRDefault="00EF136C" w:rsidP="002536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3773"/>
    <w:rsid w:val="000022C3"/>
    <w:rsid w:val="000157A4"/>
    <w:rsid w:val="00020386"/>
    <w:rsid w:val="0002311F"/>
    <w:rsid w:val="000370B9"/>
    <w:rsid w:val="00040665"/>
    <w:rsid w:val="000419C4"/>
    <w:rsid w:val="000523E6"/>
    <w:rsid w:val="0007254E"/>
    <w:rsid w:val="00072833"/>
    <w:rsid w:val="0007435E"/>
    <w:rsid w:val="000843B0"/>
    <w:rsid w:val="000950EE"/>
    <w:rsid w:val="000A13DA"/>
    <w:rsid w:val="000A7C7C"/>
    <w:rsid w:val="000B3F3C"/>
    <w:rsid w:val="000B6931"/>
    <w:rsid w:val="000D74C6"/>
    <w:rsid w:val="000D7B07"/>
    <w:rsid w:val="000E669E"/>
    <w:rsid w:val="000E66A8"/>
    <w:rsid w:val="000F0008"/>
    <w:rsid w:val="000F7AB5"/>
    <w:rsid w:val="0010640A"/>
    <w:rsid w:val="00124792"/>
    <w:rsid w:val="00147DD5"/>
    <w:rsid w:val="001546FD"/>
    <w:rsid w:val="00160439"/>
    <w:rsid w:val="00170930"/>
    <w:rsid w:val="00174B2A"/>
    <w:rsid w:val="001B1475"/>
    <w:rsid w:val="001D7C95"/>
    <w:rsid w:val="001E6E14"/>
    <w:rsid w:val="00200F5C"/>
    <w:rsid w:val="00224267"/>
    <w:rsid w:val="00233092"/>
    <w:rsid w:val="00234450"/>
    <w:rsid w:val="0025367F"/>
    <w:rsid w:val="002627A2"/>
    <w:rsid w:val="00262A96"/>
    <w:rsid w:val="0027533E"/>
    <w:rsid w:val="002908AF"/>
    <w:rsid w:val="0029169D"/>
    <w:rsid w:val="00295F47"/>
    <w:rsid w:val="002A0C6B"/>
    <w:rsid w:val="002A0CD6"/>
    <w:rsid w:val="002A2FBC"/>
    <w:rsid w:val="002A3B6D"/>
    <w:rsid w:val="002B54E9"/>
    <w:rsid w:val="002E0C73"/>
    <w:rsid w:val="002E23C8"/>
    <w:rsid w:val="002E5EEF"/>
    <w:rsid w:val="002F55AE"/>
    <w:rsid w:val="00301972"/>
    <w:rsid w:val="003138A7"/>
    <w:rsid w:val="00314B64"/>
    <w:rsid w:val="0034134F"/>
    <w:rsid w:val="003421DA"/>
    <w:rsid w:val="00344236"/>
    <w:rsid w:val="003458FF"/>
    <w:rsid w:val="0034658D"/>
    <w:rsid w:val="00350F9F"/>
    <w:rsid w:val="00350FF8"/>
    <w:rsid w:val="00351D49"/>
    <w:rsid w:val="00353979"/>
    <w:rsid w:val="00363F28"/>
    <w:rsid w:val="0036628B"/>
    <w:rsid w:val="0037071A"/>
    <w:rsid w:val="003725EA"/>
    <w:rsid w:val="003729DA"/>
    <w:rsid w:val="003763C8"/>
    <w:rsid w:val="00376D3B"/>
    <w:rsid w:val="003A6DAC"/>
    <w:rsid w:val="003B0803"/>
    <w:rsid w:val="003B1C3C"/>
    <w:rsid w:val="003D058D"/>
    <w:rsid w:val="003E70B0"/>
    <w:rsid w:val="003F7E58"/>
    <w:rsid w:val="00405B3B"/>
    <w:rsid w:val="00412CE2"/>
    <w:rsid w:val="004137C8"/>
    <w:rsid w:val="0043539F"/>
    <w:rsid w:val="00450B3B"/>
    <w:rsid w:val="004607D6"/>
    <w:rsid w:val="00472B50"/>
    <w:rsid w:val="00475532"/>
    <w:rsid w:val="00492D1F"/>
    <w:rsid w:val="004B1D5C"/>
    <w:rsid w:val="004B78CA"/>
    <w:rsid w:val="004C4E17"/>
    <w:rsid w:val="004D3773"/>
    <w:rsid w:val="004D53BF"/>
    <w:rsid w:val="004D5C8A"/>
    <w:rsid w:val="004E1EAA"/>
    <w:rsid w:val="004F48E6"/>
    <w:rsid w:val="00511AB1"/>
    <w:rsid w:val="005141E0"/>
    <w:rsid w:val="0051608A"/>
    <w:rsid w:val="00522383"/>
    <w:rsid w:val="0053456C"/>
    <w:rsid w:val="005379B3"/>
    <w:rsid w:val="005476C3"/>
    <w:rsid w:val="005510A3"/>
    <w:rsid w:val="005700B5"/>
    <w:rsid w:val="00591F46"/>
    <w:rsid w:val="00595BB1"/>
    <w:rsid w:val="005B27A4"/>
    <w:rsid w:val="005C33F1"/>
    <w:rsid w:val="005D7518"/>
    <w:rsid w:val="005F6CFE"/>
    <w:rsid w:val="006062DC"/>
    <w:rsid w:val="006076BA"/>
    <w:rsid w:val="00620241"/>
    <w:rsid w:val="006234EF"/>
    <w:rsid w:val="00623CB6"/>
    <w:rsid w:val="00626C2F"/>
    <w:rsid w:val="00646C50"/>
    <w:rsid w:val="006526A4"/>
    <w:rsid w:val="00660B89"/>
    <w:rsid w:val="00661682"/>
    <w:rsid w:val="00666DC3"/>
    <w:rsid w:val="00671F5D"/>
    <w:rsid w:val="0067540F"/>
    <w:rsid w:val="0068525B"/>
    <w:rsid w:val="006937BF"/>
    <w:rsid w:val="006B4BB8"/>
    <w:rsid w:val="006B634F"/>
    <w:rsid w:val="006D7685"/>
    <w:rsid w:val="00701849"/>
    <w:rsid w:val="0070184F"/>
    <w:rsid w:val="00703AED"/>
    <w:rsid w:val="00710ACD"/>
    <w:rsid w:val="00711125"/>
    <w:rsid w:val="00713C90"/>
    <w:rsid w:val="007143BC"/>
    <w:rsid w:val="00714E0D"/>
    <w:rsid w:val="007230FE"/>
    <w:rsid w:val="00737AF1"/>
    <w:rsid w:val="007408DF"/>
    <w:rsid w:val="00751EBC"/>
    <w:rsid w:val="00772535"/>
    <w:rsid w:val="00776F54"/>
    <w:rsid w:val="00783B9E"/>
    <w:rsid w:val="00786CC7"/>
    <w:rsid w:val="007954F8"/>
    <w:rsid w:val="007A4655"/>
    <w:rsid w:val="007C5E2C"/>
    <w:rsid w:val="007D1B49"/>
    <w:rsid w:val="007E3634"/>
    <w:rsid w:val="007F2021"/>
    <w:rsid w:val="00802171"/>
    <w:rsid w:val="00802FB6"/>
    <w:rsid w:val="00806270"/>
    <w:rsid w:val="00807A5F"/>
    <w:rsid w:val="00811477"/>
    <w:rsid w:val="00813033"/>
    <w:rsid w:val="008157F8"/>
    <w:rsid w:val="00836733"/>
    <w:rsid w:val="00841810"/>
    <w:rsid w:val="00842906"/>
    <w:rsid w:val="008437E7"/>
    <w:rsid w:val="00850ADF"/>
    <w:rsid w:val="00852D4D"/>
    <w:rsid w:val="00862E2F"/>
    <w:rsid w:val="008706DB"/>
    <w:rsid w:val="00871534"/>
    <w:rsid w:val="00871A65"/>
    <w:rsid w:val="00875FA6"/>
    <w:rsid w:val="008866A1"/>
    <w:rsid w:val="008A2F13"/>
    <w:rsid w:val="008A5DF7"/>
    <w:rsid w:val="008A78A5"/>
    <w:rsid w:val="008B635F"/>
    <w:rsid w:val="008C0188"/>
    <w:rsid w:val="008C2520"/>
    <w:rsid w:val="008E1EC0"/>
    <w:rsid w:val="008E610F"/>
    <w:rsid w:val="008F03EB"/>
    <w:rsid w:val="008F1D43"/>
    <w:rsid w:val="00901483"/>
    <w:rsid w:val="0090390D"/>
    <w:rsid w:val="00911AC2"/>
    <w:rsid w:val="00936AB2"/>
    <w:rsid w:val="00945C04"/>
    <w:rsid w:val="009616F2"/>
    <w:rsid w:val="00962669"/>
    <w:rsid w:val="00980471"/>
    <w:rsid w:val="0099275B"/>
    <w:rsid w:val="009954BC"/>
    <w:rsid w:val="009B048E"/>
    <w:rsid w:val="009B38C2"/>
    <w:rsid w:val="009B7BDC"/>
    <w:rsid w:val="009C4E44"/>
    <w:rsid w:val="009C6EB3"/>
    <w:rsid w:val="009E61A5"/>
    <w:rsid w:val="009E6905"/>
    <w:rsid w:val="00A003EE"/>
    <w:rsid w:val="00A137F3"/>
    <w:rsid w:val="00A302B7"/>
    <w:rsid w:val="00A827C8"/>
    <w:rsid w:val="00AB25FF"/>
    <w:rsid w:val="00AC1A90"/>
    <w:rsid w:val="00AC231E"/>
    <w:rsid w:val="00AE2095"/>
    <w:rsid w:val="00AF60C7"/>
    <w:rsid w:val="00B021C9"/>
    <w:rsid w:val="00B05412"/>
    <w:rsid w:val="00B06C64"/>
    <w:rsid w:val="00B1345A"/>
    <w:rsid w:val="00B240A9"/>
    <w:rsid w:val="00B25BCC"/>
    <w:rsid w:val="00B34EDC"/>
    <w:rsid w:val="00B4258F"/>
    <w:rsid w:val="00B47B4E"/>
    <w:rsid w:val="00B50232"/>
    <w:rsid w:val="00B5359C"/>
    <w:rsid w:val="00B66A3B"/>
    <w:rsid w:val="00B71187"/>
    <w:rsid w:val="00B74DC5"/>
    <w:rsid w:val="00B756EB"/>
    <w:rsid w:val="00B762FE"/>
    <w:rsid w:val="00B80E5D"/>
    <w:rsid w:val="00B82A95"/>
    <w:rsid w:val="00B83C51"/>
    <w:rsid w:val="00B84D12"/>
    <w:rsid w:val="00BA0C51"/>
    <w:rsid w:val="00BA552F"/>
    <w:rsid w:val="00BB47D2"/>
    <w:rsid w:val="00BC1EA6"/>
    <w:rsid w:val="00BF72C7"/>
    <w:rsid w:val="00C078AC"/>
    <w:rsid w:val="00C1208F"/>
    <w:rsid w:val="00C41B2C"/>
    <w:rsid w:val="00C43279"/>
    <w:rsid w:val="00C46FAD"/>
    <w:rsid w:val="00C91AA5"/>
    <w:rsid w:val="00C978C2"/>
    <w:rsid w:val="00C97E9A"/>
    <w:rsid w:val="00CA3867"/>
    <w:rsid w:val="00CC58F8"/>
    <w:rsid w:val="00CD28F0"/>
    <w:rsid w:val="00CD7291"/>
    <w:rsid w:val="00CF4A18"/>
    <w:rsid w:val="00D056C4"/>
    <w:rsid w:val="00D10738"/>
    <w:rsid w:val="00D135D2"/>
    <w:rsid w:val="00D1664F"/>
    <w:rsid w:val="00D17B86"/>
    <w:rsid w:val="00D22531"/>
    <w:rsid w:val="00D27C4B"/>
    <w:rsid w:val="00D400C6"/>
    <w:rsid w:val="00D43E82"/>
    <w:rsid w:val="00D45DCA"/>
    <w:rsid w:val="00D50114"/>
    <w:rsid w:val="00D73089"/>
    <w:rsid w:val="00D76E86"/>
    <w:rsid w:val="00D83180"/>
    <w:rsid w:val="00D91EBE"/>
    <w:rsid w:val="00D93437"/>
    <w:rsid w:val="00DA64EB"/>
    <w:rsid w:val="00DA6E6F"/>
    <w:rsid w:val="00DB53AC"/>
    <w:rsid w:val="00DD1391"/>
    <w:rsid w:val="00DD5350"/>
    <w:rsid w:val="00DF2370"/>
    <w:rsid w:val="00E17FB3"/>
    <w:rsid w:val="00E20702"/>
    <w:rsid w:val="00E26CC8"/>
    <w:rsid w:val="00E34EE3"/>
    <w:rsid w:val="00E35120"/>
    <w:rsid w:val="00E42C10"/>
    <w:rsid w:val="00E444E7"/>
    <w:rsid w:val="00E45523"/>
    <w:rsid w:val="00EA1344"/>
    <w:rsid w:val="00EA2B82"/>
    <w:rsid w:val="00EB3396"/>
    <w:rsid w:val="00EB4FD9"/>
    <w:rsid w:val="00EC6729"/>
    <w:rsid w:val="00EC6E6E"/>
    <w:rsid w:val="00ED204D"/>
    <w:rsid w:val="00EF136C"/>
    <w:rsid w:val="00F025AD"/>
    <w:rsid w:val="00F05B9E"/>
    <w:rsid w:val="00F07845"/>
    <w:rsid w:val="00F15ECF"/>
    <w:rsid w:val="00F17B48"/>
    <w:rsid w:val="00F228AF"/>
    <w:rsid w:val="00F42956"/>
    <w:rsid w:val="00F454B2"/>
    <w:rsid w:val="00F713CE"/>
    <w:rsid w:val="00F77A35"/>
    <w:rsid w:val="00FB7475"/>
    <w:rsid w:val="00FC6919"/>
    <w:rsid w:val="00FC6EAA"/>
    <w:rsid w:val="00FD3984"/>
    <w:rsid w:val="00FD4E0A"/>
    <w:rsid w:val="00FE2723"/>
    <w:rsid w:val="00FE44C2"/>
    <w:rsid w:val="00FF6114"/>
    <w:rsid w:val="00FF697C"/>
    <w:rsid w:val="4E9D1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color w:val="0000FF"/>
      <w:u w:val="single"/>
    </w:rPr>
  </w:style>
  <w:style w:type="character" w:styleId="a5">
    <w:name w:val="annotation reference"/>
    <w:rPr>
      <w:sz w:val="21"/>
      <w:szCs w:val="21"/>
    </w:rPr>
  </w:style>
  <w:style w:type="character" w:customStyle="1" w:styleId="a6">
    <w:name w:val="页眉 字符"/>
    <w:link w:val="a7"/>
    <w:rPr>
      <w:kern w:val="2"/>
      <w:sz w:val="18"/>
      <w:szCs w:val="18"/>
    </w:rPr>
  </w:style>
  <w:style w:type="character" w:customStyle="1" w:styleId="a8">
    <w:name w:val="页脚 字符"/>
    <w:link w:val="a9"/>
    <w:rPr>
      <w:kern w:val="2"/>
      <w:sz w:val="18"/>
      <w:szCs w:val="18"/>
    </w:rPr>
  </w:style>
  <w:style w:type="character" w:customStyle="1" w:styleId="aa">
    <w:name w:val="批注文字 字符"/>
    <w:link w:val="ab"/>
    <w:rPr>
      <w:kern w:val="2"/>
      <w:sz w:val="21"/>
      <w:szCs w:val="24"/>
    </w:rPr>
  </w:style>
  <w:style w:type="character" w:customStyle="1" w:styleId="ac">
    <w:name w:val="批注主题 字符"/>
    <w:link w:val="ad"/>
    <w:rPr>
      <w:b/>
      <w:bCs/>
      <w:kern w:val="2"/>
      <w:sz w:val="21"/>
      <w:szCs w:val="24"/>
    </w:rPr>
  </w:style>
  <w:style w:type="paragraph" w:styleId="ae">
    <w:name w:val="Balloon Text"/>
    <w:basedOn w:val="a"/>
    <w:semiHidden/>
    <w:rPr>
      <w:sz w:val="18"/>
      <w:szCs w:val="18"/>
    </w:rPr>
  </w:style>
  <w:style w:type="paragraph" w:styleId="ab">
    <w:name w:val="annotation text"/>
    <w:basedOn w:val="a"/>
    <w:link w:val="aa"/>
    <w:pPr>
      <w:jc w:val="left"/>
    </w:pPr>
  </w:style>
  <w:style w:type="paragraph" w:styleId="a9">
    <w:name w:val="footer"/>
    <w:basedOn w:val="a"/>
    <w:link w:val="a8"/>
    <w:pPr>
      <w:tabs>
        <w:tab w:val="center" w:pos="4153"/>
        <w:tab w:val="right" w:pos="8306"/>
      </w:tabs>
      <w:snapToGrid w:val="0"/>
      <w:jc w:val="left"/>
    </w:pPr>
    <w:rPr>
      <w:sz w:val="18"/>
      <w:szCs w:val="18"/>
    </w:rPr>
  </w:style>
  <w:style w:type="paragraph" w:styleId="ad">
    <w:name w:val="annotation subject"/>
    <w:basedOn w:val="ab"/>
    <w:next w:val="ab"/>
    <w:link w:val="ac"/>
    <w:rPr>
      <w:b/>
      <w:bCs/>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yiv785586457msonormal">
    <w:name w:val="yiv785586457msonormal"/>
    <w:basedOn w:val="a"/>
    <w:pPr>
      <w:widowControl/>
      <w:spacing w:before="100" w:beforeAutospacing="1" w:after="100" w:afterAutospacing="1"/>
      <w:jc w:val="left"/>
    </w:pPr>
    <w:rPr>
      <w:rFonts w:ascii="宋体" w:hAnsi="宋体" w:cs="宋体"/>
      <w:kern w:val="0"/>
      <w:sz w:val="24"/>
    </w:rPr>
  </w:style>
  <w:style w:type="paragraph" w:styleId="af">
    <w:name w:val="Revision"/>
    <w:hidden/>
    <w:uiPriority w:val="99"/>
    <w:unhideWhenUsed/>
    <w:rsid w:val="0043539F"/>
    <w:rPr>
      <w:kern w:val="2"/>
      <w:sz w:val="21"/>
      <w:szCs w:val="24"/>
    </w:rPr>
  </w:style>
</w:styles>
</file>

<file path=word/webSettings.xml><?xml version="1.0" encoding="utf-8"?>
<w:webSettings xmlns:r="http://schemas.openxmlformats.org/officeDocument/2006/relationships" xmlns:w="http://schemas.openxmlformats.org/wordprocessingml/2006/main">
  <w:divs>
    <w:div w:id="241138367">
      <w:bodyDiv w:val="1"/>
      <w:marLeft w:val="0"/>
      <w:marRight w:val="0"/>
      <w:marTop w:val="0"/>
      <w:marBottom w:val="0"/>
      <w:divBdr>
        <w:top w:val="none" w:sz="0" w:space="0" w:color="auto"/>
        <w:left w:val="none" w:sz="0" w:space="0" w:color="auto"/>
        <w:bottom w:val="none" w:sz="0" w:space="0" w:color="auto"/>
        <w:right w:val="none" w:sz="0" w:space="0" w:color="auto"/>
      </w:divBdr>
      <w:divsChild>
        <w:div w:id="1403523237">
          <w:marLeft w:val="0"/>
          <w:marRight w:val="0"/>
          <w:marTop w:val="0"/>
          <w:marBottom w:val="0"/>
          <w:divBdr>
            <w:top w:val="none" w:sz="0" w:space="0" w:color="auto"/>
            <w:left w:val="none" w:sz="0" w:space="0" w:color="auto"/>
            <w:bottom w:val="none" w:sz="0" w:space="0" w:color="auto"/>
            <w:right w:val="none" w:sz="0" w:space="0" w:color="auto"/>
          </w:divBdr>
        </w:div>
      </w:divsChild>
    </w:div>
    <w:div w:id="738789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1636</Characters>
  <Application>Microsoft Office Word</Application>
  <DocSecurity>4</DocSecurity>
  <Lines>13</Lines>
  <Paragraphs>3</Paragraphs>
  <ScaleCrop>false</ScaleCrop>
  <Company>国联安基金</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国联安基金管理有限公司关于旗下部分基金参加华融证券股份有限公司相关费率优惠活动的公告</dc:title>
  <dc:subject/>
  <dc:creator>weijia.meng</dc:creator>
  <cp:keywords/>
  <cp:lastModifiedBy>ZHONGM</cp:lastModifiedBy>
  <cp:revision>2</cp:revision>
  <cp:lastPrinted>2018-03-28T10:05:00Z</cp:lastPrinted>
  <dcterms:created xsi:type="dcterms:W3CDTF">2022-01-04T16:01:00Z</dcterms:created>
  <dcterms:modified xsi:type="dcterms:W3CDTF">2022-01-04T16:01:00Z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