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AE5" w:rsidRPr="00E72AE5" w:rsidRDefault="00E72AE5" w:rsidP="00E72AE5">
      <w:pPr>
        <w:pStyle w:val="Default"/>
        <w:jc w:val="center"/>
        <w:rPr>
          <w:rFonts w:ascii="宋体" w:eastAsia="宋体" w:hAnsi="宋体"/>
          <w:b/>
          <w:bCs/>
          <w:sz w:val="28"/>
          <w:szCs w:val="28"/>
        </w:rPr>
      </w:pPr>
      <w:r w:rsidRPr="00E72AE5">
        <w:rPr>
          <w:rFonts w:ascii="宋体" w:eastAsia="宋体" w:hAnsi="宋体" w:hint="eastAsia"/>
          <w:b/>
          <w:bCs/>
          <w:sz w:val="28"/>
          <w:szCs w:val="28"/>
        </w:rPr>
        <w:t>泰达宏利基金管理有限公司关于旗下部分基金参加</w:t>
      </w:r>
    </w:p>
    <w:p w:rsidR="00A10847" w:rsidRPr="00E72AE5" w:rsidRDefault="004609F2" w:rsidP="00E72AE5">
      <w:pPr>
        <w:pStyle w:val="Default"/>
        <w:jc w:val="center"/>
        <w:rPr>
          <w:rFonts w:ascii="宋体" w:eastAsia="宋体" w:hAnsi="宋体"/>
          <w:b/>
          <w:bCs/>
          <w:sz w:val="28"/>
          <w:szCs w:val="28"/>
        </w:rPr>
      </w:pPr>
      <w:r w:rsidRPr="004609F2">
        <w:rPr>
          <w:rFonts w:ascii="宋体" w:eastAsia="宋体" w:hAnsi="宋体" w:hint="eastAsia"/>
          <w:b/>
          <w:bCs/>
          <w:sz w:val="28"/>
          <w:szCs w:val="28"/>
        </w:rPr>
        <w:t>华夏银行股份有限公司</w:t>
      </w:r>
      <w:r w:rsidR="00483CE1" w:rsidRPr="00483CE1">
        <w:rPr>
          <w:rFonts w:ascii="宋体" w:eastAsia="宋体" w:hAnsi="宋体" w:hint="eastAsia"/>
          <w:b/>
          <w:bCs/>
          <w:sz w:val="28"/>
          <w:szCs w:val="28"/>
        </w:rPr>
        <w:t>申购</w:t>
      </w:r>
      <w:r w:rsidR="00E72AE5" w:rsidRPr="00E72AE5">
        <w:rPr>
          <w:rFonts w:ascii="宋体" w:eastAsia="宋体" w:hAnsi="宋体" w:hint="eastAsia"/>
          <w:b/>
          <w:bCs/>
          <w:sz w:val="28"/>
          <w:szCs w:val="28"/>
        </w:rPr>
        <w:t>费率</w:t>
      </w:r>
      <w:r w:rsidR="00B17F63">
        <w:rPr>
          <w:rFonts w:ascii="宋体" w:eastAsia="宋体" w:hAnsi="宋体" w:hint="eastAsia"/>
          <w:b/>
          <w:bCs/>
          <w:sz w:val="28"/>
          <w:szCs w:val="28"/>
        </w:rPr>
        <w:t>（</w:t>
      </w:r>
      <w:r w:rsidR="00B17F63" w:rsidRPr="00B17F63">
        <w:rPr>
          <w:rFonts w:ascii="宋体" w:eastAsia="宋体" w:hAnsi="宋体" w:hint="eastAsia"/>
          <w:b/>
          <w:bCs/>
          <w:sz w:val="28"/>
          <w:szCs w:val="28"/>
        </w:rPr>
        <w:t>含定期定额投资）</w:t>
      </w:r>
      <w:r w:rsidR="00E72AE5" w:rsidRPr="00E72AE5">
        <w:rPr>
          <w:rFonts w:ascii="宋体" w:eastAsia="宋体" w:hAnsi="宋体" w:hint="eastAsia"/>
          <w:b/>
          <w:bCs/>
          <w:sz w:val="28"/>
          <w:szCs w:val="28"/>
        </w:rPr>
        <w:t>优惠活动的公告</w:t>
      </w:r>
    </w:p>
    <w:p w:rsidR="0066331C" w:rsidRDefault="00E72AE5" w:rsidP="0066331C">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E72AE5">
        <w:rPr>
          <w:rFonts w:ascii="宋体" w:eastAsia="宋体" w:hAnsi="宋体" w:cs="宋体" w:hint="eastAsia"/>
          <w:color w:val="000000"/>
          <w:kern w:val="0"/>
          <w:sz w:val="24"/>
          <w:szCs w:val="24"/>
        </w:rPr>
        <w:t>经与</w:t>
      </w:r>
      <w:r w:rsidR="004609F2" w:rsidRPr="004609F2">
        <w:rPr>
          <w:rFonts w:ascii="宋体" w:eastAsia="宋体" w:hAnsi="宋体" w:cs="宋体" w:hint="eastAsia"/>
          <w:color w:val="000000"/>
          <w:kern w:val="0"/>
          <w:sz w:val="24"/>
          <w:szCs w:val="24"/>
        </w:rPr>
        <w:t>华夏银行股份有限公司</w:t>
      </w:r>
      <w:r w:rsidRPr="00E72AE5">
        <w:rPr>
          <w:rFonts w:ascii="宋体" w:eastAsia="宋体" w:hAnsi="宋体" w:cs="宋体" w:hint="eastAsia"/>
          <w:color w:val="000000"/>
          <w:kern w:val="0"/>
          <w:sz w:val="24"/>
          <w:szCs w:val="24"/>
        </w:rPr>
        <w:t>（以下简称“</w:t>
      </w:r>
      <w:r w:rsidR="004609F2">
        <w:rPr>
          <w:rFonts w:ascii="宋体" w:eastAsia="宋体" w:hAnsi="宋体" w:cs="宋体" w:hint="eastAsia"/>
          <w:color w:val="000000"/>
          <w:kern w:val="0"/>
          <w:sz w:val="24"/>
          <w:szCs w:val="24"/>
        </w:rPr>
        <w:t>华夏</w:t>
      </w:r>
      <w:r w:rsidRPr="00E72AE5">
        <w:rPr>
          <w:rFonts w:ascii="宋体" w:eastAsia="宋体" w:hAnsi="宋体" w:cs="宋体" w:hint="eastAsia"/>
          <w:color w:val="000000"/>
          <w:kern w:val="0"/>
          <w:sz w:val="24"/>
          <w:szCs w:val="24"/>
        </w:rPr>
        <w:t>银行”）协商一致，泰达宏利基金管理有限公司（以下简称“本公司”）指定旗下部分基金自</w:t>
      </w:r>
      <w:r w:rsidR="004609F2" w:rsidRPr="00E72AE5">
        <w:rPr>
          <w:rFonts w:ascii="宋体" w:eastAsia="宋体" w:hAnsi="宋体" w:cs="宋体"/>
          <w:color w:val="000000"/>
          <w:kern w:val="0"/>
          <w:sz w:val="24"/>
          <w:szCs w:val="24"/>
        </w:rPr>
        <w:t>2021年</w:t>
      </w:r>
      <w:r w:rsidR="004609F2">
        <w:rPr>
          <w:rFonts w:ascii="宋体" w:eastAsia="宋体" w:hAnsi="宋体" w:cs="宋体"/>
          <w:color w:val="000000"/>
          <w:kern w:val="0"/>
          <w:sz w:val="24"/>
          <w:szCs w:val="24"/>
        </w:rPr>
        <w:t>9</w:t>
      </w:r>
      <w:r w:rsidRPr="00E72AE5">
        <w:rPr>
          <w:rFonts w:ascii="宋体" w:eastAsia="宋体" w:hAnsi="宋体" w:cs="宋体"/>
          <w:color w:val="000000"/>
          <w:kern w:val="0"/>
          <w:sz w:val="24"/>
          <w:szCs w:val="24"/>
        </w:rPr>
        <w:t>月</w:t>
      </w:r>
      <w:r w:rsidR="004609F2">
        <w:rPr>
          <w:rFonts w:ascii="宋体" w:eastAsia="宋体" w:hAnsi="宋体" w:cs="宋体"/>
          <w:color w:val="000000"/>
          <w:kern w:val="0"/>
          <w:sz w:val="24"/>
          <w:szCs w:val="24"/>
        </w:rPr>
        <w:t>22</w:t>
      </w:r>
      <w:r w:rsidRPr="00E72AE5">
        <w:rPr>
          <w:rFonts w:ascii="宋体" w:eastAsia="宋体" w:hAnsi="宋体" w:cs="宋体"/>
          <w:color w:val="000000"/>
          <w:kern w:val="0"/>
          <w:sz w:val="24"/>
          <w:szCs w:val="24"/>
        </w:rPr>
        <w:t>日起参加</w:t>
      </w:r>
      <w:r w:rsidR="004609F2">
        <w:rPr>
          <w:rFonts w:ascii="宋体" w:eastAsia="宋体" w:hAnsi="宋体" w:cs="宋体"/>
          <w:color w:val="000000"/>
          <w:kern w:val="0"/>
          <w:sz w:val="24"/>
          <w:szCs w:val="24"/>
        </w:rPr>
        <w:t>华夏银行</w:t>
      </w:r>
      <w:r w:rsidRPr="00E72AE5">
        <w:rPr>
          <w:rFonts w:ascii="宋体" w:eastAsia="宋体" w:hAnsi="宋体" w:cs="宋体"/>
          <w:color w:val="000000"/>
          <w:kern w:val="0"/>
          <w:sz w:val="24"/>
          <w:szCs w:val="24"/>
        </w:rPr>
        <w:t>申购费率</w:t>
      </w:r>
      <w:r w:rsidR="00B17F63">
        <w:rPr>
          <w:rFonts w:ascii="宋体" w:eastAsia="宋体" w:hAnsi="宋体" w:cs="宋体" w:hint="eastAsia"/>
          <w:color w:val="000000"/>
          <w:kern w:val="0"/>
          <w:sz w:val="24"/>
          <w:szCs w:val="24"/>
        </w:rPr>
        <w:t>（</w:t>
      </w:r>
      <w:r w:rsidR="00B17F63" w:rsidRPr="00B17F63">
        <w:rPr>
          <w:rFonts w:ascii="宋体" w:eastAsia="宋体" w:hAnsi="宋体" w:cs="宋体" w:hint="eastAsia"/>
          <w:color w:val="000000"/>
          <w:kern w:val="0"/>
          <w:sz w:val="24"/>
          <w:szCs w:val="24"/>
        </w:rPr>
        <w:t>含定期定额投资）</w:t>
      </w:r>
      <w:r w:rsidRPr="00E72AE5">
        <w:rPr>
          <w:rFonts w:ascii="宋体" w:eastAsia="宋体" w:hAnsi="宋体" w:cs="宋体"/>
          <w:color w:val="000000"/>
          <w:kern w:val="0"/>
          <w:sz w:val="24"/>
          <w:szCs w:val="24"/>
        </w:rPr>
        <w:t>优惠活动。具体安排如下</w:t>
      </w:r>
      <w:r w:rsidR="00D40237">
        <w:rPr>
          <w:rFonts w:ascii="宋体" w:eastAsia="宋体" w:hAnsi="宋体" w:cs="宋体" w:hint="eastAsia"/>
          <w:color w:val="000000"/>
          <w:kern w:val="0"/>
          <w:sz w:val="24"/>
          <w:szCs w:val="24"/>
        </w:rPr>
        <w:t>：</w:t>
      </w:r>
    </w:p>
    <w:p w:rsidR="00912917" w:rsidRPr="0078756E" w:rsidRDefault="008E59E7" w:rsidP="0078756E">
      <w:pPr>
        <w:pStyle w:val="a4"/>
        <w:numPr>
          <w:ilvl w:val="0"/>
          <w:numId w:val="2"/>
        </w:numPr>
        <w:autoSpaceDE w:val="0"/>
        <w:autoSpaceDN w:val="0"/>
        <w:adjustRightInd w:val="0"/>
        <w:spacing w:before="100" w:beforeAutospacing="1" w:line="360" w:lineRule="auto"/>
        <w:ind w:firstLineChars="0"/>
        <w:rPr>
          <w:rFonts w:ascii="宋体" w:eastAsia="宋体" w:hAnsi="宋体" w:cs="宋体"/>
          <w:color w:val="000000"/>
          <w:kern w:val="0"/>
          <w:sz w:val="24"/>
          <w:szCs w:val="24"/>
        </w:rPr>
      </w:pPr>
      <w:r w:rsidRPr="0078756E">
        <w:rPr>
          <w:rFonts w:ascii="宋体" w:eastAsia="宋体" w:hAnsi="宋体" w:cs="宋体" w:hint="eastAsia"/>
          <w:color w:val="000000"/>
          <w:kern w:val="0"/>
          <w:sz w:val="24"/>
          <w:szCs w:val="24"/>
        </w:rPr>
        <w:t>参与</w:t>
      </w:r>
      <w:r w:rsidR="004609F2">
        <w:rPr>
          <w:rFonts w:ascii="宋体" w:eastAsia="宋体" w:hAnsi="宋体" w:cs="宋体" w:hint="eastAsia"/>
          <w:color w:val="000000"/>
          <w:kern w:val="0"/>
          <w:sz w:val="24"/>
          <w:szCs w:val="24"/>
        </w:rPr>
        <w:t>华夏银行</w:t>
      </w:r>
      <w:r w:rsidRPr="0078756E">
        <w:rPr>
          <w:rFonts w:ascii="宋体" w:eastAsia="宋体" w:hAnsi="宋体" w:cs="宋体" w:hint="eastAsia"/>
          <w:color w:val="000000"/>
          <w:kern w:val="0"/>
          <w:sz w:val="24"/>
          <w:szCs w:val="24"/>
        </w:rPr>
        <w:t>申购费率（含定期定额投资）</w:t>
      </w:r>
      <w:r w:rsidR="008220E0" w:rsidRPr="0078756E">
        <w:rPr>
          <w:rFonts w:ascii="宋体" w:eastAsia="宋体" w:hAnsi="宋体" w:cs="宋体" w:hint="eastAsia"/>
          <w:color w:val="000000"/>
          <w:kern w:val="0"/>
          <w:sz w:val="24"/>
          <w:szCs w:val="24"/>
        </w:rPr>
        <w:t>优惠适用范围</w:t>
      </w:r>
      <w:r w:rsidR="001E7589" w:rsidRPr="0078756E">
        <w:rPr>
          <w:rFonts w:ascii="宋体" w:eastAsia="宋体" w:hAnsi="宋体" w:cs="宋体" w:hint="eastAsia"/>
          <w:color w:val="000000"/>
          <w:kern w:val="0"/>
          <w:sz w:val="24"/>
          <w:szCs w:val="24"/>
        </w:rPr>
        <w:t>：</w:t>
      </w:r>
    </w:p>
    <w:tbl>
      <w:tblPr>
        <w:tblW w:w="8505" w:type="dxa"/>
        <w:jc w:val="center"/>
        <w:tblLook w:val="04A0"/>
      </w:tblPr>
      <w:tblGrid>
        <w:gridCol w:w="968"/>
        <w:gridCol w:w="5548"/>
        <w:gridCol w:w="1989"/>
      </w:tblGrid>
      <w:tr w:rsidR="00E72AE5" w:rsidRPr="00E72AE5" w:rsidTr="00E72AE5">
        <w:trPr>
          <w:trHeight w:val="450"/>
          <w:jc w:val="center"/>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2AE5" w:rsidRPr="00E72AE5" w:rsidRDefault="00E72AE5" w:rsidP="0013339D">
            <w:pPr>
              <w:widowControl/>
              <w:spacing w:line="300" w:lineRule="auto"/>
              <w:jc w:val="center"/>
              <w:rPr>
                <w:rFonts w:ascii="宋体" w:eastAsia="宋体" w:hAnsi="宋体" w:cs="宋体"/>
                <w:b/>
                <w:color w:val="000000" w:themeColor="text1"/>
                <w:kern w:val="0"/>
                <w:sz w:val="24"/>
                <w:szCs w:val="24"/>
              </w:rPr>
            </w:pPr>
            <w:r w:rsidRPr="00E72AE5">
              <w:rPr>
                <w:rFonts w:ascii="宋体" w:eastAsia="宋体" w:hAnsi="宋体" w:cs="宋体" w:hint="eastAsia"/>
                <w:b/>
                <w:color w:val="000000" w:themeColor="text1"/>
                <w:kern w:val="0"/>
                <w:sz w:val="24"/>
                <w:szCs w:val="24"/>
              </w:rPr>
              <w:t>序号</w:t>
            </w:r>
          </w:p>
        </w:tc>
        <w:tc>
          <w:tcPr>
            <w:tcW w:w="5548" w:type="dxa"/>
            <w:tcBorders>
              <w:top w:val="single" w:sz="4" w:space="0" w:color="auto"/>
              <w:left w:val="nil"/>
              <w:bottom w:val="single" w:sz="4" w:space="0" w:color="auto"/>
              <w:right w:val="single" w:sz="4" w:space="0" w:color="auto"/>
            </w:tcBorders>
            <w:shd w:val="clear" w:color="auto" w:fill="auto"/>
            <w:noWrap/>
            <w:vAlign w:val="bottom"/>
            <w:hideMark/>
          </w:tcPr>
          <w:p w:rsidR="00E72AE5" w:rsidRPr="00E72AE5" w:rsidRDefault="00E72AE5" w:rsidP="0013339D">
            <w:pPr>
              <w:widowControl/>
              <w:spacing w:line="300" w:lineRule="auto"/>
              <w:jc w:val="center"/>
              <w:rPr>
                <w:rFonts w:ascii="宋体" w:eastAsia="宋体" w:hAnsi="宋体" w:cs="宋体"/>
                <w:b/>
                <w:color w:val="000000" w:themeColor="text1"/>
                <w:kern w:val="0"/>
                <w:sz w:val="24"/>
                <w:szCs w:val="24"/>
              </w:rPr>
            </w:pPr>
            <w:r w:rsidRPr="00E72AE5">
              <w:rPr>
                <w:rFonts w:ascii="宋体" w:eastAsia="宋体" w:hAnsi="宋体" w:cs="宋体" w:hint="eastAsia"/>
                <w:b/>
                <w:color w:val="000000" w:themeColor="text1"/>
                <w:kern w:val="0"/>
                <w:sz w:val="24"/>
                <w:szCs w:val="24"/>
              </w:rPr>
              <w:t>适用基金名称</w:t>
            </w: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rsidR="00E72AE5" w:rsidRPr="00E72AE5" w:rsidRDefault="00E72AE5" w:rsidP="0013339D">
            <w:pPr>
              <w:widowControl/>
              <w:spacing w:line="300" w:lineRule="auto"/>
              <w:jc w:val="center"/>
              <w:rPr>
                <w:rFonts w:ascii="宋体" w:eastAsia="宋体" w:hAnsi="宋体" w:cs="宋体"/>
                <w:b/>
                <w:color w:val="000000" w:themeColor="text1"/>
                <w:kern w:val="0"/>
                <w:sz w:val="24"/>
                <w:szCs w:val="24"/>
              </w:rPr>
            </w:pPr>
            <w:r w:rsidRPr="00E72AE5">
              <w:rPr>
                <w:rFonts w:ascii="宋体" w:eastAsia="宋体" w:hAnsi="宋体" w:cs="宋体" w:hint="eastAsia"/>
                <w:b/>
                <w:color w:val="000000" w:themeColor="text1"/>
                <w:kern w:val="0"/>
                <w:sz w:val="24"/>
                <w:szCs w:val="24"/>
              </w:rPr>
              <w:t>基金代码</w:t>
            </w:r>
          </w:p>
        </w:tc>
      </w:tr>
      <w:tr w:rsidR="00B94286" w:rsidRPr="00E72AE5" w:rsidTr="00A54FDD">
        <w:trPr>
          <w:trHeight w:val="27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B94286" w:rsidRPr="00A54FDD" w:rsidRDefault="00C35A33" w:rsidP="00B94286">
            <w:pPr>
              <w:widowControl/>
              <w:spacing w:line="300" w:lineRule="auto"/>
              <w:jc w:val="center"/>
              <w:rPr>
                <w:rFonts w:ascii="宋体" w:eastAsia="宋体" w:hAnsi="宋体" w:cs="宋体"/>
                <w:color w:val="000000" w:themeColor="text1"/>
                <w:kern w:val="0"/>
                <w:szCs w:val="21"/>
              </w:rPr>
            </w:pPr>
            <w:r w:rsidRPr="00A54FDD">
              <w:rPr>
                <w:rFonts w:ascii="宋体" w:eastAsia="宋体" w:hAnsi="宋体" w:cs="宋体"/>
                <w:color w:val="000000" w:themeColor="text1"/>
                <w:kern w:val="0"/>
                <w:szCs w:val="21"/>
              </w:rPr>
              <w:t>1</w:t>
            </w:r>
          </w:p>
        </w:tc>
        <w:tc>
          <w:tcPr>
            <w:tcW w:w="5548" w:type="dxa"/>
            <w:tcBorders>
              <w:top w:val="nil"/>
              <w:left w:val="nil"/>
              <w:bottom w:val="single" w:sz="4" w:space="0" w:color="auto"/>
              <w:right w:val="single" w:sz="4" w:space="0" w:color="auto"/>
            </w:tcBorders>
            <w:shd w:val="clear" w:color="auto" w:fill="auto"/>
          </w:tcPr>
          <w:p w:rsidR="00B94286" w:rsidRPr="00A54FDD" w:rsidRDefault="00C35A33" w:rsidP="00B94286">
            <w:pPr>
              <w:widowControl/>
              <w:jc w:val="left"/>
              <w:rPr>
                <w:rFonts w:ascii="宋体" w:eastAsia="宋体" w:hAnsi="宋体" w:cs="宋体"/>
                <w:color w:val="000000" w:themeColor="text1"/>
                <w:kern w:val="0"/>
                <w:szCs w:val="21"/>
              </w:rPr>
            </w:pPr>
            <w:r w:rsidRPr="00A54FDD">
              <w:rPr>
                <w:rFonts w:ascii="宋体" w:eastAsia="宋体" w:hAnsi="宋体"/>
                <w:szCs w:val="21"/>
              </w:rPr>
              <w:t>泰达宏利价值优化型成长类行业混合型证券投资基金</w:t>
            </w:r>
          </w:p>
        </w:tc>
        <w:tc>
          <w:tcPr>
            <w:tcW w:w="1989" w:type="dxa"/>
            <w:tcBorders>
              <w:top w:val="nil"/>
              <w:left w:val="nil"/>
              <w:bottom w:val="single" w:sz="4" w:space="0" w:color="auto"/>
              <w:right w:val="single" w:sz="4" w:space="0" w:color="auto"/>
            </w:tcBorders>
            <w:shd w:val="clear" w:color="auto" w:fill="auto"/>
          </w:tcPr>
          <w:p w:rsidR="00B94286" w:rsidRPr="00A54FDD" w:rsidRDefault="00C35A33" w:rsidP="00B94286">
            <w:pPr>
              <w:widowControl/>
              <w:tabs>
                <w:tab w:val="center" w:pos="4153"/>
                <w:tab w:val="right" w:pos="8306"/>
              </w:tabs>
              <w:snapToGrid w:val="0"/>
              <w:spacing w:line="300" w:lineRule="auto"/>
              <w:jc w:val="left"/>
              <w:rPr>
                <w:rFonts w:ascii="宋体" w:eastAsia="宋体" w:hAnsi="宋体" w:cs="宋体"/>
                <w:color w:val="000000" w:themeColor="text1"/>
                <w:kern w:val="0"/>
                <w:szCs w:val="21"/>
              </w:rPr>
            </w:pPr>
            <w:r w:rsidRPr="00A54FDD">
              <w:rPr>
                <w:rFonts w:ascii="宋体" w:eastAsia="宋体" w:hAnsi="宋体"/>
                <w:szCs w:val="21"/>
              </w:rPr>
              <w:t>162201</w:t>
            </w:r>
          </w:p>
        </w:tc>
      </w:tr>
      <w:tr w:rsidR="00B94286" w:rsidRPr="00E72AE5" w:rsidTr="00A54FDD">
        <w:trPr>
          <w:trHeight w:val="27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B94286" w:rsidRPr="00A54FDD" w:rsidRDefault="00C35A33" w:rsidP="00B94286">
            <w:pPr>
              <w:widowControl/>
              <w:spacing w:line="300" w:lineRule="auto"/>
              <w:jc w:val="center"/>
              <w:rPr>
                <w:rFonts w:ascii="宋体" w:eastAsia="宋体" w:hAnsi="宋体" w:cs="宋体"/>
                <w:color w:val="000000" w:themeColor="text1"/>
                <w:kern w:val="0"/>
                <w:szCs w:val="21"/>
              </w:rPr>
            </w:pPr>
            <w:r w:rsidRPr="00A54FDD">
              <w:rPr>
                <w:rFonts w:ascii="宋体" w:eastAsia="宋体" w:hAnsi="宋体" w:cs="宋体"/>
                <w:color w:val="000000" w:themeColor="text1"/>
                <w:kern w:val="0"/>
                <w:szCs w:val="21"/>
              </w:rPr>
              <w:t>2</w:t>
            </w:r>
          </w:p>
        </w:tc>
        <w:tc>
          <w:tcPr>
            <w:tcW w:w="5548" w:type="dxa"/>
            <w:tcBorders>
              <w:top w:val="nil"/>
              <w:left w:val="nil"/>
              <w:bottom w:val="single" w:sz="4" w:space="0" w:color="auto"/>
              <w:right w:val="single" w:sz="4" w:space="0" w:color="auto"/>
            </w:tcBorders>
            <w:shd w:val="clear" w:color="auto" w:fill="auto"/>
          </w:tcPr>
          <w:p w:rsidR="00B94286" w:rsidRPr="00A54FDD" w:rsidRDefault="00C35A33" w:rsidP="00B94286">
            <w:pPr>
              <w:spacing w:line="300" w:lineRule="auto"/>
              <w:rPr>
                <w:rFonts w:ascii="宋体" w:eastAsia="宋体" w:hAnsi="宋体" w:cs="Times New Roman"/>
                <w:color w:val="000000" w:themeColor="text1"/>
                <w:szCs w:val="21"/>
              </w:rPr>
            </w:pPr>
            <w:r w:rsidRPr="00A54FDD">
              <w:rPr>
                <w:rFonts w:ascii="宋体" w:eastAsia="宋体" w:hAnsi="宋体"/>
                <w:szCs w:val="21"/>
              </w:rPr>
              <w:t>泰达宏利价值优化型周期类行业混合型证券投资基金</w:t>
            </w:r>
          </w:p>
        </w:tc>
        <w:tc>
          <w:tcPr>
            <w:tcW w:w="1989" w:type="dxa"/>
            <w:tcBorders>
              <w:top w:val="nil"/>
              <w:left w:val="nil"/>
              <w:bottom w:val="single" w:sz="4" w:space="0" w:color="auto"/>
              <w:right w:val="single" w:sz="4" w:space="0" w:color="auto"/>
            </w:tcBorders>
            <w:shd w:val="clear" w:color="auto" w:fill="auto"/>
          </w:tcPr>
          <w:p w:rsidR="00B94286" w:rsidRPr="00A54FDD" w:rsidRDefault="00C35A33" w:rsidP="00B94286">
            <w:pPr>
              <w:widowControl/>
              <w:tabs>
                <w:tab w:val="center" w:pos="4153"/>
                <w:tab w:val="right" w:pos="8306"/>
              </w:tabs>
              <w:snapToGrid w:val="0"/>
              <w:spacing w:line="300" w:lineRule="auto"/>
              <w:jc w:val="left"/>
              <w:rPr>
                <w:rFonts w:ascii="宋体" w:eastAsia="宋体" w:hAnsi="宋体" w:cs="宋体"/>
                <w:color w:val="000000" w:themeColor="text1"/>
                <w:kern w:val="0"/>
                <w:szCs w:val="21"/>
              </w:rPr>
            </w:pPr>
            <w:r w:rsidRPr="00A54FDD">
              <w:rPr>
                <w:rFonts w:ascii="宋体" w:eastAsia="宋体" w:hAnsi="宋体"/>
                <w:szCs w:val="21"/>
              </w:rPr>
              <w:t>162202</w:t>
            </w:r>
          </w:p>
        </w:tc>
      </w:tr>
      <w:tr w:rsidR="00B94286" w:rsidRPr="00E72AE5" w:rsidTr="00A54FDD">
        <w:trPr>
          <w:trHeight w:val="27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B94286" w:rsidRPr="00A54FDD" w:rsidRDefault="00C35A33" w:rsidP="00B94286">
            <w:pPr>
              <w:widowControl/>
              <w:spacing w:line="300" w:lineRule="auto"/>
              <w:jc w:val="center"/>
              <w:rPr>
                <w:rFonts w:ascii="宋体" w:eastAsia="宋体" w:hAnsi="宋体" w:cs="宋体"/>
                <w:color w:val="000000" w:themeColor="text1"/>
                <w:kern w:val="0"/>
                <w:szCs w:val="21"/>
              </w:rPr>
            </w:pPr>
            <w:r w:rsidRPr="00A54FDD">
              <w:rPr>
                <w:rFonts w:ascii="宋体" w:eastAsia="宋体" w:hAnsi="宋体" w:cs="宋体"/>
                <w:color w:val="000000" w:themeColor="text1"/>
                <w:kern w:val="0"/>
                <w:szCs w:val="21"/>
              </w:rPr>
              <w:t>3</w:t>
            </w:r>
          </w:p>
        </w:tc>
        <w:tc>
          <w:tcPr>
            <w:tcW w:w="5548" w:type="dxa"/>
            <w:tcBorders>
              <w:top w:val="nil"/>
              <w:left w:val="nil"/>
              <w:bottom w:val="single" w:sz="4" w:space="0" w:color="auto"/>
              <w:right w:val="single" w:sz="4" w:space="0" w:color="auto"/>
            </w:tcBorders>
            <w:shd w:val="clear" w:color="auto" w:fill="auto"/>
          </w:tcPr>
          <w:p w:rsidR="00B94286" w:rsidRPr="00A54FDD" w:rsidRDefault="00C35A33" w:rsidP="00B94286">
            <w:pPr>
              <w:spacing w:line="300" w:lineRule="auto"/>
              <w:rPr>
                <w:rFonts w:ascii="宋体" w:eastAsia="宋体" w:hAnsi="宋体" w:cs="Times New Roman"/>
                <w:color w:val="000000" w:themeColor="text1"/>
                <w:szCs w:val="21"/>
              </w:rPr>
            </w:pPr>
            <w:r w:rsidRPr="00A54FDD">
              <w:rPr>
                <w:rFonts w:ascii="宋体" w:eastAsia="宋体" w:hAnsi="宋体"/>
                <w:szCs w:val="21"/>
              </w:rPr>
              <w:t>泰达宏利价值优化型稳定类行业混合型证券投资基金</w:t>
            </w:r>
          </w:p>
        </w:tc>
        <w:tc>
          <w:tcPr>
            <w:tcW w:w="1989" w:type="dxa"/>
            <w:tcBorders>
              <w:top w:val="nil"/>
              <w:left w:val="nil"/>
              <w:bottom w:val="single" w:sz="4" w:space="0" w:color="auto"/>
              <w:right w:val="single" w:sz="4" w:space="0" w:color="auto"/>
            </w:tcBorders>
            <w:shd w:val="clear" w:color="auto" w:fill="auto"/>
          </w:tcPr>
          <w:p w:rsidR="00B94286" w:rsidRPr="00A54FDD" w:rsidRDefault="00C35A33" w:rsidP="00B94286">
            <w:pPr>
              <w:widowControl/>
              <w:tabs>
                <w:tab w:val="center" w:pos="4153"/>
                <w:tab w:val="right" w:pos="8306"/>
              </w:tabs>
              <w:snapToGrid w:val="0"/>
              <w:spacing w:line="300" w:lineRule="auto"/>
              <w:jc w:val="left"/>
              <w:rPr>
                <w:rFonts w:ascii="宋体" w:eastAsia="宋体" w:hAnsi="宋体" w:cs="宋体"/>
                <w:color w:val="000000" w:themeColor="text1"/>
                <w:kern w:val="0"/>
                <w:szCs w:val="21"/>
              </w:rPr>
            </w:pPr>
            <w:r w:rsidRPr="00A54FDD">
              <w:rPr>
                <w:rFonts w:ascii="宋体" w:eastAsia="宋体" w:hAnsi="宋体"/>
                <w:szCs w:val="21"/>
              </w:rPr>
              <w:t>162203</w:t>
            </w:r>
          </w:p>
        </w:tc>
      </w:tr>
      <w:tr w:rsidR="00B94286" w:rsidRPr="00E72AE5" w:rsidTr="00A54FDD">
        <w:trPr>
          <w:trHeight w:val="27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B94286" w:rsidRPr="00A54FDD" w:rsidRDefault="00C35A33" w:rsidP="00B94286">
            <w:pPr>
              <w:widowControl/>
              <w:spacing w:line="300" w:lineRule="auto"/>
              <w:jc w:val="center"/>
              <w:rPr>
                <w:rFonts w:ascii="宋体" w:eastAsia="宋体" w:hAnsi="宋体" w:cs="宋体"/>
                <w:color w:val="000000" w:themeColor="text1"/>
                <w:kern w:val="0"/>
                <w:szCs w:val="21"/>
              </w:rPr>
            </w:pPr>
            <w:r w:rsidRPr="00A54FDD">
              <w:rPr>
                <w:rFonts w:ascii="宋体" w:eastAsia="宋体" w:hAnsi="宋体" w:cs="宋体"/>
                <w:color w:val="000000" w:themeColor="text1"/>
                <w:kern w:val="0"/>
                <w:szCs w:val="21"/>
              </w:rPr>
              <w:t>4</w:t>
            </w:r>
          </w:p>
        </w:tc>
        <w:tc>
          <w:tcPr>
            <w:tcW w:w="5548" w:type="dxa"/>
            <w:tcBorders>
              <w:top w:val="nil"/>
              <w:left w:val="nil"/>
              <w:bottom w:val="single" w:sz="4" w:space="0" w:color="auto"/>
              <w:right w:val="single" w:sz="4" w:space="0" w:color="auto"/>
            </w:tcBorders>
            <w:shd w:val="clear" w:color="auto" w:fill="auto"/>
          </w:tcPr>
          <w:p w:rsidR="00B94286" w:rsidRPr="00A54FDD" w:rsidRDefault="00C35A33" w:rsidP="00B94286">
            <w:pPr>
              <w:spacing w:line="300" w:lineRule="auto"/>
              <w:rPr>
                <w:rFonts w:ascii="宋体" w:eastAsia="宋体" w:hAnsi="宋体" w:cs="Times New Roman"/>
                <w:color w:val="000000" w:themeColor="text1"/>
                <w:szCs w:val="21"/>
              </w:rPr>
            </w:pPr>
            <w:r w:rsidRPr="00A54FDD">
              <w:rPr>
                <w:rFonts w:ascii="宋体" w:eastAsia="宋体" w:hAnsi="宋体"/>
                <w:szCs w:val="21"/>
              </w:rPr>
              <w:t>泰达宏利行业精选混合型证券投资基金</w:t>
            </w:r>
          </w:p>
        </w:tc>
        <w:tc>
          <w:tcPr>
            <w:tcW w:w="1989" w:type="dxa"/>
            <w:tcBorders>
              <w:top w:val="nil"/>
              <w:left w:val="nil"/>
              <w:bottom w:val="single" w:sz="4" w:space="0" w:color="auto"/>
              <w:right w:val="single" w:sz="4" w:space="0" w:color="auto"/>
            </w:tcBorders>
            <w:shd w:val="clear" w:color="auto" w:fill="auto"/>
          </w:tcPr>
          <w:p w:rsidR="00B94286" w:rsidRPr="00A54FDD" w:rsidRDefault="00C35A33" w:rsidP="00B94286">
            <w:pPr>
              <w:widowControl/>
              <w:tabs>
                <w:tab w:val="center" w:pos="4153"/>
                <w:tab w:val="right" w:pos="8306"/>
              </w:tabs>
              <w:snapToGrid w:val="0"/>
              <w:spacing w:line="300" w:lineRule="auto"/>
              <w:jc w:val="left"/>
              <w:rPr>
                <w:rFonts w:ascii="宋体" w:eastAsia="宋体" w:hAnsi="宋体" w:cs="宋体"/>
                <w:color w:val="000000" w:themeColor="text1"/>
                <w:kern w:val="0"/>
                <w:szCs w:val="21"/>
              </w:rPr>
            </w:pPr>
            <w:r w:rsidRPr="00A54FDD">
              <w:rPr>
                <w:rFonts w:ascii="宋体" w:eastAsia="宋体" w:hAnsi="宋体"/>
                <w:szCs w:val="21"/>
              </w:rPr>
              <w:t>162204</w:t>
            </w:r>
          </w:p>
        </w:tc>
      </w:tr>
      <w:tr w:rsidR="00B94286" w:rsidRPr="00E72AE5" w:rsidTr="00A54FDD">
        <w:trPr>
          <w:trHeight w:val="27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B94286" w:rsidRPr="00A54FDD" w:rsidRDefault="00C35A33" w:rsidP="00B94286">
            <w:pPr>
              <w:widowControl/>
              <w:spacing w:line="300" w:lineRule="auto"/>
              <w:jc w:val="center"/>
              <w:rPr>
                <w:rFonts w:ascii="宋体" w:eastAsia="宋体" w:hAnsi="宋体" w:cs="宋体"/>
                <w:color w:val="000000" w:themeColor="text1"/>
                <w:kern w:val="0"/>
                <w:szCs w:val="21"/>
              </w:rPr>
            </w:pPr>
            <w:r w:rsidRPr="00A54FDD">
              <w:rPr>
                <w:rFonts w:ascii="宋体" w:eastAsia="宋体" w:hAnsi="宋体" w:cs="宋体"/>
                <w:color w:val="000000" w:themeColor="text1"/>
                <w:kern w:val="0"/>
                <w:szCs w:val="21"/>
              </w:rPr>
              <w:t>5</w:t>
            </w:r>
          </w:p>
        </w:tc>
        <w:tc>
          <w:tcPr>
            <w:tcW w:w="5548" w:type="dxa"/>
            <w:tcBorders>
              <w:top w:val="nil"/>
              <w:left w:val="nil"/>
              <w:bottom w:val="single" w:sz="4" w:space="0" w:color="auto"/>
              <w:right w:val="single" w:sz="4" w:space="0" w:color="auto"/>
            </w:tcBorders>
            <w:shd w:val="clear" w:color="auto" w:fill="auto"/>
          </w:tcPr>
          <w:p w:rsidR="00B94286" w:rsidRPr="00A54FDD" w:rsidRDefault="00C35A33" w:rsidP="00B94286">
            <w:pPr>
              <w:widowControl/>
              <w:jc w:val="left"/>
              <w:rPr>
                <w:rFonts w:ascii="宋体" w:eastAsia="宋体" w:hAnsi="宋体" w:cs="宋体"/>
                <w:color w:val="000000" w:themeColor="text1"/>
                <w:kern w:val="0"/>
                <w:szCs w:val="21"/>
              </w:rPr>
            </w:pPr>
            <w:r w:rsidRPr="00A54FDD">
              <w:rPr>
                <w:rFonts w:ascii="宋体" w:eastAsia="宋体" w:hAnsi="宋体"/>
                <w:szCs w:val="21"/>
              </w:rPr>
              <w:t>泰达宏利风险预算混合型证券投资基金</w:t>
            </w:r>
          </w:p>
        </w:tc>
        <w:tc>
          <w:tcPr>
            <w:tcW w:w="1989" w:type="dxa"/>
            <w:tcBorders>
              <w:top w:val="nil"/>
              <w:left w:val="nil"/>
              <w:bottom w:val="single" w:sz="4" w:space="0" w:color="auto"/>
              <w:right w:val="single" w:sz="4" w:space="0" w:color="auto"/>
            </w:tcBorders>
            <w:shd w:val="clear" w:color="auto" w:fill="auto"/>
          </w:tcPr>
          <w:p w:rsidR="00B94286" w:rsidRPr="00A54FDD" w:rsidRDefault="00C35A33" w:rsidP="00B94286">
            <w:pPr>
              <w:widowControl/>
              <w:tabs>
                <w:tab w:val="center" w:pos="4153"/>
                <w:tab w:val="right" w:pos="8306"/>
              </w:tabs>
              <w:snapToGrid w:val="0"/>
              <w:spacing w:line="300" w:lineRule="auto"/>
              <w:jc w:val="left"/>
              <w:rPr>
                <w:rFonts w:ascii="宋体" w:eastAsia="宋体" w:hAnsi="宋体" w:cs="宋体"/>
                <w:color w:val="000000" w:themeColor="text1"/>
                <w:kern w:val="0"/>
                <w:szCs w:val="21"/>
              </w:rPr>
            </w:pPr>
            <w:r w:rsidRPr="00A54FDD">
              <w:rPr>
                <w:rFonts w:ascii="宋体" w:eastAsia="宋体" w:hAnsi="宋体"/>
                <w:szCs w:val="21"/>
              </w:rPr>
              <w:t>162205</w:t>
            </w:r>
          </w:p>
        </w:tc>
      </w:tr>
      <w:tr w:rsidR="00B94286" w:rsidRPr="00E72AE5" w:rsidTr="00B75D23">
        <w:trPr>
          <w:trHeight w:val="270"/>
          <w:jc w:val="center"/>
        </w:trPr>
        <w:tc>
          <w:tcPr>
            <w:tcW w:w="968" w:type="dxa"/>
            <w:tcBorders>
              <w:top w:val="nil"/>
              <w:left w:val="single" w:sz="4" w:space="0" w:color="auto"/>
              <w:bottom w:val="single" w:sz="4" w:space="0" w:color="auto"/>
              <w:right w:val="single" w:sz="4" w:space="0" w:color="auto"/>
            </w:tcBorders>
            <w:shd w:val="clear" w:color="auto" w:fill="auto"/>
            <w:noWrap/>
            <w:vAlign w:val="bottom"/>
          </w:tcPr>
          <w:p w:rsidR="00B94286" w:rsidRPr="00A54FDD" w:rsidRDefault="00C35A33" w:rsidP="00B94286">
            <w:pPr>
              <w:widowControl/>
              <w:spacing w:line="300" w:lineRule="auto"/>
              <w:jc w:val="center"/>
              <w:rPr>
                <w:rFonts w:ascii="宋体" w:eastAsia="宋体" w:hAnsi="宋体" w:cs="宋体"/>
                <w:color w:val="000000" w:themeColor="text1"/>
                <w:kern w:val="0"/>
                <w:szCs w:val="21"/>
              </w:rPr>
            </w:pPr>
            <w:r w:rsidRPr="00A54FDD">
              <w:rPr>
                <w:rFonts w:ascii="宋体" w:eastAsia="宋体" w:hAnsi="宋体" w:cs="宋体"/>
                <w:color w:val="000000" w:themeColor="text1"/>
                <w:kern w:val="0"/>
                <w:szCs w:val="21"/>
              </w:rPr>
              <w:t>6</w:t>
            </w:r>
          </w:p>
        </w:tc>
        <w:tc>
          <w:tcPr>
            <w:tcW w:w="5548" w:type="dxa"/>
            <w:tcBorders>
              <w:top w:val="nil"/>
              <w:left w:val="nil"/>
              <w:bottom w:val="single" w:sz="4" w:space="0" w:color="auto"/>
              <w:right w:val="single" w:sz="4" w:space="0" w:color="auto"/>
            </w:tcBorders>
            <w:shd w:val="clear" w:color="auto" w:fill="auto"/>
          </w:tcPr>
          <w:p w:rsidR="00B94286" w:rsidRPr="00A54FDD" w:rsidRDefault="00C35A33" w:rsidP="00B94286">
            <w:pPr>
              <w:spacing w:line="300" w:lineRule="auto"/>
              <w:rPr>
                <w:rFonts w:ascii="宋体" w:eastAsia="宋体" w:hAnsi="宋体"/>
                <w:szCs w:val="21"/>
              </w:rPr>
            </w:pPr>
            <w:r w:rsidRPr="00A54FDD">
              <w:rPr>
                <w:rFonts w:ascii="宋体" w:eastAsia="宋体" w:hAnsi="宋体"/>
                <w:szCs w:val="21"/>
              </w:rPr>
              <w:t>泰达宏利首选企业股票型证券投资基金</w:t>
            </w:r>
          </w:p>
        </w:tc>
        <w:tc>
          <w:tcPr>
            <w:tcW w:w="1989" w:type="dxa"/>
            <w:tcBorders>
              <w:top w:val="nil"/>
              <w:left w:val="nil"/>
              <w:bottom w:val="single" w:sz="4" w:space="0" w:color="auto"/>
              <w:right w:val="single" w:sz="4" w:space="0" w:color="auto"/>
            </w:tcBorders>
            <w:shd w:val="clear" w:color="auto" w:fill="auto"/>
          </w:tcPr>
          <w:p w:rsidR="00B94286" w:rsidRPr="00A54FDD" w:rsidRDefault="00C35A33" w:rsidP="00B94286">
            <w:pPr>
              <w:widowControl/>
              <w:tabs>
                <w:tab w:val="center" w:pos="4153"/>
                <w:tab w:val="right" w:pos="8306"/>
              </w:tabs>
              <w:snapToGrid w:val="0"/>
              <w:spacing w:line="300" w:lineRule="auto"/>
              <w:jc w:val="left"/>
              <w:rPr>
                <w:rFonts w:ascii="宋体" w:eastAsia="宋体" w:hAnsi="宋体"/>
                <w:szCs w:val="21"/>
              </w:rPr>
            </w:pPr>
            <w:r w:rsidRPr="00A54FDD">
              <w:rPr>
                <w:rFonts w:ascii="宋体" w:eastAsia="宋体" w:hAnsi="宋体"/>
                <w:szCs w:val="21"/>
              </w:rPr>
              <w:t>162208</w:t>
            </w:r>
          </w:p>
        </w:tc>
      </w:tr>
      <w:tr w:rsidR="00B94286" w:rsidRPr="00E72AE5" w:rsidTr="00A54FDD">
        <w:trPr>
          <w:trHeight w:val="27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B94286" w:rsidRPr="00A54FDD" w:rsidRDefault="00C35A33" w:rsidP="00B94286">
            <w:pPr>
              <w:widowControl/>
              <w:spacing w:line="300" w:lineRule="auto"/>
              <w:jc w:val="center"/>
              <w:rPr>
                <w:rFonts w:ascii="宋体" w:eastAsia="宋体" w:hAnsi="宋体" w:cs="宋体"/>
                <w:color w:val="000000" w:themeColor="text1"/>
                <w:kern w:val="0"/>
                <w:szCs w:val="21"/>
              </w:rPr>
            </w:pPr>
            <w:r w:rsidRPr="00A54FDD">
              <w:rPr>
                <w:rFonts w:ascii="宋体" w:eastAsia="宋体" w:hAnsi="宋体" w:cs="宋体"/>
                <w:color w:val="000000" w:themeColor="text1"/>
                <w:kern w:val="0"/>
                <w:szCs w:val="21"/>
              </w:rPr>
              <w:t>7</w:t>
            </w:r>
          </w:p>
        </w:tc>
        <w:tc>
          <w:tcPr>
            <w:tcW w:w="5548" w:type="dxa"/>
            <w:tcBorders>
              <w:top w:val="nil"/>
              <w:left w:val="nil"/>
              <w:bottom w:val="single" w:sz="4" w:space="0" w:color="auto"/>
              <w:right w:val="single" w:sz="4" w:space="0" w:color="auto"/>
            </w:tcBorders>
            <w:shd w:val="clear" w:color="auto" w:fill="auto"/>
          </w:tcPr>
          <w:p w:rsidR="00B94286" w:rsidRPr="00A54FDD" w:rsidRDefault="00C35A33" w:rsidP="00B94286">
            <w:pPr>
              <w:spacing w:line="300" w:lineRule="auto"/>
              <w:rPr>
                <w:rFonts w:ascii="宋体" w:eastAsia="宋体" w:hAnsi="宋体" w:cs="Times New Roman"/>
                <w:color w:val="000000" w:themeColor="text1"/>
                <w:szCs w:val="21"/>
              </w:rPr>
            </w:pPr>
            <w:r w:rsidRPr="00A54FDD">
              <w:rPr>
                <w:rFonts w:ascii="宋体" w:eastAsia="宋体" w:hAnsi="宋体"/>
                <w:szCs w:val="21"/>
              </w:rPr>
              <w:t>泰达宏利市值优选混合型证券投资基金</w:t>
            </w:r>
          </w:p>
        </w:tc>
        <w:tc>
          <w:tcPr>
            <w:tcW w:w="1989" w:type="dxa"/>
            <w:tcBorders>
              <w:top w:val="nil"/>
              <w:left w:val="nil"/>
              <w:bottom w:val="single" w:sz="4" w:space="0" w:color="auto"/>
              <w:right w:val="single" w:sz="4" w:space="0" w:color="auto"/>
            </w:tcBorders>
            <w:shd w:val="clear" w:color="auto" w:fill="auto"/>
          </w:tcPr>
          <w:p w:rsidR="00B94286" w:rsidRPr="00A54FDD" w:rsidRDefault="00C35A33" w:rsidP="00B94286">
            <w:pPr>
              <w:widowControl/>
              <w:tabs>
                <w:tab w:val="center" w:pos="4153"/>
                <w:tab w:val="right" w:pos="8306"/>
              </w:tabs>
              <w:snapToGrid w:val="0"/>
              <w:spacing w:line="300" w:lineRule="auto"/>
              <w:jc w:val="left"/>
              <w:rPr>
                <w:rFonts w:ascii="宋体" w:eastAsia="宋体" w:hAnsi="宋体" w:cs="宋体"/>
                <w:color w:val="000000" w:themeColor="text1"/>
                <w:kern w:val="0"/>
                <w:szCs w:val="21"/>
              </w:rPr>
            </w:pPr>
            <w:r w:rsidRPr="00A54FDD">
              <w:rPr>
                <w:rFonts w:ascii="宋体" w:eastAsia="宋体" w:hAnsi="宋体"/>
                <w:szCs w:val="21"/>
              </w:rPr>
              <w:t>162209</w:t>
            </w:r>
          </w:p>
        </w:tc>
      </w:tr>
      <w:tr w:rsidR="00B94286" w:rsidRPr="00E72AE5" w:rsidTr="00E72AE5">
        <w:trPr>
          <w:trHeight w:val="33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B94286" w:rsidRPr="00A54FDD" w:rsidRDefault="00C35A33" w:rsidP="00B94286">
            <w:pPr>
              <w:widowControl/>
              <w:spacing w:line="300" w:lineRule="auto"/>
              <w:jc w:val="center"/>
              <w:rPr>
                <w:rFonts w:ascii="宋体" w:eastAsia="宋体" w:hAnsi="宋体" w:cs="宋体"/>
                <w:color w:val="000000" w:themeColor="text1"/>
                <w:kern w:val="0"/>
                <w:szCs w:val="21"/>
              </w:rPr>
            </w:pPr>
            <w:r w:rsidRPr="00A54FDD">
              <w:rPr>
                <w:rFonts w:ascii="宋体" w:eastAsia="宋体" w:hAnsi="宋体" w:cs="宋体"/>
                <w:color w:val="000000" w:themeColor="text1"/>
                <w:kern w:val="0"/>
                <w:szCs w:val="21"/>
              </w:rPr>
              <w:t>8</w:t>
            </w:r>
          </w:p>
        </w:tc>
        <w:tc>
          <w:tcPr>
            <w:tcW w:w="5548" w:type="dxa"/>
            <w:tcBorders>
              <w:top w:val="nil"/>
              <w:left w:val="nil"/>
              <w:bottom w:val="single" w:sz="4" w:space="0" w:color="auto"/>
              <w:right w:val="single" w:sz="4" w:space="0" w:color="auto"/>
            </w:tcBorders>
            <w:shd w:val="clear" w:color="auto" w:fill="auto"/>
          </w:tcPr>
          <w:p w:rsidR="00B94286" w:rsidRPr="00A54FDD" w:rsidRDefault="00C35A33" w:rsidP="00B94286">
            <w:pPr>
              <w:widowControl/>
              <w:jc w:val="left"/>
              <w:rPr>
                <w:rFonts w:ascii="宋体" w:eastAsia="宋体" w:hAnsi="宋体" w:cs="宋体"/>
                <w:color w:val="000000" w:themeColor="text1"/>
                <w:kern w:val="0"/>
                <w:szCs w:val="21"/>
              </w:rPr>
            </w:pPr>
            <w:r w:rsidRPr="00A54FDD">
              <w:rPr>
                <w:rFonts w:ascii="宋体" w:eastAsia="宋体" w:hAnsi="宋体"/>
                <w:szCs w:val="21"/>
              </w:rPr>
              <w:t>泰达宏利品质生活灵活配置混合型证券投资基金</w:t>
            </w:r>
          </w:p>
        </w:tc>
        <w:tc>
          <w:tcPr>
            <w:tcW w:w="1989" w:type="dxa"/>
            <w:tcBorders>
              <w:top w:val="nil"/>
              <w:left w:val="nil"/>
              <w:bottom w:val="single" w:sz="4" w:space="0" w:color="auto"/>
              <w:right w:val="single" w:sz="4" w:space="0" w:color="auto"/>
            </w:tcBorders>
            <w:shd w:val="clear" w:color="auto" w:fill="auto"/>
          </w:tcPr>
          <w:p w:rsidR="00B94286" w:rsidRPr="00A54FDD" w:rsidRDefault="00C35A33" w:rsidP="00B94286">
            <w:pPr>
              <w:widowControl/>
              <w:tabs>
                <w:tab w:val="center" w:pos="4153"/>
                <w:tab w:val="right" w:pos="8306"/>
              </w:tabs>
              <w:snapToGrid w:val="0"/>
              <w:spacing w:line="300" w:lineRule="auto"/>
              <w:jc w:val="left"/>
              <w:rPr>
                <w:rFonts w:ascii="宋体" w:eastAsia="宋体" w:hAnsi="宋体" w:cs="宋体"/>
                <w:color w:val="000000" w:themeColor="text1"/>
                <w:kern w:val="0"/>
                <w:szCs w:val="21"/>
              </w:rPr>
            </w:pPr>
            <w:r w:rsidRPr="00A54FDD">
              <w:rPr>
                <w:rFonts w:ascii="宋体" w:eastAsia="宋体" w:hAnsi="宋体"/>
                <w:szCs w:val="21"/>
              </w:rPr>
              <w:t>162211</w:t>
            </w:r>
          </w:p>
        </w:tc>
      </w:tr>
      <w:tr w:rsidR="00B94286" w:rsidRPr="00E72AE5" w:rsidTr="00A54FDD">
        <w:trPr>
          <w:trHeight w:val="27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B94286" w:rsidRPr="00A54FDD" w:rsidRDefault="00C35A33" w:rsidP="00B94286">
            <w:pPr>
              <w:widowControl/>
              <w:spacing w:line="300" w:lineRule="auto"/>
              <w:jc w:val="center"/>
              <w:rPr>
                <w:rFonts w:ascii="宋体" w:eastAsia="宋体" w:hAnsi="宋体" w:cs="宋体"/>
                <w:color w:val="000000" w:themeColor="text1"/>
                <w:kern w:val="0"/>
                <w:szCs w:val="21"/>
              </w:rPr>
            </w:pPr>
            <w:r w:rsidRPr="00A54FDD">
              <w:rPr>
                <w:rFonts w:ascii="宋体" w:eastAsia="宋体" w:hAnsi="宋体" w:cs="宋体"/>
                <w:color w:val="000000" w:themeColor="text1"/>
                <w:kern w:val="0"/>
                <w:szCs w:val="21"/>
              </w:rPr>
              <w:t>9</w:t>
            </w:r>
          </w:p>
        </w:tc>
        <w:tc>
          <w:tcPr>
            <w:tcW w:w="5548" w:type="dxa"/>
            <w:tcBorders>
              <w:top w:val="nil"/>
              <w:left w:val="nil"/>
              <w:bottom w:val="single" w:sz="4" w:space="0" w:color="auto"/>
              <w:right w:val="single" w:sz="4" w:space="0" w:color="auto"/>
            </w:tcBorders>
            <w:shd w:val="clear" w:color="auto" w:fill="auto"/>
          </w:tcPr>
          <w:p w:rsidR="00B94286" w:rsidRPr="00A54FDD" w:rsidRDefault="00C35A33" w:rsidP="00B94286">
            <w:pPr>
              <w:rPr>
                <w:rFonts w:ascii="宋体" w:eastAsia="宋体" w:hAnsi="宋体"/>
                <w:color w:val="000000" w:themeColor="text1"/>
                <w:szCs w:val="21"/>
              </w:rPr>
            </w:pPr>
            <w:r w:rsidRPr="00A54FDD">
              <w:rPr>
                <w:rFonts w:ascii="宋体" w:eastAsia="宋体" w:hAnsi="宋体"/>
                <w:szCs w:val="21"/>
              </w:rPr>
              <w:t>泰达宏利红利先锋混合型证券投资基金</w:t>
            </w:r>
          </w:p>
        </w:tc>
        <w:tc>
          <w:tcPr>
            <w:tcW w:w="1989" w:type="dxa"/>
            <w:tcBorders>
              <w:top w:val="nil"/>
              <w:left w:val="nil"/>
              <w:bottom w:val="single" w:sz="4" w:space="0" w:color="auto"/>
              <w:right w:val="single" w:sz="4" w:space="0" w:color="auto"/>
            </w:tcBorders>
            <w:shd w:val="clear" w:color="auto" w:fill="auto"/>
          </w:tcPr>
          <w:p w:rsidR="00B94286" w:rsidRPr="00A54FDD" w:rsidRDefault="00C35A33" w:rsidP="00B94286">
            <w:pPr>
              <w:rPr>
                <w:rFonts w:ascii="宋体" w:eastAsia="宋体" w:hAnsi="宋体"/>
                <w:color w:val="000000" w:themeColor="text1"/>
                <w:szCs w:val="21"/>
              </w:rPr>
            </w:pPr>
            <w:r w:rsidRPr="00A54FDD">
              <w:rPr>
                <w:rFonts w:ascii="宋体" w:eastAsia="宋体" w:hAnsi="宋体"/>
                <w:szCs w:val="21"/>
              </w:rPr>
              <w:t>162212</w:t>
            </w:r>
          </w:p>
        </w:tc>
      </w:tr>
      <w:tr w:rsidR="00B94286" w:rsidRPr="00E72AE5" w:rsidTr="00A54FDD">
        <w:trPr>
          <w:trHeight w:val="27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B94286" w:rsidRPr="00A54FDD" w:rsidRDefault="00C35A33" w:rsidP="00B94286">
            <w:pPr>
              <w:widowControl/>
              <w:spacing w:line="300" w:lineRule="auto"/>
              <w:jc w:val="center"/>
              <w:rPr>
                <w:rFonts w:ascii="宋体" w:eastAsia="宋体" w:hAnsi="宋体" w:cs="宋体"/>
                <w:color w:val="000000" w:themeColor="text1"/>
                <w:kern w:val="0"/>
                <w:szCs w:val="21"/>
              </w:rPr>
            </w:pPr>
            <w:r w:rsidRPr="00A54FDD">
              <w:rPr>
                <w:rFonts w:ascii="宋体" w:eastAsia="宋体" w:hAnsi="宋体" w:cs="宋体"/>
                <w:color w:val="000000" w:themeColor="text1"/>
                <w:kern w:val="0"/>
                <w:szCs w:val="21"/>
              </w:rPr>
              <w:t>10</w:t>
            </w:r>
          </w:p>
        </w:tc>
        <w:tc>
          <w:tcPr>
            <w:tcW w:w="5548" w:type="dxa"/>
            <w:tcBorders>
              <w:top w:val="nil"/>
              <w:left w:val="nil"/>
              <w:bottom w:val="single" w:sz="4" w:space="0" w:color="auto"/>
              <w:right w:val="single" w:sz="4" w:space="0" w:color="auto"/>
            </w:tcBorders>
            <w:shd w:val="clear" w:color="auto" w:fill="auto"/>
          </w:tcPr>
          <w:p w:rsidR="00B94286" w:rsidRPr="00A54FDD" w:rsidRDefault="00C35A33" w:rsidP="00B94286">
            <w:pPr>
              <w:rPr>
                <w:rFonts w:ascii="宋体" w:eastAsia="宋体" w:hAnsi="宋体"/>
                <w:color w:val="000000" w:themeColor="text1"/>
                <w:szCs w:val="21"/>
              </w:rPr>
            </w:pPr>
            <w:r w:rsidRPr="00A54FDD">
              <w:rPr>
                <w:rFonts w:ascii="宋体" w:eastAsia="宋体" w:hAnsi="宋体"/>
                <w:szCs w:val="21"/>
              </w:rPr>
              <w:t>泰达宏利领先中小盘混合型证券投资基金</w:t>
            </w:r>
          </w:p>
        </w:tc>
        <w:tc>
          <w:tcPr>
            <w:tcW w:w="1989" w:type="dxa"/>
            <w:tcBorders>
              <w:top w:val="nil"/>
              <w:left w:val="nil"/>
              <w:bottom w:val="single" w:sz="4" w:space="0" w:color="auto"/>
              <w:right w:val="single" w:sz="4" w:space="0" w:color="auto"/>
            </w:tcBorders>
            <w:shd w:val="clear" w:color="auto" w:fill="auto"/>
          </w:tcPr>
          <w:p w:rsidR="00B94286" w:rsidRPr="00A54FDD" w:rsidRDefault="00C35A33" w:rsidP="00B94286">
            <w:pPr>
              <w:rPr>
                <w:rFonts w:ascii="宋体" w:eastAsia="宋体" w:hAnsi="宋体"/>
                <w:color w:val="000000" w:themeColor="text1"/>
                <w:szCs w:val="21"/>
              </w:rPr>
            </w:pPr>
            <w:r w:rsidRPr="00A54FDD">
              <w:rPr>
                <w:rFonts w:ascii="宋体" w:eastAsia="宋体" w:hAnsi="宋体"/>
                <w:szCs w:val="21"/>
              </w:rPr>
              <w:t>162214</w:t>
            </w:r>
          </w:p>
        </w:tc>
      </w:tr>
      <w:tr w:rsidR="00B94286" w:rsidRPr="00E72AE5" w:rsidTr="00A54FDD">
        <w:trPr>
          <w:trHeight w:val="27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B94286" w:rsidRPr="00A54FDD" w:rsidRDefault="00C35A33" w:rsidP="00B94286">
            <w:pPr>
              <w:widowControl/>
              <w:spacing w:line="300" w:lineRule="auto"/>
              <w:jc w:val="center"/>
              <w:rPr>
                <w:rFonts w:ascii="宋体" w:eastAsia="宋体" w:hAnsi="宋体" w:cs="宋体"/>
                <w:color w:val="000000" w:themeColor="text1"/>
                <w:kern w:val="0"/>
                <w:szCs w:val="21"/>
              </w:rPr>
            </w:pPr>
            <w:r w:rsidRPr="00A54FDD">
              <w:rPr>
                <w:rFonts w:ascii="宋体" w:eastAsia="宋体" w:hAnsi="宋体" w:cs="宋体"/>
                <w:color w:val="000000" w:themeColor="text1"/>
                <w:kern w:val="0"/>
                <w:szCs w:val="21"/>
              </w:rPr>
              <w:t>11</w:t>
            </w:r>
          </w:p>
        </w:tc>
        <w:tc>
          <w:tcPr>
            <w:tcW w:w="5548" w:type="dxa"/>
            <w:tcBorders>
              <w:top w:val="nil"/>
              <w:left w:val="nil"/>
              <w:bottom w:val="single" w:sz="4" w:space="0" w:color="auto"/>
              <w:right w:val="single" w:sz="4" w:space="0" w:color="auto"/>
            </w:tcBorders>
            <w:shd w:val="clear" w:color="auto" w:fill="auto"/>
          </w:tcPr>
          <w:p w:rsidR="00B94286" w:rsidRPr="00A54FDD" w:rsidRDefault="00C35A33" w:rsidP="00B94286">
            <w:pPr>
              <w:spacing w:line="300" w:lineRule="auto"/>
              <w:rPr>
                <w:rFonts w:ascii="宋体" w:eastAsia="宋体" w:hAnsi="宋体" w:cs="Times New Roman"/>
                <w:color w:val="000000" w:themeColor="text1"/>
                <w:szCs w:val="21"/>
              </w:rPr>
            </w:pPr>
            <w:r w:rsidRPr="00A54FDD">
              <w:rPr>
                <w:rFonts w:ascii="宋体" w:eastAsia="宋体" w:hAnsi="宋体" w:hint="eastAsia"/>
                <w:szCs w:val="21"/>
              </w:rPr>
              <w:t>泰达宏利聚利债券型证券投资基金（</w:t>
            </w:r>
            <w:r w:rsidRPr="00A54FDD">
              <w:rPr>
                <w:rFonts w:ascii="宋体" w:eastAsia="宋体" w:hAnsi="宋体"/>
                <w:szCs w:val="21"/>
              </w:rPr>
              <w:t>LOF</w:t>
            </w:r>
            <w:r w:rsidRPr="00A54FDD">
              <w:rPr>
                <w:rFonts w:ascii="宋体" w:eastAsia="宋体" w:hAnsi="宋体" w:hint="eastAsia"/>
                <w:szCs w:val="21"/>
              </w:rPr>
              <w:t>）</w:t>
            </w:r>
          </w:p>
        </w:tc>
        <w:tc>
          <w:tcPr>
            <w:tcW w:w="1989" w:type="dxa"/>
            <w:tcBorders>
              <w:top w:val="nil"/>
              <w:left w:val="nil"/>
              <w:bottom w:val="single" w:sz="4" w:space="0" w:color="auto"/>
              <w:right w:val="single" w:sz="4" w:space="0" w:color="auto"/>
            </w:tcBorders>
            <w:shd w:val="clear" w:color="auto" w:fill="auto"/>
          </w:tcPr>
          <w:p w:rsidR="00B94286" w:rsidRPr="00A54FDD" w:rsidRDefault="00C35A33" w:rsidP="00B94286">
            <w:pPr>
              <w:widowControl/>
              <w:tabs>
                <w:tab w:val="center" w:pos="4153"/>
                <w:tab w:val="right" w:pos="8306"/>
              </w:tabs>
              <w:snapToGrid w:val="0"/>
              <w:spacing w:line="300" w:lineRule="auto"/>
              <w:jc w:val="left"/>
              <w:rPr>
                <w:rFonts w:ascii="宋体" w:eastAsia="宋体" w:hAnsi="宋体" w:cs="宋体"/>
                <w:color w:val="000000" w:themeColor="text1"/>
                <w:kern w:val="0"/>
                <w:szCs w:val="21"/>
              </w:rPr>
            </w:pPr>
            <w:r w:rsidRPr="00A54FDD">
              <w:rPr>
                <w:rFonts w:ascii="宋体" w:eastAsia="宋体" w:hAnsi="宋体"/>
                <w:szCs w:val="21"/>
              </w:rPr>
              <w:t>162215</w:t>
            </w:r>
          </w:p>
        </w:tc>
      </w:tr>
      <w:tr w:rsidR="00B94286" w:rsidRPr="00E72AE5" w:rsidTr="00B75D23">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tcPr>
          <w:p w:rsidR="00B94286" w:rsidRPr="00A54FDD" w:rsidRDefault="00C35A33" w:rsidP="00B94286">
            <w:pPr>
              <w:widowControl/>
              <w:spacing w:line="300" w:lineRule="auto"/>
              <w:jc w:val="center"/>
              <w:rPr>
                <w:rFonts w:ascii="宋体" w:eastAsia="宋体" w:hAnsi="宋体" w:cs="宋体"/>
                <w:color w:val="000000" w:themeColor="text1"/>
                <w:kern w:val="0"/>
                <w:szCs w:val="21"/>
              </w:rPr>
            </w:pPr>
            <w:r w:rsidRPr="00A54FDD">
              <w:rPr>
                <w:rFonts w:ascii="宋体" w:eastAsia="宋体" w:hAnsi="宋体" w:cs="宋体"/>
                <w:color w:val="000000" w:themeColor="text1"/>
                <w:kern w:val="0"/>
                <w:szCs w:val="21"/>
              </w:rPr>
              <w:t>12</w:t>
            </w:r>
          </w:p>
        </w:tc>
        <w:tc>
          <w:tcPr>
            <w:tcW w:w="5548" w:type="dxa"/>
            <w:tcBorders>
              <w:top w:val="nil"/>
              <w:left w:val="nil"/>
              <w:bottom w:val="single" w:sz="4" w:space="0" w:color="auto"/>
              <w:right w:val="single" w:sz="4" w:space="0" w:color="auto"/>
            </w:tcBorders>
            <w:shd w:val="clear" w:color="auto" w:fill="auto"/>
          </w:tcPr>
          <w:p w:rsidR="00B94286" w:rsidRPr="00A54FDD" w:rsidRDefault="00C35A33" w:rsidP="00B94286">
            <w:pPr>
              <w:widowControl/>
              <w:jc w:val="left"/>
              <w:rPr>
                <w:rFonts w:ascii="宋体" w:eastAsia="宋体" w:hAnsi="宋体"/>
                <w:szCs w:val="21"/>
              </w:rPr>
            </w:pPr>
            <w:r w:rsidRPr="00A54FDD">
              <w:rPr>
                <w:rFonts w:ascii="宋体" w:eastAsia="宋体" w:hAnsi="宋体"/>
                <w:szCs w:val="21"/>
              </w:rPr>
              <w:t>泰达宏利中证500指数增强型证券投资基金（LOF）</w:t>
            </w:r>
          </w:p>
        </w:tc>
        <w:tc>
          <w:tcPr>
            <w:tcW w:w="1989" w:type="dxa"/>
            <w:tcBorders>
              <w:top w:val="nil"/>
              <w:left w:val="nil"/>
              <w:bottom w:val="single" w:sz="4" w:space="0" w:color="auto"/>
              <w:right w:val="single" w:sz="4" w:space="0" w:color="auto"/>
            </w:tcBorders>
            <w:shd w:val="clear" w:color="auto" w:fill="auto"/>
          </w:tcPr>
          <w:p w:rsidR="00B94286" w:rsidRPr="00A54FDD" w:rsidRDefault="00C35A33" w:rsidP="00B94286">
            <w:pPr>
              <w:widowControl/>
              <w:tabs>
                <w:tab w:val="center" w:pos="4153"/>
                <w:tab w:val="right" w:pos="8306"/>
              </w:tabs>
              <w:snapToGrid w:val="0"/>
              <w:spacing w:line="300" w:lineRule="auto"/>
              <w:jc w:val="left"/>
              <w:rPr>
                <w:rFonts w:ascii="宋体" w:eastAsia="宋体" w:hAnsi="宋体"/>
                <w:szCs w:val="21"/>
              </w:rPr>
            </w:pPr>
            <w:r w:rsidRPr="00A54FDD">
              <w:rPr>
                <w:rFonts w:ascii="宋体" w:eastAsia="宋体" w:hAnsi="宋体"/>
                <w:szCs w:val="21"/>
              </w:rPr>
              <w:t>162216</w:t>
            </w:r>
          </w:p>
        </w:tc>
      </w:tr>
      <w:tr w:rsidR="00B94286" w:rsidRPr="00E72AE5" w:rsidTr="00A54FDD">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B94286" w:rsidRPr="00A54FDD" w:rsidRDefault="00C35A33" w:rsidP="00B94286">
            <w:pPr>
              <w:widowControl/>
              <w:spacing w:line="300" w:lineRule="auto"/>
              <w:jc w:val="center"/>
              <w:rPr>
                <w:rFonts w:ascii="宋体" w:eastAsia="宋体" w:hAnsi="宋体" w:cs="宋体"/>
                <w:color w:val="000000" w:themeColor="text1"/>
                <w:kern w:val="0"/>
                <w:szCs w:val="21"/>
              </w:rPr>
            </w:pPr>
            <w:r w:rsidRPr="00A54FDD">
              <w:rPr>
                <w:rFonts w:ascii="宋体" w:eastAsia="宋体" w:hAnsi="宋体" w:cs="宋体"/>
                <w:color w:val="000000" w:themeColor="text1"/>
                <w:kern w:val="0"/>
                <w:szCs w:val="21"/>
              </w:rPr>
              <w:t>13</w:t>
            </w:r>
          </w:p>
        </w:tc>
        <w:tc>
          <w:tcPr>
            <w:tcW w:w="5548" w:type="dxa"/>
            <w:tcBorders>
              <w:top w:val="nil"/>
              <w:left w:val="nil"/>
              <w:bottom w:val="single" w:sz="4" w:space="0" w:color="auto"/>
              <w:right w:val="single" w:sz="4" w:space="0" w:color="auto"/>
            </w:tcBorders>
            <w:shd w:val="clear" w:color="auto" w:fill="auto"/>
          </w:tcPr>
          <w:p w:rsidR="00B94286" w:rsidRPr="00A54FDD" w:rsidRDefault="00C35A33" w:rsidP="00B94286">
            <w:pPr>
              <w:widowControl/>
              <w:jc w:val="left"/>
              <w:rPr>
                <w:rFonts w:ascii="宋体" w:eastAsia="宋体" w:hAnsi="宋体" w:cs="宋体"/>
                <w:color w:val="000000" w:themeColor="text1"/>
                <w:kern w:val="0"/>
                <w:szCs w:val="21"/>
              </w:rPr>
            </w:pPr>
            <w:r w:rsidRPr="00A54FDD">
              <w:rPr>
                <w:rFonts w:ascii="宋体" w:eastAsia="宋体" w:hAnsi="宋体"/>
                <w:szCs w:val="21"/>
              </w:rPr>
              <w:t>泰达宏利沪深300指数增强型证券投资基金A类份额</w:t>
            </w:r>
          </w:p>
        </w:tc>
        <w:tc>
          <w:tcPr>
            <w:tcW w:w="1989" w:type="dxa"/>
            <w:tcBorders>
              <w:top w:val="nil"/>
              <w:left w:val="nil"/>
              <w:bottom w:val="single" w:sz="4" w:space="0" w:color="auto"/>
              <w:right w:val="single" w:sz="4" w:space="0" w:color="auto"/>
            </w:tcBorders>
            <w:shd w:val="clear" w:color="auto" w:fill="auto"/>
          </w:tcPr>
          <w:p w:rsidR="00B94286" w:rsidRPr="00A54FDD" w:rsidRDefault="00C35A33" w:rsidP="00B94286">
            <w:pPr>
              <w:widowControl/>
              <w:tabs>
                <w:tab w:val="center" w:pos="4153"/>
                <w:tab w:val="right" w:pos="8306"/>
              </w:tabs>
              <w:snapToGrid w:val="0"/>
              <w:spacing w:line="300" w:lineRule="auto"/>
              <w:jc w:val="left"/>
              <w:rPr>
                <w:rFonts w:ascii="宋体" w:eastAsia="宋体" w:hAnsi="宋体" w:cs="宋体"/>
                <w:color w:val="000000" w:themeColor="text1"/>
                <w:kern w:val="0"/>
                <w:szCs w:val="21"/>
              </w:rPr>
            </w:pPr>
            <w:r w:rsidRPr="00A54FDD">
              <w:rPr>
                <w:rFonts w:ascii="宋体" w:eastAsia="宋体" w:hAnsi="宋体"/>
                <w:szCs w:val="21"/>
              </w:rPr>
              <w:t>162213</w:t>
            </w:r>
          </w:p>
        </w:tc>
      </w:tr>
      <w:tr w:rsidR="00B94286" w:rsidRPr="00E72AE5" w:rsidTr="00A54FDD">
        <w:trPr>
          <w:trHeight w:val="27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B94286" w:rsidRPr="00A54FDD" w:rsidRDefault="00C35A33" w:rsidP="00B94286">
            <w:pPr>
              <w:widowControl/>
              <w:spacing w:line="300" w:lineRule="auto"/>
              <w:jc w:val="center"/>
              <w:rPr>
                <w:rFonts w:ascii="宋体" w:eastAsia="宋体" w:hAnsi="宋体" w:cs="宋体"/>
                <w:color w:val="000000" w:themeColor="text1"/>
                <w:kern w:val="0"/>
                <w:szCs w:val="21"/>
              </w:rPr>
            </w:pPr>
            <w:r w:rsidRPr="00A54FDD">
              <w:rPr>
                <w:rFonts w:ascii="宋体" w:eastAsia="宋体" w:hAnsi="宋体" w:cs="宋体"/>
                <w:color w:val="000000" w:themeColor="text1"/>
                <w:kern w:val="0"/>
                <w:szCs w:val="21"/>
              </w:rPr>
              <w:t>14</w:t>
            </w:r>
          </w:p>
        </w:tc>
        <w:tc>
          <w:tcPr>
            <w:tcW w:w="5548" w:type="dxa"/>
            <w:tcBorders>
              <w:top w:val="nil"/>
              <w:left w:val="nil"/>
              <w:bottom w:val="single" w:sz="4" w:space="0" w:color="auto"/>
              <w:right w:val="single" w:sz="4" w:space="0" w:color="auto"/>
            </w:tcBorders>
            <w:shd w:val="clear" w:color="auto" w:fill="auto"/>
          </w:tcPr>
          <w:p w:rsidR="00B94286" w:rsidRPr="00A54FDD" w:rsidRDefault="00C35A33" w:rsidP="00B94286">
            <w:pPr>
              <w:widowControl/>
              <w:jc w:val="left"/>
              <w:rPr>
                <w:rFonts w:ascii="宋体" w:eastAsia="宋体" w:hAnsi="宋体" w:cs="宋体"/>
                <w:color w:val="000000" w:themeColor="text1"/>
                <w:kern w:val="0"/>
                <w:szCs w:val="21"/>
              </w:rPr>
            </w:pPr>
            <w:r w:rsidRPr="00C35A33">
              <w:rPr>
                <w:rFonts w:ascii="宋体" w:eastAsia="宋体" w:hAnsi="宋体"/>
                <w:szCs w:val="21"/>
              </w:rPr>
              <w:t>泰达宏利集利债券型证券投资基金A类份额</w:t>
            </w:r>
          </w:p>
        </w:tc>
        <w:tc>
          <w:tcPr>
            <w:tcW w:w="1989" w:type="dxa"/>
            <w:tcBorders>
              <w:top w:val="nil"/>
              <w:left w:val="nil"/>
              <w:bottom w:val="single" w:sz="4" w:space="0" w:color="auto"/>
              <w:right w:val="single" w:sz="4" w:space="0" w:color="auto"/>
            </w:tcBorders>
            <w:shd w:val="clear" w:color="auto" w:fill="auto"/>
          </w:tcPr>
          <w:p w:rsidR="00B94286" w:rsidRPr="00A54FDD" w:rsidRDefault="00C35A33" w:rsidP="00B94286">
            <w:pPr>
              <w:widowControl/>
              <w:tabs>
                <w:tab w:val="center" w:pos="4153"/>
                <w:tab w:val="right" w:pos="8306"/>
              </w:tabs>
              <w:snapToGrid w:val="0"/>
              <w:spacing w:line="300" w:lineRule="auto"/>
              <w:jc w:val="left"/>
              <w:rPr>
                <w:rFonts w:ascii="宋体" w:eastAsia="宋体" w:hAnsi="宋体" w:cs="宋体"/>
                <w:color w:val="000000" w:themeColor="text1"/>
                <w:kern w:val="0"/>
                <w:szCs w:val="21"/>
              </w:rPr>
            </w:pPr>
            <w:r w:rsidRPr="00C35A33">
              <w:rPr>
                <w:rFonts w:ascii="宋体" w:eastAsia="宋体" w:hAnsi="宋体"/>
                <w:szCs w:val="21"/>
              </w:rPr>
              <w:t>162210</w:t>
            </w:r>
          </w:p>
        </w:tc>
      </w:tr>
      <w:tr w:rsidR="00B94286" w:rsidRPr="00E72AE5" w:rsidTr="00A54FDD">
        <w:trPr>
          <w:trHeight w:val="27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B94286" w:rsidRPr="00A54FDD" w:rsidRDefault="00C35A33" w:rsidP="00B94286">
            <w:pPr>
              <w:widowControl/>
              <w:spacing w:line="300" w:lineRule="auto"/>
              <w:jc w:val="center"/>
              <w:rPr>
                <w:rFonts w:ascii="宋体" w:eastAsia="宋体" w:hAnsi="宋体" w:cs="宋体"/>
                <w:color w:val="000000" w:themeColor="text1"/>
                <w:kern w:val="0"/>
                <w:szCs w:val="21"/>
              </w:rPr>
            </w:pPr>
            <w:r w:rsidRPr="00A54FDD">
              <w:rPr>
                <w:rFonts w:ascii="宋体" w:eastAsia="宋体" w:hAnsi="宋体" w:cs="宋体"/>
                <w:color w:val="000000" w:themeColor="text1"/>
                <w:kern w:val="0"/>
                <w:szCs w:val="21"/>
              </w:rPr>
              <w:t>15</w:t>
            </w:r>
          </w:p>
        </w:tc>
        <w:tc>
          <w:tcPr>
            <w:tcW w:w="5548" w:type="dxa"/>
            <w:tcBorders>
              <w:top w:val="nil"/>
              <w:left w:val="nil"/>
              <w:bottom w:val="single" w:sz="4" w:space="0" w:color="auto"/>
              <w:right w:val="single" w:sz="4" w:space="0" w:color="auto"/>
            </w:tcBorders>
            <w:shd w:val="clear" w:color="auto" w:fill="auto"/>
          </w:tcPr>
          <w:p w:rsidR="00B94286" w:rsidRPr="00A54FDD" w:rsidRDefault="00C35A33" w:rsidP="00B94286">
            <w:pPr>
              <w:widowControl/>
              <w:jc w:val="left"/>
              <w:rPr>
                <w:rFonts w:ascii="宋体" w:eastAsia="宋体" w:hAnsi="宋体" w:cs="宋体"/>
                <w:color w:val="000000" w:themeColor="text1"/>
                <w:kern w:val="0"/>
                <w:szCs w:val="21"/>
              </w:rPr>
            </w:pPr>
            <w:r w:rsidRPr="00A54FDD">
              <w:rPr>
                <w:rFonts w:ascii="宋体" w:eastAsia="宋体" w:hAnsi="宋体"/>
                <w:szCs w:val="21"/>
              </w:rPr>
              <w:t>泰达宏利创盈灵活配置混合型证券投资基金A类份额</w:t>
            </w:r>
          </w:p>
        </w:tc>
        <w:tc>
          <w:tcPr>
            <w:tcW w:w="1989" w:type="dxa"/>
            <w:tcBorders>
              <w:top w:val="nil"/>
              <w:left w:val="nil"/>
              <w:bottom w:val="single" w:sz="4" w:space="0" w:color="auto"/>
              <w:right w:val="single" w:sz="4" w:space="0" w:color="auto"/>
            </w:tcBorders>
            <w:shd w:val="clear" w:color="auto" w:fill="auto"/>
          </w:tcPr>
          <w:p w:rsidR="00B94286" w:rsidRPr="00A54FDD" w:rsidRDefault="00C35A33" w:rsidP="00B94286">
            <w:pPr>
              <w:widowControl/>
              <w:tabs>
                <w:tab w:val="center" w:pos="4153"/>
                <w:tab w:val="right" w:pos="8306"/>
              </w:tabs>
              <w:snapToGrid w:val="0"/>
              <w:spacing w:line="300" w:lineRule="auto"/>
              <w:jc w:val="left"/>
              <w:rPr>
                <w:rFonts w:ascii="宋体" w:eastAsia="宋体" w:hAnsi="宋体" w:cs="宋体"/>
                <w:color w:val="000000" w:themeColor="text1"/>
                <w:kern w:val="0"/>
                <w:szCs w:val="21"/>
              </w:rPr>
            </w:pPr>
            <w:r w:rsidRPr="00A54FDD">
              <w:rPr>
                <w:rFonts w:ascii="宋体" w:eastAsia="宋体" w:hAnsi="宋体"/>
                <w:szCs w:val="21"/>
              </w:rPr>
              <w:t>001141</w:t>
            </w:r>
          </w:p>
        </w:tc>
      </w:tr>
      <w:tr w:rsidR="00B94286" w:rsidRPr="00E72AE5" w:rsidTr="00A54FDD">
        <w:trPr>
          <w:trHeight w:val="27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B94286" w:rsidRPr="00A54FDD" w:rsidRDefault="00C35A33" w:rsidP="00B94286">
            <w:pPr>
              <w:widowControl/>
              <w:spacing w:line="300" w:lineRule="auto"/>
              <w:jc w:val="center"/>
              <w:rPr>
                <w:rFonts w:ascii="宋体" w:eastAsia="宋体" w:hAnsi="宋体" w:cs="宋体"/>
                <w:color w:val="000000" w:themeColor="text1"/>
                <w:kern w:val="0"/>
                <w:szCs w:val="21"/>
              </w:rPr>
            </w:pPr>
            <w:r w:rsidRPr="00A54FDD">
              <w:rPr>
                <w:rFonts w:ascii="宋体" w:eastAsia="宋体" w:hAnsi="宋体" w:cs="宋体"/>
                <w:color w:val="000000" w:themeColor="text1"/>
                <w:kern w:val="0"/>
                <w:szCs w:val="21"/>
              </w:rPr>
              <w:t>16</w:t>
            </w:r>
          </w:p>
        </w:tc>
        <w:tc>
          <w:tcPr>
            <w:tcW w:w="5548" w:type="dxa"/>
            <w:tcBorders>
              <w:top w:val="nil"/>
              <w:left w:val="nil"/>
              <w:bottom w:val="single" w:sz="4" w:space="0" w:color="auto"/>
              <w:right w:val="single" w:sz="4" w:space="0" w:color="auto"/>
            </w:tcBorders>
            <w:shd w:val="clear" w:color="auto" w:fill="auto"/>
          </w:tcPr>
          <w:p w:rsidR="00B94286" w:rsidRPr="00A54FDD" w:rsidRDefault="00C35A33" w:rsidP="00B94286">
            <w:pPr>
              <w:widowControl/>
              <w:jc w:val="left"/>
              <w:rPr>
                <w:rFonts w:ascii="宋体" w:eastAsia="宋体" w:hAnsi="宋体" w:cs="宋体"/>
                <w:color w:val="000000" w:themeColor="text1"/>
                <w:kern w:val="0"/>
                <w:szCs w:val="21"/>
              </w:rPr>
            </w:pPr>
            <w:r w:rsidRPr="00A54FDD">
              <w:rPr>
                <w:rFonts w:ascii="宋体" w:eastAsia="宋体" w:hAnsi="宋体"/>
                <w:szCs w:val="21"/>
              </w:rPr>
              <w:t>泰达宏利创益灵活配置混合型证券投资基</w:t>
            </w:r>
            <w:bookmarkStart w:id="0" w:name="_GoBack"/>
            <w:bookmarkEnd w:id="0"/>
            <w:r w:rsidRPr="00A54FDD">
              <w:rPr>
                <w:rFonts w:ascii="宋体" w:eastAsia="宋体" w:hAnsi="宋体"/>
                <w:szCs w:val="21"/>
              </w:rPr>
              <w:t>金A类份额</w:t>
            </w:r>
          </w:p>
        </w:tc>
        <w:tc>
          <w:tcPr>
            <w:tcW w:w="1989" w:type="dxa"/>
            <w:tcBorders>
              <w:top w:val="nil"/>
              <w:left w:val="nil"/>
              <w:bottom w:val="single" w:sz="4" w:space="0" w:color="auto"/>
              <w:right w:val="single" w:sz="4" w:space="0" w:color="auto"/>
            </w:tcBorders>
            <w:shd w:val="clear" w:color="auto" w:fill="auto"/>
          </w:tcPr>
          <w:p w:rsidR="00B94286" w:rsidRPr="00A54FDD" w:rsidRDefault="00C35A33" w:rsidP="00B94286">
            <w:pPr>
              <w:widowControl/>
              <w:tabs>
                <w:tab w:val="center" w:pos="4153"/>
                <w:tab w:val="right" w:pos="8306"/>
              </w:tabs>
              <w:snapToGrid w:val="0"/>
              <w:spacing w:line="300" w:lineRule="auto"/>
              <w:jc w:val="left"/>
              <w:rPr>
                <w:rFonts w:ascii="宋体" w:eastAsia="宋体" w:hAnsi="宋体" w:cs="宋体"/>
                <w:color w:val="000000" w:themeColor="text1"/>
                <w:kern w:val="0"/>
                <w:szCs w:val="21"/>
              </w:rPr>
            </w:pPr>
            <w:r w:rsidRPr="00A54FDD">
              <w:rPr>
                <w:rFonts w:ascii="宋体" w:eastAsia="宋体" w:hAnsi="宋体"/>
                <w:szCs w:val="21"/>
              </w:rPr>
              <w:t>001418</w:t>
            </w:r>
          </w:p>
        </w:tc>
      </w:tr>
      <w:tr w:rsidR="00B94286" w:rsidRPr="00E72AE5" w:rsidTr="00A54FDD">
        <w:trPr>
          <w:trHeight w:val="27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B94286" w:rsidRPr="00A54FDD" w:rsidRDefault="00C35A33" w:rsidP="00B94286">
            <w:pPr>
              <w:widowControl/>
              <w:spacing w:line="300" w:lineRule="auto"/>
              <w:jc w:val="center"/>
              <w:rPr>
                <w:rFonts w:ascii="宋体" w:eastAsia="宋体" w:hAnsi="宋体" w:cs="宋体"/>
                <w:color w:val="000000" w:themeColor="text1"/>
                <w:kern w:val="0"/>
                <w:szCs w:val="21"/>
              </w:rPr>
            </w:pPr>
            <w:r w:rsidRPr="00A54FDD">
              <w:rPr>
                <w:rFonts w:ascii="宋体" w:eastAsia="宋体" w:hAnsi="宋体" w:cs="宋体"/>
                <w:color w:val="000000" w:themeColor="text1"/>
                <w:kern w:val="0"/>
                <w:szCs w:val="21"/>
              </w:rPr>
              <w:t>17</w:t>
            </w:r>
          </w:p>
        </w:tc>
        <w:tc>
          <w:tcPr>
            <w:tcW w:w="5548" w:type="dxa"/>
            <w:tcBorders>
              <w:top w:val="nil"/>
              <w:left w:val="nil"/>
              <w:bottom w:val="single" w:sz="4" w:space="0" w:color="auto"/>
              <w:right w:val="single" w:sz="4" w:space="0" w:color="auto"/>
            </w:tcBorders>
            <w:shd w:val="clear" w:color="auto" w:fill="auto"/>
          </w:tcPr>
          <w:p w:rsidR="00B94286" w:rsidRPr="00A54FDD" w:rsidRDefault="00C35A33" w:rsidP="00B94286">
            <w:pPr>
              <w:widowControl/>
              <w:jc w:val="left"/>
              <w:rPr>
                <w:rFonts w:ascii="宋体" w:eastAsia="宋体" w:hAnsi="宋体" w:cs="宋体"/>
                <w:color w:val="000000" w:themeColor="text1"/>
                <w:kern w:val="0"/>
                <w:szCs w:val="21"/>
              </w:rPr>
            </w:pPr>
            <w:r w:rsidRPr="00A54FDD">
              <w:rPr>
                <w:rFonts w:ascii="宋体" w:eastAsia="宋体" w:hAnsi="宋体"/>
                <w:szCs w:val="21"/>
              </w:rPr>
              <w:t>泰达宏利价值长青混合型证券投资基金A</w:t>
            </w:r>
            <w:r w:rsidRPr="00A54FDD">
              <w:rPr>
                <w:rFonts w:ascii="宋体" w:eastAsia="宋体" w:hAnsi="宋体" w:hint="eastAsia"/>
                <w:szCs w:val="21"/>
              </w:rPr>
              <w:t>类份额</w:t>
            </w:r>
          </w:p>
        </w:tc>
        <w:tc>
          <w:tcPr>
            <w:tcW w:w="1989" w:type="dxa"/>
            <w:tcBorders>
              <w:top w:val="nil"/>
              <w:left w:val="nil"/>
              <w:bottom w:val="single" w:sz="4" w:space="0" w:color="auto"/>
              <w:right w:val="single" w:sz="4" w:space="0" w:color="auto"/>
            </w:tcBorders>
            <w:shd w:val="clear" w:color="auto" w:fill="auto"/>
          </w:tcPr>
          <w:p w:rsidR="00B94286" w:rsidRPr="00A54FDD" w:rsidRDefault="00C35A33" w:rsidP="00B94286">
            <w:pPr>
              <w:widowControl/>
              <w:tabs>
                <w:tab w:val="center" w:pos="4153"/>
                <w:tab w:val="right" w:pos="8306"/>
              </w:tabs>
              <w:snapToGrid w:val="0"/>
              <w:spacing w:line="300" w:lineRule="auto"/>
              <w:jc w:val="left"/>
              <w:rPr>
                <w:rFonts w:ascii="宋体" w:eastAsia="宋体" w:hAnsi="宋体" w:cs="宋体"/>
                <w:color w:val="000000" w:themeColor="text1"/>
                <w:kern w:val="0"/>
                <w:szCs w:val="21"/>
              </w:rPr>
            </w:pPr>
            <w:r w:rsidRPr="00A54FDD">
              <w:rPr>
                <w:rFonts w:ascii="宋体" w:eastAsia="宋体" w:hAnsi="宋体"/>
                <w:szCs w:val="21"/>
              </w:rPr>
              <w:t>009141</w:t>
            </w:r>
          </w:p>
        </w:tc>
      </w:tr>
      <w:tr w:rsidR="00B94286" w:rsidRPr="00E72AE5" w:rsidTr="00A54FDD">
        <w:trPr>
          <w:trHeight w:val="27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B94286" w:rsidRPr="00A54FDD" w:rsidRDefault="00C35A33" w:rsidP="00B94286">
            <w:pPr>
              <w:widowControl/>
              <w:spacing w:line="300" w:lineRule="auto"/>
              <w:jc w:val="center"/>
              <w:rPr>
                <w:rFonts w:ascii="宋体" w:eastAsia="宋体" w:hAnsi="宋体" w:cs="宋体"/>
                <w:color w:val="000000" w:themeColor="text1"/>
                <w:kern w:val="0"/>
                <w:szCs w:val="21"/>
              </w:rPr>
            </w:pPr>
            <w:r w:rsidRPr="00A54FDD">
              <w:rPr>
                <w:rFonts w:ascii="宋体" w:eastAsia="宋体" w:hAnsi="宋体" w:cs="宋体"/>
                <w:color w:val="000000" w:themeColor="text1"/>
                <w:kern w:val="0"/>
                <w:szCs w:val="21"/>
              </w:rPr>
              <w:t>18</w:t>
            </w:r>
          </w:p>
        </w:tc>
        <w:tc>
          <w:tcPr>
            <w:tcW w:w="5548" w:type="dxa"/>
            <w:tcBorders>
              <w:top w:val="nil"/>
              <w:left w:val="nil"/>
              <w:bottom w:val="single" w:sz="4" w:space="0" w:color="auto"/>
              <w:right w:val="single" w:sz="4" w:space="0" w:color="auto"/>
            </w:tcBorders>
            <w:shd w:val="clear" w:color="auto" w:fill="auto"/>
          </w:tcPr>
          <w:p w:rsidR="00B94286" w:rsidRPr="00A54FDD" w:rsidRDefault="00C35A33" w:rsidP="00B94286">
            <w:pPr>
              <w:widowControl/>
              <w:jc w:val="left"/>
              <w:rPr>
                <w:rFonts w:ascii="宋体" w:eastAsia="宋体" w:hAnsi="宋体" w:cs="宋体"/>
                <w:color w:val="000000" w:themeColor="text1"/>
                <w:kern w:val="0"/>
                <w:szCs w:val="21"/>
              </w:rPr>
            </w:pPr>
            <w:r w:rsidRPr="00A54FDD">
              <w:rPr>
                <w:rFonts w:ascii="宋体" w:eastAsia="宋体" w:hAnsi="宋体"/>
                <w:szCs w:val="21"/>
              </w:rPr>
              <w:t>泰达宏利中证申万绩优策略指数增强型证券投资基金</w:t>
            </w:r>
            <w:r w:rsidR="0093514C">
              <w:rPr>
                <w:rFonts w:ascii="宋体" w:eastAsia="宋体" w:hAnsi="宋体" w:hint="eastAsia"/>
                <w:szCs w:val="21"/>
              </w:rPr>
              <w:t>A类份额</w:t>
            </w:r>
          </w:p>
        </w:tc>
        <w:tc>
          <w:tcPr>
            <w:tcW w:w="1989" w:type="dxa"/>
            <w:tcBorders>
              <w:top w:val="nil"/>
              <w:left w:val="nil"/>
              <w:bottom w:val="single" w:sz="4" w:space="0" w:color="auto"/>
              <w:right w:val="single" w:sz="4" w:space="0" w:color="auto"/>
            </w:tcBorders>
            <w:shd w:val="clear" w:color="auto" w:fill="auto"/>
          </w:tcPr>
          <w:p w:rsidR="00B94286" w:rsidRPr="00A54FDD" w:rsidRDefault="00C35A33" w:rsidP="00B94286">
            <w:pPr>
              <w:widowControl/>
              <w:tabs>
                <w:tab w:val="center" w:pos="4153"/>
                <w:tab w:val="right" w:pos="8306"/>
              </w:tabs>
              <w:snapToGrid w:val="0"/>
              <w:spacing w:line="300" w:lineRule="auto"/>
              <w:jc w:val="left"/>
              <w:rPr>
                <w:rFonts w:ascii="宋体" w:eastAsia="宋体" w:hAnsi="宋体" w:cs="宋体"/>
                <w:color w:val="000000" w:themeColor="text1"/>
                <w:kern w:val="0"/>
                <w:szCs w:val="21"/>
              </w:rPr>
            </w:pPr>
            <w:r w:rsidRPr="00A54FDD">
              <w:rPr>
                <w:rFonts w:ascii="宋体" w:eastAsia="宋体" w:hAnsi="宋体"/>
                <w:szCs w:val="21"/>
              </w:rPr>
              <w:t>009194</w:t>
            </w:r>
          </w:p>
        </w:tc>
      </w:tr>
      <w:tr w:rsidR="00B94286" w:rsidRPr="00E72AE5" w:rsidTr="00A54FDD">
        <w:trPr>
          <w:trHeight w:val="27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B94286" w:rsidRPr="00A54FDD" w:rsidRDefault="00C35A33" w:rsidP="00B94286">
            <w:pPr>
              <w:widowControl/>
              <w:spacing w:line="300" w:lineRule="auto"/>
              <w:jc w:val="center"/>
              <w:rPr>
                <w:rFonts w:ascii="宋体" w:eastAsia="宋体" w:hAnsi="宋体" w:cs="宋体"/>
                <w:color w:val="000000" w:themeColor="text1"/>
                <w:kern w:val="0"/>
                <w:szCs w:val="21"/>
              </w:rPr>
            </w:pPr>
            <w:r w:rsidRPr="00A54FDD">
              <w:rPr>
                <w:rFonts w:ascii="宋体" w:eastAsia="宋体" w:hAnsi="宋体" w:cs="宋体"/>
                <w:color w:val="000000" w:themeColor="text1"/>
                <w:kern w:val="0"/>
                <w:szCs w:val="21"/>
              </w:rPr>
              <w:t>19</w:t>
            </w:r>
          </w:p>
        </w:tc>
        <w:tc>
          <w:tcPr>
            <w:tcW w:w="5548" w:type="dxa"/>
            <w:tcBorders>
              <w:top w:val="nil"/>
              <w:left w:val="nil"/>
              <w:bottom w:val="single" w:sz="4" w:space="0" w:color="auto"/>
              <w:right w:val="single" w:sz="4" w:space="0" w:color="auto"/>
            </w:tcBorders>
            <w:shd w:val="clear" w:color="auto" w:fill="auto"/>
          </w:tcPr>
          <w:p w:rsidR="00B94286" w:rsidRPr="00A54FDD" w:rsidRDefault="00C35A33" w:rsidP="00B94286">
            <w:pPr>
              <w:widowControl/>
              <w:jc w:val="left"/>
              <w:rPr>
                <w:rFonts w:ascii="宋体" w:eastAsia="宋体" w:hAnsi="宋体" w:cs="宋体"/>
                <w:color w:val="000000" w:themeColor="text1"/>
                <w:kern w:val="0"/>
                <w:szCs w:val="21"/>
              </w:rPr>
            </w:pPr>
            <w:r w:rsidRPr="00A54FDD">
              <w:rPr>
                <w:rFonts w:ascii="宋体" w:eastAsia="宋体" w:hAnsi="宋体"/>
                <w:szCs w:val="21"/>
              </w:rPr>
              <w:t>泰达宏利波控回报12个月持有期混合型证券投资基金</w:t>
            </w:r>
          </w:p>
        </w:tc>
        <w:tc>
          <w:tcPr>
            <w:tcW w:w="1989" w:type="dxa"/>
            <w:tcBorders>
              <w:top w:val="nil"/>
              <w:left w:val="nil"/>
              <w:bottom w:val="single" w:sz="4" w:space="0" w:color="auto"/>
              <w:right w:val="single" w:sz="4" w:space="0" w:color="auto"/>
            </w:tcBorders>
            <w:shd w:val="clear" w:color="auto" w:fill="auto"/>
          </w:tcPr>
          <w:p w:rsidR="00B94286" w:rsidRPr="00A54FDD" w:rsidRDefault="00C35A33" w:rsidP="00B94286">
            <w:pPr>
              <w:widowControl/>
              <w:tabs>
                <w:tab w:val="center" w:pos="4153"/>
                <w:tab w:val="right" w:pos="8306"/>
              </w:tabs>
              <w:snapToGrid w:val="0"/>
              <w:spacing w:line="300" w:lineRule="auto"/>
              <w:jc w:val="left"/>
              <w:rPr>
                <w:rFonts w:ascii="宋体" w:eastAsia="宋体" w:hAnsi="宋体" w:cs="宋体"/>
                <w:color w:val="000000" w:themeColor="text1"/>
                <w:kern w:val="0"/>
                <w:szCs w:val="21"/>
              </w:rPr>
            </w:pPr>
            <w:r w:rsidRPr="00A54FDD">
              <w:rPr>
                <w:rFonts w:ascii="宋体" w:eastAsia="宋体" w:hAnsi="宋体"/>
                <w:szCs w:val="21"/>
              </w:rPr>
              <w:t>010845</w:t>
            </w:r>
          </w:p>
        </w:tc>
      </w:tr>
      <w:tr w:rsidR="00B94286" w:rsidRPr="00E72AE5" w:rsidTr="00A54FDD">
        <w:trPr>
          <w:trHeight w:val="27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B94286" w:rsidRPr="00A54FDD" w:rsidRDefault="00C35A33" w:rsidP="00B94286">
            <w:pPr>
              <w:widowControl/>
              <w:spacing w:line="300" w:lineRule="auto"/>
              <w:jc w:val="center"/>
              <w:rPr>
                <w:rFonts w:ascii="宋体" w:eastAsia="宋体" w:hAnsi="宋体" w:cs="宋体"/>
                <w:color w:val="000000" w:themeColor="text1"/>
                <w:kern w:val="0"/>
                <w:szCs w:val="21"/>
              </w:rPr>
            </w:pPr>
            <w:r w:rsidRPr="00A54FDD">
              <w:rPr>
                <w:rFonts w:ascii="宋体" w:eastAsia="宋体" w:hAnsi="宋体" w:cs="宋体"/>
                <w:color w:val="000000" w:themeColor="text1"/>
                <w:kern w:val="0"/>
                <w:szCs w:val="21"/>
              </w:rPr>
              <w:t>20</w:t>
            </w:r>
          </w:p>
        </w:tc>
        <w:tc>
          <w:tcPr>
            <w:tcW w:w="5548" w:type="dxa"/>
            <w:tcBorders>
              <w:top w:val="nil"/>
              <w:left w:val="nil"/>
              <w:bottom w:val="single" w:sz="4" w:space="0" w:color="auto"/>
              <w:right w:val="single" w:sz="4" w:space="0" w:color="auto"/>
            </w:tcBorders>
            <w:shd w:val="clear" w:color="auto" w:fill="auto"/>
          </w:tcPr>
          <w:p w:rsidR="00B94286" w:rsidRPr="00A54FDD" w:rsidRDefault="00C35A33" w:rsidP="00B94286">
            <w:pPr>
              <w:widowControl/>
              <w:jc w:val="left"/>
              <w:rPr>
                <w:rFonts w:ascii="宋体" w:eastAsia="宋体" w:hAnsi="宋体" w:cs="宋体"/>
                <w:color w:val="000000" w:themeColor="text1"/>
                <w:kern w:val="0"/>
                <w:szCs w:val="21"/>
              </w:rPr>
            </w:pPr>
            <w:r w:rsidRPr="00A54FDD">
              <w:rPr>
                <w:rFonts w:ascii="宋体" w:eastAsia="宋体" w:hAnsi="宋体"/>
                <w:szCs w:val="21"/>
              </w:rPr>
              <w:t>泰达宏利新能源股票型证券投资基金A</w:t>
            </w:r>
            <w:r w:rsidRPr="00A54FDD">
              <w:rPr>
                <w:rFonts w:ascii="宋体" w:eastAsia="宋体" w:hAnsi="宋体" w:hint="eastAsia"/>
                <w:szCs w:val="21"/>
              </w:rPr>
              <w:t>类份额</w:t>
            </w:r>
          </w:p>
        </w:tc>
        <w:tc>
          <w:tcPr>
            <w:tcW w:w="1989" w:type="dxa"/>
            <w:tcBorders>
              <w:top w:val="nil"/>
              <w:left w:val="nil"/>
              <w:bottom w:val="single" w:sz="4" w:space="0" w:color="auto"/>
              <w:right w:val="single" w:sz="4" w:space="0" w:color="auto"/>
            </w:tcBorders>
            <w:shd w:val="clear" w:color="auto" w:fill="auto"/>
          </w:tcPr>
          <w:p w:rsidR="00B94286" w:rsidRPr="00A54FDD" w:rsidRDefault="00C35A33" w:rsidP="00B94286">
            <w:pPr>
              <w:widowControl/>
              <w:tabs>
                <w:tab w:val="center" w:pos="4153"/>
                <w:tab w:val="right" w:pos="8306"/>
              </w:tabs>
              <w:snapToGrid w:val="0"/>
              <w:spacing w:line="300" w:lineRule="auto"/>
              <w:jc w:val="left"/>
              <w:rPr>
                <w:rFonts w:ascii="宋体" w:eastAsia="宋体" w:hAnsi="宋体" w:cs="宋体"/>
                <w:color w:val="000000" w:themeColor="text1"/>
                <w:kern w:val="0"/>
                <w:szCs w:val="21"/>
              </w:rPr>
            </w:pPr>
            <w:r w:rsidRPr="00A54FDD">
              <w:rPr>
                <w:rFonts w:ascii="宋体" w:eastAsia="宋体" w:hAnsi="宋体"/>
                <w:szCs w:val="21"/>
              </w:rPr>
              <w:t>012126</w:t>
            </w:r>
          </w:p>
        </w:tc>
      </w:tr>
      <w:tr w:rsidR="00B94286" w:rsidRPr="00E72AE5" w:rsidTr="00A54FDD">
        <w:trPr>
          <w:trHeight w:val="27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B94286" w:rsidRPr="00A54FDD" w:rsidRDefault="00C35A33" w:rsidP="00B94286">
            <w:pPr>
              <w:widowControl/>
              <w:spacing w:line="300" w:lineRule="auto"/>
              <w:jc w:val="center"/>
              <w:rPr>
                <w:rFonts w:ascii="宋体" w:eastAsia="宋体" w:hAnsi="宋体" w:cs="宋体"/>
                <w:color w:val="000000" w:themeColor="text1"/>
                <w:kern w:val="0"/>
                <w:szCs w:val="21"/>
              </w:rPr>
            </w:pPr>
            <w:r w:rsidRPr="00A54FDD">
              <w:rPr>
                <w:rFonts w:ascii="宋体" w:eastAsia="宋体" w:hAnsi="宋体" w:cs="宋体"/>
                <w:color w:val="000000" w:themeColor="text1"/>
                <w:kern w:val="0"/>
                <w:szCs w:val="21"/>
              </w:rPr>
              <w:t>21</w:t>
            </w:r>
          </w:p>
        </w:tc>
        <w:tc>
          <w:tcPr>
            <w:tcW w:w="5548" w:type="dxa"/>
            <w:tcBorders>
              <w:top w:val="nil"/>
              <w:left w:val="nil"/>
              <w:bottom w:val="single" w:sz="4" w:space="0" w:color="auto"/>
              <w:right w:val="single" w:sz="4" w:space="0" w:color="auto"/>
            </w:tcBorders>
            <w:shd w:val="clear" w:color="auto" w:fill="auto"/>
          </w:tcPr>
          <w:p w:rsidR="00B94286" w:rsidRPr="00A54FDD" w:rsidRDefault="00C35A33" w:rsidP="00B94286">
            <w:pPr>
              <w:widowControl/>
              <w:jc w:val="left"/>
              <w:rPr>
                <w:rFonts w:ascii="宋体" w:eastAsia="宋体" w:hAnsi="宋体" w:cs="宋体"/>
                <w:color w:val="000000" w:themeColor="text1"/>
                <w:kern w:val="0"/>
                <w:szCs w:val="21"/>
              </w:rPr>
            </w:pPr>
            <w:r w:rsidRPr="00A54FDD">
              <w:rPr>
                <w:rFonts w:ascii="宋体" w:eastAsia="宋体" w:hAnsi="宋体"/>
                <w:szCs w:val="21"/>
              </w:rPr>
              <w:t>泰达宏利高研发创新6个月持有期混合型证券投资基金A类份额</w:t>
            </w:r>
          </w:p>
        </w:tc>
        <w:tc>
          <w:tcPr>
            <w:tcW w:w="1989" w:type="dxa"/>
            <w:tcBorders>
              <w:top w:val="nil"/>
              <w:left w:val="nil"/>
              <w:bottom w:val="single" w:sz="4" w:space="0" w:color="auto"/>
              <w:right w:val="single" w:sz="4" w:space="0" w:color="auto"/>
            </w:tcBorders>
            <w:shd w:val="clear" w:color="auto" w:fill="auto"/>
          </w:tcPr>
          <w:p w:rsidR="00B94286" w:rsidRPr="00A54FDD" w:rsidRDefault="00C35A33" w:rsidP="00B94286">
            <w:pPr>
              <w:widowControl/>
              <w:tabs>
                <w:tab w:val="center" w:pos="4153"/>
                <w:tab w:val="right" w:pos="8306"/>
              </w:tabs>
              <w:snapToGrid w:val="0"/>
              <w:spacing w:line="300" w:lineRule="auto"/>
              <w:jc w:val="left"/>
              <w:rPr>
                <w:rFonts w:ascii="宋体" w:eastAsia="宋体" w:hAnsi="宋体" w:cs="宋体"/>
                <w:color w:val="000000" w:themeColor="text1"/>
                <w:kern w:val="0"/>
                <w:szCs w:val="21"/>
              </w:rPr>
            </w:pPr>
            <w:r w:rsidRPr="00A54FDD">
              <w:rPr>
                <w:rFonts w:ascii="宋体" w:eastAsia="宋体" w:hAnsi="宋体"/>
                <w:szCs w:val="21"/>
              </w:rPr>
              <w:t>010135</w:t>
            </w:r>
          </w:p>
        </w:tc>
      </w:tr>
      <w:tr w:rsidR="00B94286" w:rsidRPr="00E72AE5" w:rsidTr="00A54FDD">
        <w:trPr>
          <w:trHeight w:val="315"/>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B94286" w:rsidRPr="00A54FDD" w:rsidRDefault="00C35A33" w:rsidP="00B94286">
            <w:pPr>
              <w:widowControl/>
              <w:spacing w:line="300" w:lineRule="auto"/>
              <w:jc w:val="center"/>
              <w:rPr>
                <w:rFonts w:ascii="宋体" w:eastAsia="宋体" w:hAnsi="宋体" w:cs="宋体"/>
                <w:color w:val="000000" w:themeColor="text1"/>
                <w:kern w:val="0"/>
                <w:szCs w:val="21"/>
              </w:rPr>
            </w:pPr>
            <w:r w:rsidRPr="00A54FDD">
              <w:rPr>
                <w:rFonts w:ascii="宋体" w:eastAsia="宋体" w:hAnsi="宋体" w:cs="宋体"/>
                <w:color w:val="000000" w:themeColor="text1"/>
                <w:kern w:val="0"/>
                <w:szCs w:val="21"/>
              </w:rPr>
              <w:t>22</w:t>
            </w:r>
          </w:p>
        </w:tc>
        <w:tc>
          <w:tcPr>
            <w:tcW w:w="5548" w:type="dxa"/>
            <w:tcBorders>
              <w:top w:val="nil"/>
              <w:left w:val="nil"/>
              <w:bottom w:val="single" w:sz="4" w:space="0" w:color="auto"/>
              <w:right w:val="single" w:sz="4" w:space="0" w:color="auto"/>
            </w:tcBorders>
            <w:shd w:val="clear" w:color="auto" w:fill="auto"/>
            <w:vAlign w:val="center"/>
          </w:tcPr>
          <w:p w:rsidR="00B94286" w:rsidRPr="00A54FDD" w:rsidRDefault="00C35A33" w:rsidP="00B94286">
            <w:pPr>
              <w:widowControl/>
              <w:jc w:val="left"/>
              <w:rPr>
                <w:rFonts w:ascii="宋体" w:eastAsia="宋体" w:hAnsi="宋体" w:cs="宋体"/>
                <w:color w:val="000000" w:themeColor="text1"/>
                <w:kern w:val="0"/>
                <w:szCs w:val="21"/>
              </w:rPr>
            </w:pPr>
            <w:r w:rsidRPr="00A54FDD">
              <w:rPr>
                <w:rFonts w:ascii="宋体" w:eastAsia="宋体" w:hAnsi="宋体"/>
                <w:szCs w:val="21"/>
              </w:rPr>
              <w:t>泰达宏利泰和稳健养老目标一年持有期混合型基金中基金（FOF）</w:t>
            </w:r>
          </w:p>
        </w:tc>
        <w:tc>
          <w:tcPr>
            <w:tcW w:w="1989" w:type="dxa"/>
            <w:tcBorders>
              <w:top w:val="nil"/>
              <w:left w:val="nil"/>
              <w:bottom w:val="single" w:sz="4" w:space="0" w:color="auto"/>
              <w:right w:val="single" w:sz="4" w:space="0" w:color="auto"/>
            </w:tcBorders>
            <w:shd w:val="clear" w:color="auto" w:fill="auto"/>
            <w:vAlign w:val="center"/>
          </w:tcPr>
          <w:p w:rsidR="00B94286" w:rsidRPr="00A54FDD" w:rsidRDefault="00C35A33" w:rsidP="00B94286">
            <w:pPr>
              <w:widowControl/>
              <w:tabs>
                <w:tab w:val="center" w:pos="4153"/>
                <w:tab w:val="right" w:pos="8306"/>
              </w:tabs>
              <w:snapToGrid w:val="0"/>
              <w:spacing w:line="300" w:lineRule="auto"/>
              <w:jc w:val="left"/>
              <w:rPr>
                <w:rFonts w:ascii="宋体" w:eastAsia="宋体" w:hAnsi="宋体" w:cs="宋体"/>
                <w:color w:val="000000" w:themeColor="text1"/>
                <w:kern w:val="0"/>
                <w:szCs w:val="21"/>
              </w:rPr>
            </w:pPr>
            <w:r w:rsidRPr="00A54FDD">
              <w:rPr>
                <w:rFonts w:ascii="宋体" w:eastAsia="宋体" w:hAnsi="宋体"/>
                <w:szCs w:val="21"/>
              </w:rPr>
              <w:t>009355</w:t>
            </w:r>
          </w:p>
        </w:tc>
      </w:tr>
      <w:tr w:rsidR="00B94286" w:rsidRPr="00E72AE5" w:rsidTr="00E72AE5">
        <w:trPr>
          <w:trHeight w:val="27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B94286" w:rsidRPr="00A54FDD" w:rsidRDefault="00C35A33" w:rsidP="00B94286">
            <w:pPr>
              <w:widowControl/>
              <w:spacing w:line="300" w:lineRule="auto"/>
              <w:jc w:val="center"/>
              <w:rPr>
                <w:rFonts w:ascii="宋体" w:eastAsia="宋体" w:hAnsi="宋体" w:cs="宋体"/>
                <w:color w:val="000000" w:themeColor="text1"/>
                <w:kern w:val="0"/>
                <w:szCs w:val="21"/>
              </w:rPr>
            </w:pPr>
            <w:r w:rsidRPr="00A54FDD">
              <w:rPr>
                <w:rFonts w:ascii="宋体" w:eastAsia="宋体" w:hAnsi="宋体" w:cs="宋体"/>
                <w:color w:val="000000" w:themeColor="text1"/>
                <w:kern w:val="0"/>
                <w:szCs w:val="21"/>
              </w:rPr>
              <w:lastRenderedPageBreak/>
              <w:t>23</w:t>
            </w:r>
          </w:p>
        </w:tc>
        <w:tc>
          <w:tcPr>
            <w:tcW w:w="5548" w:type="dxa"/>
            <w:tcBorders>
              <w:top w:val="nil"/>
              <w:left w:val="nil"/>
              <w:bottom w:val="single" w:sz="4" w:space="0" w:color="auto"/>
              <w:right w:val="single" w:sz="4" w:space="0" w:color="auto"/>
            </w:tcBorders>
            <w:shd w:val="clear" w:color="auto" w:fill="auto"/>
            <w:vAlign w:val="center"/>
          </w:tcPr>
          <w:p w:rsidR="00B94286" w:rsidRPr="00A54FDD" w:rsidRDefault="00C35A33" w:rsidP="00B94286">
            <w:pPr>
              <w:widowControl/>
              <w:jc w:val="left"/>
              <w:rPr>
                <w:rFonts w:ascii="宋体" w:eastAsia="宋体" w:hAnsi="宋体" w:cs="宋体"/>
                <w:color w:val="000000" w:themeColor="text1"/>
                <w:kern w:val="0"/>
                <w:szCs w:val="21"/>
              </w:rPr>
            </w:pPr>
            <w:r w:rsidRPr="00A54FDD">
              <w:rPr>
                <w:rFonts w:ascii="宋体" w:eastAsia="宋体" w:hAnsi="宋体"/>
                <w:szCs w:val="21"/>
              </w:rPr>
              <w:t>泰达宏利泰和平衡养老目标三年持有期混合型基金中基金（FOF）</w:t>
            </w:r>
          </w:p>
        </w:tc>
        <w:tc>
          <w:tcPr>
            <w:tcW w:w="1989" w:type="dxa"/>
            <w:tcBorders>
              <w:top w:val="nil"/>
              <w:left w:val="nil"/>
              <w:bottom w:val="single" w:sz="4" w:space="0" w:color="auto"/>
              <w:right w:val="single" w:sz="4" w:space="0" w:color="auto"/>
            </w:tcBorders>
            <w:shd w:val="clear" w:color="auto" w:fill="auto"/>
            <w:vAlign w:val="center"/>
          </w:tcPr>
          <w:p w:rsidR="00B94286" w:rsidRPr="00A54FDD" w:rsidRDefault="00C35A33" w:rsidP="00B94286">
            <w:pPr>
              <w:widowControl/>
              <w:tabs>
                <w:tab w:val="center" w:pos="4153"/>
                <w:tab w:val="right" w:pos="8306"/>
              </w:tabs>
              <w:snapToGrid w:val="0"/>
              <w:spacing w:line="300" w:lineRule="auto"/>
              <w:jc w:val="left"/>
              <w:rPr>
                <w:rFonts w:ascii="宋体" w:eastAsia="宋体" w:hAnsi="宋体" w:cs="宋体"/>
                <w:color w:val="000000" w:themeColor="text1"/>
                <w:kern w:val="0"/>
                <w:szCs w:val="21"/>
              </w:rPr>
            </w:pPr>
            <w:r w:rsidRPr="00A54FDD">
              <w:rPr>
                <w:rFonts w:ascii="宋体" w:eastAsia="宋体" w:hAnsi="宋体"/>
                <w:szCs w:val="21"/>
              </w:rPr>
              <w:t>006306</w:t>
            </w:r>
          </w:p>
        </w:tc>
      </w:tr>
      <w:tr w:rsidR="00B94286" w:rsidRPr="00E72AE5" w:rsidTr="00A54FDD">
        <w:trPr>
          <w:trHeight w:val="270"/>
          <w:jc w:val="center"/>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4286" w:rsidRPr="00A54FDD" w:rsidRDefault="00C35A33" w:rsidP="00B94286">
            <w:pPr>
              <w:widowControl/>
              <w:spacing w:line="300" w:lineRule="auto"/>
              <w:jc w:val="center"/>
              <w:rPr>
                <w:rFonts w:ascii="宋体" w:eastAsia="宋体" w:hAnsi="宋体" w:cs="宋体"/>
                <w:color w:val="000000" w:themeColor="text1"/>
                <w:kern w:val="0"/>
                <w:szCs w:val="21"/>
              </w:rPr>
            </w:pPr>
            <w:r w:rsidRPr="00A54FDD">
              <w:rPr>
                <w:rFonts w:ascii="宋体" w:eastAsia="宋体" w:hAnsi="宋体" w:cs="宋体"/>
                <w:color w:val="000000" w:themeColor="text1"/>
                <w:kern w:val="0"/>
                <w:szCs w:val="21"/>
              </w:rPr>
              <w:t>24</w:t>
            </w:r>
          </w:p>
        </w:tc>
        <w:tc>
          <w:tcPr>
            <w:tcW w:w="5548" w:type="dxa"/>
            <w:tcBorders>
              <w:top w:val="single" w:sz="4" w:space="0" w:color="auto"/>
              <w:left w:val="nil"/>
              <w:bottom w:val="single" w:sz="4" w:space="0" w:color="auto"/>
              <w:right w:val="single" w:sz="4" w:space="0" w:color="auto"/>
            </w:tcBorders>
            <w:shd w:val="clear" w:color="auto" w:fill="auto"/>
          </w:tcPr>
          <w:p w:rsidR="00B94286" w:rsidRPr="00A54FDD" w:rsidRDefault="00C35A33" w:rsidP="00B94286">
            <w:pPr>
              <w:widowControl/>
              <w:jc w:val="left"/>
              <w:rPr>
                <w:rFonts w:ascii="宋体" w:eastAsia="宋体" w:hAnsi="宋体" w:cs="宋体"/>
                <w:color w:val="000000" w:themeColor="text1"/>
                <w:kern w:val="0"/>
                <w:szCs w:val="21"/>
              </w:rPr>
            </w:pPr>
            <w:r w:rsidRPr="00A54FDD">
              <w:rPr>
                <w:rFonts w:ascii="宋体" w:eastAsia="宋体" w:hAnsi="宋体"/>
                <w:szCs w:val="21"/>
              </w:rPr>
              <w:t>泰达宏利鑫利半年定期开放债券型证券投资基金A</w:t>
            </w:r>
            <w:r w:rsidRPr="00A54FDD">
              <w:rPr>
                <w:rFonts w:ascii="宋体" w:eastAsia="宋体" w:hAnsi="宋体" w:hint="eastAsia"/>
                <w:szCs w:val="21"/>
              </w:rPr>
              <w:t>类份额</w:t>
            </w:r>
          </w:p>
        </w:tc>
        <w:tc>
          <w:tcPr>
            <w:tcW w:w="1989" w:type="dxa"/>
            <w:tcBorders>
              <w:top w:val="single" w:sz="4" w:space="0" w:color="auto"/>
              <w:left w:val="nil"/>
              <w:bottom w:val="single" w:sz="4" w:space="0" w:color="auto"/>
              <w:right w:val="single" w:sz="4" w:space="0" w:color="auto"/>
            </w:tcBorders>
            <w:shd w:val="clear" w:color="auto" w:fill="auto"/>
          </w:tcPr>
          <w:p w:rsidR="00B94286" w:rsidRPr="00A54FDD" w:rsidRDefault="00C35A33" w:rsidP="00B94286">
            <w:pPr>
              <w:widowControl/>
              <w:tabs>
                <w:tab w:val="center" w:pos="4153"/>
                <w:tab w:val="right" w:pos="8306"/>
              </w:tabs>
              <w:snapToGrid w:val="0"/>
              <w:spacing w:line="300" w:lineRule="auto"/>
              <w:jc w:val="left"/>
              <w:rPr>
                <w:rFonts w:ascii="宋体" w:eastAsia="宋体" w:hAnsi="宋体" w:cs="宋体"/>
                <w:color w:val="000000" w:themeColor="text1"/>
                <w:kern w:val="0"/>
                <w:szCs w:val="21"/>
              </w:rPr>
            </w:pPr>
            <w:r w:rsidRPr="00A54FDD">
              <w:rPr>
                <w:rFonts w:ascii="宋体" w:eastAsia="宋体" w:hAnsi="宋体"/>
                <w:szCs w:val="21"/>
              </w:rPr>
              <w:t>007641</w:t>
            </w:r>
          </w:p>
        </w:tc>
      </w:tr>
      <w:tr w:rsidR="00A54FDD" w:rsidRPr="00E72AE5" w:rsidTr="00A54FDD">
        <w:trPr>
          <w:trHeight w:val="270"/>
          <w:jc w:val="center"/>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FDD" w:rsidRPr="00A54FDD" w:rsidRDefault="00A54FDD" w:rsidP="00B94286">
            <w:pPr>
              <w:widowControl/>
              <w:spacing w:line="300" w:lineRule="auto"/>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w:t>
            </w:r>
            <w:r>
              <w:rPr>
                <w:rFonts w:ascii="宋体" w:eastAsia="宋体" w:hAnsi="宋体" w:cs="宋体"/>
                <w:color w:val="000000" w:themeColor="text1"/>
                <w:kern w:val="0"/>
                <w:szCs w:val="21"/>
              </w:rPr>
              <w:t>5</w:t>
            </w:r>
          </w:p>
        </w:tc>
        <w:tc>
          <w:tcPr>
            <w:tcW w:w="5548" w:type="dxa"/>
            <w:tcBorders>
              <w:top w:val="single" w:sz="4" w:space="0" w:color="auto"/>
              <w:left w:val="nil"/>
              <w:bottom w:val="single" w:sz="4" w:space="0" w:color="auto"/>
              <w:right w:val="single" w:sz="4" w:space="0" w:color="auto"/>
            </w:tcBorders>
            <w:shd w:val="clear" w:color="auto" w:fill="auto"/>
          </w:tcPr>
          <w:p w:rsidR="00A54FDD" w:rsidRPr="00A54FDD" w:rsidRDefault="00A54FDD" w:rsidP="00B94286">
            <w:pPr>
              <w:widowControl/>
              <w:jc w:val="left"/>
              <w:rPr>
                <w:rFonts w:ascii="宋体" w:eastAsia="宋体" w:hAnsi="宋体"/>
                <w:szCs w:val="21"/>
              </w:rPr>
            </w:pPr>
            <w:r>
              <w:rPr>
                <w:rFonts w:ascii="宋体" w:eastAsia="宋体" w:hAnsi="宋体" w:hint="eastAsia"/>
                <w:szCs w:val="21"/>
              </w:rPr>
              <w:t>泰达宏利转型机遇股票型证券投资基金A类份额</w:t>
            </w:r>
          </w:p>
        </w:tc>
        <w:tc>
          <w:tcPr>
            <w:tcW w:w="1989" w:type="dxa"/>
            <w:tcBorders>
              <w:top w:val="single" w:sz="4" w:space="0" w:color="auto"/>
              <w:left w:val="nil"/>
              <w:bottom w:val="single" w:sz="4" w:space="0" w:color="auto"/>
              <w:right w:val="single" w:sz="4" w:space="0" w:color="auto"/>
            </w:tcBorders>
            <w:shd w:val="clear" w:color="auto" w:fill="auto"/>
          </w:tcPr>
          <w:p w:rsidR="00A54FDD" w:rsidRPr="00A54FDD" w:rsidRDefault="00A54FDD" w:rsidP="00B94286">
            <w:pPr>
              <w:widowControl/>
              <w:tabs>
                <w:tab w:val="center" w:pos="4153"/>
                <w:tab w:val="right" w:pos="8306"/>
              </w:tabs>
              <w:snapToGrid w:val="0"/>
              <w:spacing w:line="300" w:lineRule="auto"/>
              <w:jc w:val="left"/>
              <w:rPr>
                <w:rFonts w:ascii="宋体" w:eastAsia="宋体" w:hAnsi="宋体"/>
                <w:szCs w:val="21"/>
              </w:rPr>
            </w:pPr>
            <w:r>
              <w:rPr>
                <w:rFonts w:ascii="宋体" w:eastAsia="宋体" w:hAnsi="宋体" w:hint="eastAsia"/>
                <w:szCs w:val="21"/>
              </w:rPr>
              <w:t>0</w:t>
            </w:r>
            <w:r>
              <w:rPr>
                <w:rFonts w:ascii="宋体" w:eastAsia="宋体" w:hAnsi="宋体"/>
                <w:szCs w:val="21"/>
              </w:rPr>
              <w:t>00828</w:t>
            </w:r>
          </w:p>
        </w:tc>
      </w:tr>
    </w:tbl>
    <w:p w:rsidR="0078756E" w:rsidRPr="008A01CD" w:rsidRDefault="0078756E" w:rsidP="008A01CD">
      <w:pPr>
        <w:autoSpaceDE w:val="0"/>
        <w:autoSpaceDN w:val="0"/>
        <w:adjustRightInd w:val="0"/>
        <w:spacing w:before="100" w:beforeAutospacing="1" w:line="360" w:lineRule="auto"/>
        <w:rPr>
          <w:rFonts w:ascii="宋体" w:eastAsia="宋体" w:hAnsi="宋体" w:cs="宋体"/>
          <w:color w:val="000000"/>
          <w:kern w:val="0"/>
          <w:sz w:val="24"/>
          <w:szCs w:val="24"/>
        </w:rPr>
      </w:pPr>
    </w:p>
    <w:p w:rsidR="006F10B2" w:rsidRDefault="006F10B2" w:rsidP="0066331C">
      <w:pPr>
        <w:pStyle w:val="Default"/>
        <w:spacing w:line="460" w:lineRule="exact"/>
        <w:ind w:firstLineChars="200" w:firstLine="480"/>
        <w:jc w:val="both"/>
        <w:rPr>
          <w:rFonts w:ascii="宋体" w:eastAsia="宋体" w:hAnsi="宋体" w:cs="宋体"/>
        </w:rPr>
      </w:pPr>
      <w:r>
        <w:rPr>
          <w:rFonts w:ascii="宋体" w:eastAsia="宋体" w:hAnsi="宋体" w:cs="宋体" w:hint="eastAsia"/>
        </w:rPr>
        <w:t>二、费率优惠活动时间：</w:t>
      </w:r>
    </w:p>
    <w:p w:rsidR="006F10B2" w:rsidRDefault="00537AB5" w:rsidP="0066331C">
      <w:pPr>
        <w:pStyle w:val="Default"/>
        <w:spacing w:line="460" w:lineRule="exact"/>
        <w:ind w:firstLineChars="200" w:firstLine="480"/>
        <w:jc w:val="both"/>
        <w:rPr>
          <w:rFonts w:ascii="宋体" w:eastAsia="宋体" w:hAnsi="宋体" w:cs="宋体"/>
        </w:rPr>
      </w:pPr>
      <w:r>
        <w:rPr>
          <w:rFonts w:ascii="宋体" w:eastAsia="宋体" w:hAnsi="宋体" w:cs="宋体" w:hint="eastAsia"/>
        </w:rPr>
        <w:t>费率优惠活动自</w:t>
      </w:r>
      <w:r w:rsidR="004609F2">
        <w:rPr>
          <w:rFonts w:ascii="宋体" w:eastAsia="宋体" w:hAnsi="宋体" w:cs="宋体" w:hint="eastAsia"/>
        </w:rPr>
        <w:t>2</w:t>
      </w:r>
      <w:r w:rsidR="004609F2">
        <w:rPr>
          <w:rFonts w:ascii="宋体" w:eastAsia="宋体" w:hAnsi="宋体" w:cs="宋体"/>
        </w:rPr>
        <w:t>021</w:t>
      </w:r>
      <w:r w:rsidR="004609F2">
        <w:rPr>
          <w:rFonts w:ascii="宋体" w:eastAsia="宋体" w:hAnsi="宋体" w:cs="宋体" w:hint="eastAsia"/>
        </w:rPr>
        <w:t>年</w:t>
      </w:r>
      <w:r w:rsidR="004609F2">
        <w:rPr>
          <w:rFonts w:ascii="宋体" w:eastAsia="宋体" w:hAnsi="宋体" w:cs="宋体"/>
        </w:rPr>
        <w:t>9</w:t>
      </w:r>
      <w:r w:rsidR="006F10B2">
        <w:rPr>
          <w:rFonts w:ascii="宋体" w:eastAsia="宋体" w:hAnsi="宋体" w:cs="宋体" w:hint="eastAsia"/>
        </w:rPr>
        <w:t>月</w:t>
      </w:r>
      <w:r w:rsidR="004609F2">
        <w:rPr>
          <w:rFonts w:ascii="宋体" w:eastAsia="宋体" w:hAnsi="宋体" w:cs="宋体"/>
        </w:rPr>
        <w:t>22</w:t>
      </w:r>
      <w:r w:rsidR="006F10B2">
        <w:rPr>
          <w:rFonts w:ascii="宋体" w:eastAsia="宋体" w:hAnsi="宋体" w:cs="宋体" w:hint="eastAsia"/>
        </w:rPr>
        <w:t>日</w:t>
      </w:r>
      <w:r>
        <w:rPr>
          <w:rFonts w:ascii="宋体" w:eastAsia="宋体" w:hAnsi="宋体" w:cs="宋体" w:hint="eastAsia"/>
        </w:rPr>
        <w:t>起，优惠活动截止时间以</w:t>
      </w:r>
      <w:r w:rsidR="004609F2">
        <w:rPr>
          <w:rFonts w:ascii="宋体" w:eastAsia="宋体" w:hAnsi="宋体" w:cs="宋体" w:hint="eastAsia"/>
        </w:rPr>
        <w:t>华夏银行</w:t>
      </w:r>
      <w:r>
        <w:rPr>
          <w:rFonts w:ascii="宋体" w:eastAsia="宋体" w:hAnsi="宋体" w:cs="宋体" w:hint="eastAsia"/>
        </w:rPr>
        <w:t>为准，敬请投资者留意相关公告</w:t>
      </w:r>
      <w:r w:rsidR="000534AE">
        <w:rPr>
          <w:rFonts w:ascii="宋体" w:eastAsia="宋体" w:hAnsi="宋体" w:cs="宋体" w:hint="eastAsia"/>
        </w:rPr>
        <w:t>。</w:t>
      </w:r>
    </w:p>
    <w:p w:rsidR="006F10B2" w:rsidRDefault="006F10B2" w:rsidP="0066331C">
      <w:pPr>
        <w:pStyle w:val="Default"/>
        <w:spacing w:line="460" w:lineRule="exact"/>
        <w:ind w:firstLineChars="200" w:firstLine="480"/>
        <w:jc w:val="both"/>
        <w:rPr>
          <w:rFonts w:ascii="宋体" w:eastAsia="宋体" w:hAnsi="宋体" w:cs="宋体"/>
        </w:rPr>
      </w:pPr>
      <w:r>
        <w:rPr>
          <w:rFonts w:ascii="宋体" w:eastAsia="宋体" w:hAnsi="宋体" w:cs="宋体" w:hint="eastAsia"/>
        </w:rPr>
        <w:t>三、费率优惠活动内容：</w:t>
      </w:r>
    </w:p>
    <w:p w:rsidR="00443C2B" w:rsidRDefault="00443C2B" w:rsidP="00443C2B">
      <w:pPr>
        <w:pStyle w:val="Default"/>
        <w:spacing w:line="460" w:lineRule="exact"/>
        <w:ind w:firstLineChars="200" w:firstLine="480"/>
        <w:rPr>
          <w:rFonts w:ascii="宋体" w:eastAsia="宋体" w:hAnsi="宋体" w:cs="宋体"/>
        </w:rPr>
      </w:pPr>
      <w:r>
        <w:rPr>
          <w:rFonts w:ascii="宋体" w:eastAsia="宋体" w:hAnsi="宋体" w:cs="宋体" w:hint="eastAsia"/>
        </w:rPr>
        <w:t>投资者通过</w:t>
      </w:r>
      <w:r w:rsidR="004609F2">
        <w:rPr>
          <w:rFonts w:ascii="宋体" w:eastAsia="宋体" w:hAnsi="宋体" w:cs="宋体" w:hint="eastAsia"/>
        </w:rPr>
        <w:t>华夏银行</w:t>
      </w:r>
      <w:r>
        <w:rPr>
          <w:rFonts w:ascii="宋体" w:eastAsia="宋体" w:hAnsi="宋体" w:cs="宋体" w:hint="eastAsia"/>
        </w:rPr>
        <w:t>申购和定期定额申购指定基金享有费率优惠，</w:t>
      </w:r>
      <w:r w:rsidRPr="00B04C1A">
        <w:rPr>
          <w:rFonts w:ascii="宋体" w:eastAsia="宋体" w:hAnsi="宋体" w:cs="宋体" w:hint="eastAsia"/>
        </w:rPr>
        <w:t>具体费率</w:t>
      </w:r>
      <w:r w:rsidRPr="009931BC">
        <w:rPr>
          <w:rFonts w:ascii="宋体" w:eastAsia="宋体" w:hAnsi="宋体" w:cs="宋体" w:hint="eastAsia"/>
        </w:rPr>
        <w:t>折扣</w:t>
      </w:r>
      <w:r w:rsidRPr="00B04C1A">
        <w:rPr>
          <w:rFonts w:ascii="宋体" w:eastAsia="宋体" w:hAnsi="宋体" w:cs="宋体" w:hint="eastAsia"/>
        </w:rPr>
        <w:t>以</w:t>
      </w:r>
      <w:r w:rsidR="004609F2">
        <w:rPr>
          <w:rFonts w:ascii="宋体" w:eastAsia="宋体" w:hAnsi="宋体" w:cs="宋体" w:hint="eastAsia"/>
        </w:rPr>
        <w:t>华夏银行</w:t>
      </w:r>
      <w:r w:rsidRPr="00B04C1A">
        <w:rPr>
          <w:rFonts w:ascii="宋体" w:eastAsia="宋体" w:hAnsi="宋体" w:cs="宋体" w:hint="eastAsia"/>
        </w:rPr>
        <w:t>公告为准</w:t>
      </w:r>
      <w:r>
        <w:rPr>
          <w:rFonts w:ascii="宋体" w:eastAsia="宋体" w:hAnsi="宋体" w:cs="宋体" w:hint="eastAsia"/>
        </w:rPr>
        <w:t>，原申购费率为固定费用的，则按原固定费用执行，不享有费率折扣。具体</w:t>
      </w:r>
      <w:r w:rsidR="00537AB5">
        <w:rPr>
          <w:rFonts w:ascii="宋体" w:eastAsia="宋体" w:hAnsi="宋体" w:cs="宋体" w:hint="eastAsia"/>
        </w:rPr>
        <w:t>各基金原费率参见该基金的最新招募说明书及相关公告</w:t>
      </w:r>
      <w:r>
        <w:rPr>
          <w:rFonts w:ascii="宋体" w:eastAsia="宋体" w:hAnsi="宋体" w:cs="宋体" w:hint="eastAsia"/>
        </w:rPr>
        <w:t>。</w:t>
      </w:r>
    </w:p>
    <w:p w:rsidR="00537AB5" w:rsidRPr="00537AB5" w:rsidRDefault="00537AB5" w:rsidP="00443C2B">
      <w:pPr>
        <w:pStyle w:val="Default"/>
        <w:spacing w:line="460" w:lineRule="exact"/>
        <w:ind w:firstLineChars="200" w:firstLine="480"/>
        <w:rPr>
          <w:rFonts w:ascii="宋体" w:eastAsia="宋体" w:hAnsi="宋体" w:cs="宋体"/>
        </w:rPr>
      </w:pPr>
      <w:r>
        <w:rPr>
          <w:rFonts w:ascii="宋体" w:eastAsia="宋体" w:hAnsi="宋体" w:cs="宋体" w:hint="eastAsia"/>
        </w:rPr>
        <w:t>费率优惠期间，如本公司新增通过</w:t>
      </w:r>
      <w:r w:rsidR="004609F2">
        <w:rPr>
          <w:rFonts w:ascii="宋体" w:eastAsia="宋体" w:hAnsi="宋体" w:cs="宋体" w:hint="eastAsia"/>
        </w:rPr>
        <w:t>华夏银行</w:t>
      </w:r>
      <w:r>
        <w:rPr>
          <w:rFonts w:ascii="宋体" w:eastAsia="宋体" w:hAnsi="宋体" w:cs="宋体" w:hint="eastAsia"/>
        </w:rPr>
        <w:t>代销的基金产品，则自基金销售起，将同时开展该基金的上述优惠活动。</w:t>
      </w:r>
    </w:p>
    <w:p w:rsidR="00B13604" w:rsidRDefault="00851691" w:rsidP="00B13604">
      <w:pPr>
        <w:pStyle w:val="Default"/>
        <w:spacing w:line="460" w:lineRule="exact"/>
        <w:ind w:firstLineChars="200" w:firstLine="480"/>
        <w:jc w:val="both"/>
        <w:rPr>
          <w:rFonts w:ascii="宋体" w:eastAsia="宋体" w:hAnsi="宋体" w:cs="宋体"/>
        </w:rPr>
      </w:pPr>
      <w:r>
        <w:rPr>
          <w:rFonts w:ascii="宋体" w:eastAsia="宋体" w:hAnsi="宋体" w:cs="宋体" w:hint="eastAsia"/>
        </w:rPr>
        <w:t>四、重要提示：</w:t>
      </w:r>
    </w:p>
    <w:p w:rsidR="00851691" w:rsidRDefault="00851691" w:rsidP="00B13604">
      <w:pPr>
        <w:pStyle w:val="Default"/>
        <w:spacing w:line="460" w:lineRule="exact"/>
        <w:ind w:firstLineChars="200" w:firstLine="480"/>
        <w:jc w:val="both"/>
        <w:rPr>
          <w:rFonts w:ascii="宋体" w:eastAsia="宋体" w:hAnsi="宋体" w:cs="宋体"/>
        </w:rPr>
      </w:pPr>
      <w:r>
        <w:rPr>
          <w:rFonts w:ascii="宋体" w:eastAsia="宋体" w:hAnsi="宋体" w:cs="宋体" w:hint="eastAsia"/>
        </w:rPr>
        <w:t>1、本费率优惠仅适用于</w:t>
      </w:r>
      <w:r w:rsidR="00331CBE">
        <w:rPr>
          <w:rFonts w:ascii="宋体" w:eastAsia="宋体" w:hAnsi="宋体" w:cs="宋体" w:hint="eastAsia"/>
        </w:rPr>
        <w:t>上述</w:t>
      </w:r>
      <w:r w:rsidR="00E36FC1">
        <w:rPr>
          <w:rFonts w:ascii="宋体" w:eastAsia="宋体" w:hAnsi="宋体" w:cs="宋体" w:hint="eastAsia"/>
        </w:rPr>
        <w:t>基金</w:t>
      </w:r>
      <w:r>
        <w:rPr>
          <w:rFonts w:ascii="宋体" w:eastAsia="宋体" w:hAnsi="宋体" w:cs="宋体" w:hint="eastAsia"/>
        </w:rPr>
        <w:t>在</w:t>
      </w:r>
      <w:r w:rsidR="004609F2">
        <w:rPr>
          <w:rFonts w:ascii="宋体" w:eastAsia="宋体" w:hAnsi="宋体" w:cs="宋体" w:hint="eastAsia"/>
        </w:rPr>
        <w:t>华夏银行</w:t>
      </w:r>
      <w:r>
        <w:rPr>
          <w:rFonts w:ascii="宋体" w:eastAsia="宋体" w:hAnsi="宋体" w:cs="宋体" w:hint="eastAsia"/>
        </w:rPr>
        <w:t>申购业务的手续费、包括定期定额申购业务的手续费（各基金定投开通情况以我司最新公告为准），不包括基金赎回、转换业务等其他业务的手续费。</w:t>
      </w:r>
    </w:p>
    <w:p w:rsidR="00851691" w:rsidRPr="0066331C" w:rsidRDefault="00851691" w:rsidP="00B13604">
      <w:pPr>
        <w:pStyle w:val="Default"/>
        <w:spacing w:line="460" w:lineRule="exact"/>
        <w:ind w:firstLineChars="200" w:firstLine="480"/>
        <w:jc w:val="both"/>
        <w:rPr>
          <w:rFonts w:ascii="宋体" w:eastAsia="宋体" w:hAnsi="宋体" w:cs="宋体"/>
        </w:rPr>
      </w:pPr>
      <w:r>
        <w:rPr>
          <w:rFonts w:ascii="宋体" w:eastAsia="宋体" w:hAnsi="宋体" w:cs="宋体" w:hint="eastAsia"/>
        </w:rPr>
        <w:t>2、本费率优惠活动期间，业务办理的规则和流程以</w:t>
      </w:r>
      <w:r w:rsidR="004609F2">
        <w:rPr>
          <w:rFonts w:ascii="宋体" w:eastAsia="宋体" w:hAnsi="宋体" w:cs="宋体" w:hint="eastAsia"/>
        </w:rPr>
        <w:t>华夏银行</w:t>
      </w:r>
      <w:r>
        <w:rPr>
          <w:rFonts w:ascii="宋体" w:eastAsia="宋体" w:hAnsi="宋体" w:cs="宋体" w:hint="eastAsia"/>
        </w:rPr>
        <w:t>的安排和规定为准。相关活动的具体规定如有变化，以</w:t>
      </w:r>
      <w:r w:rsidR="004609F2">
        <w:rPr>
          <w:rFonts w:ascii="宋体" w:eastAsia="宋体" w:hAnsi="宋体" w:cs="宋体" w:hint="eastAsia"/>
        </w:rPr>
        <w:t>华夏银行</w:t>
      </w:r>
      <w:r>
        <w:rPr>
          <w:rFonts w:ascii="宋体" w:eastAsia="宋体" w:hAnsi="宋体" w:cs="宋体" w:hint="eastAsia"/>
        </w:rPr>
        <w:t>网站的最新公告为准，敬请投资者关注。</w:t>
      </w:r>
    </w:p>
    <w:p w:rsidR="00A10847" w:rsidRPr="001E7589" w:rsidRDefault="00851691"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hint="eastAsia"/>
          <w:color w:val="000000"/>
          <w:kern w:val="0"/>
          <w:sz w:val="24"/>
          <w:szCs w:val="24"/>
        </w:rPr>
        <w:t>五、</w:t>
      </w:r>
      <w:r w:rsidR="00A10847" w:rsidRPr="001E7589">
        <w:rPr>
          <w:rFonts w:ascii="宋体" w:eastAsia="宋体" w:hAnsi="宋体" w:cs="宋体" w:hint="eastAsia"/>
          <w:color w:val="000000"/>
          <w:kern w:val="0"/>
          <w:sz w:val="24"/>
          <w:szCs w:val="24"/>
        </w:rPr>
        <w:t>投资者可通过以下途径</w:t>
      </w:r>
      <w:r>
        <w:rPr>
          <w:rFonts w:ascii="宋体" w:eastAsia="宋体" w:hAnsi="宋体" w:cs="宋体" w:hint="eastAsia"/>
          <w:color w:val="000000"/>
          <w:kern w:val="0"/>
          <w:sz w:val="24"/>
          <w:szCs w:val="24"/>
        </w:rPr>
        <w:t>了解和</w:t>
      </w:r>
      <w:r w:rsidR="00A10847" w:rsidRPr="001E7589">
        <w:rPr>
          <w:rFonts w:ascii="宋体" w:eastAsia="宋体" w:hAnsi="宋体" w:cs="宋体" w:hint="eastAsia"/>
          <w:color w:val="000000"/>
          <w:kern w:val="0"/>
          <w:sz w:val="24"/>
          <w:szCs w:val="24"/>
        </w:rPr>
        <w:t>咨询</w:t>
      </w:r>
      <w:r w:rsidR="001E7589" w:rsidRPr="001E7589">
        <w:rPr>
          <w:rFonts w:ascii="宋体" w:eastAsia="宋体" w:hAnsi="宋体" w:cs="宋体" w:hint="eastAsia"/>
          <w:color w:val="000000"/>
          <w:kern w:val="0"/>
          <w:sz w:val="24"/>
          <w:szCs w:val="24"/>
        </w:rPr>
        <w:t>相关情况：</w:t>
      </w:r>
    </w:p>
    <w:p w:rsidR="001E7589" w:rsidRPr="001E7589" w:rsidRDefault="00851691"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color w:val="000000"/>
          <w:kern w:val="0"/>
          <w:sz w:val="24"/>
          <w:szCs w:val="24"/>
        </w:rPr>
        <w:t>1</w:t>
      </w:r>
      <w:r>
        <w:rPr>
          <w:rFonts w:ascii="宋体" w:eastAsia="宋体" w:hAnsi="宋体" w:cs="宋体" w:hint="eastAsia"/>
          <w:color w:val="000000"/>
          <w:kern w:val="0"/>
          <w:sz w:val="24"/>
          <w:szCs w:val="24"/>
        </w:rPr>
        <w:t>、</w:t>
      </w:r>
      <w:r w:rsidR="004609F2">
        <w:rPr>
          <w:rFonts w:ascii="宋体" w:eastAsia="宋体" w:hAnsi="宋体" w:cs="宋体" w:hint="eastAsia"/>
          <w:color w:val="000000"/>
          <w:kern w:val="0"/>
          <w:sz w:val="24"/>
          <w:szCs w:val="24"/>
        </w:rPr>
        <w:t>华夏银行</w:t>
      </w:r>
      <w:r w:rsidR="00E72AE5" w:rsidRPr="00E72AE5">
        <w:rPr>
          <w:rFonts w:ascii="宋体" w:eastAsia="宋体" w:hAnsi="宋体" w:cs="宋体" w:hint="eastAsia"/>
          <w:color w:val="000000"/>
          <w:kern w:val="0"/>
          <w:sz w:val="24"/>
          <w:szCs w:val="24"/>
        </w:rPr>
        <w:t>股份有限公司</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客服电话：</w:t>
      </w:r>
      <w:r w:rsidR="004609F2">
        <w:rPr>
          <w:rFonts w:ascii="宋体" w:eastAsia="宋体" w:hAnsi="宋体" w:cs="宋体"/>
          <w:color w:val="000000"/>
          <w:kern w:val="0"/>
          <w:sz w:val="24"/>
          <w:szCs w:val="24"/>
        </w:rPr>
        <w:t>95577</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公司网站：</w:t>
      </w:r>
      <w:r w:rsidR="004609F2" w:rsidRPr="004609F2">
        <w:rPr>
          <w:rFonts w:ascii="宋体" w:eastAsia="宋体" w:hAnsi="宋体" w:cs="宋体"/>
          <w:color w:val="000000"/>
          <w:kern w:val="0"/>
          <w:sz w:val="24"/>
          <w:szCs w:val="24"/>
        </w:rPr>
        <w:t>https://www.hxb.com.cn/index.shtml</w:t>
      </w:r>
    </w:p>
    <w:p w:rsidR="001E7589" w:rsidRPr="001E7589" w:rsidRDefault="00851691"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1E7589" w:rsidRPr="001E7589">
        <w:rPr>
          <w:rFonts w:ascii="宋体" w:eastAsia="宋体" w:hAnsi="宋体" w:cs="宋体" w:hint="eastAsia"/>
          <w:color w:val="000000"/>
          <w:kern w:val="0"/>
          <w:sz w:val="24"/>
          <w:szCs w:val="24"/>
        </w:rPr>
        <w:t>泰达宏利基金管理有限公司</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客服电话：4</w:t>
      </w:r>
      <w:r w:rsidRPr="001E7589">
        <w:rPr>
          <w:rFonts w:ascii="宋体" w:eastAsia="宋体" w:hAnsi="宋体" w:cs="宋体"/>
          <w:color w:val="000000"/>
          <w:kern w:val="0"/>
          <w:sz w:val="24"/>
          <w:szCs w:val="24"/>
        </w:rPr>
        <w:t>00</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698</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8888</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010</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66555662</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lastRenderedPageBreak/>
        <w:t>公司网站：</w:t>
      </w:r>
      <w:r w:rsidR="00E72AE5" w:rsidRPr="00E72AE5">
        <w:rPr>
          <w:rFonts w:ascii="宋体" w:eastAsia="宋体" w:hAnsi="宋体" w:cs="宋体"/>
          <w:color w:val="000000"/>
          <w:kern w:val="0"/>
          <w:sz w:val="24"/>
          <w:szCs w:val="24"/>
        </w:rPr>
        <w:t>http://www.mfcteda.com</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p>
    <w:p w:rsid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风险提示：基金管理人承诺以诚实信用、勤勉尽责的原则管理和运用基金资产，但不保证基金一定盈利，也不保证最低收益。投资者投资于本公司旗下基金前应认真阅读各基金的基金合同和招募说明书。</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特此公告。</w:t>
      </w:r>
    </w:p>
    <w:p w:rsidR="001E7589" w:rsidRPr="00D706E8" w:rsidRDefault="001E7589" w:rsidP="00E72AE5">
      <w:pPr>
        <w:autoSpaceDE w:val="0"/>
        <w:autoSpaceDN w:val="0"/>
        <w:adjustRightInd w:val="0"/>
        <w:spacing w:before="100" w:beforeAutospacing="1" w:line="360" w:lineRule="auto"/>
        <w:ind w:firstLine="465"/>
        <w:jc w:val="right"/>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泰达宏利基金管理有限公司</w:t>
      </w:r>
    </w:p>
    <w:p w:rsidR="001E7589" w:rsidRPr="001E7589" w:rsidRDefault="004609F2" w:rsidP="00E72AE5">
      <w:pPr>
        <w:autoSpaceDE w:val="0"/>
        <w:autoSpaceDN w:val="0"/>
        <w:adjustRightInd w:val="0"/>
        <w:spacing w:before="100" w:beforeAutospacing="1" w:line="360" w:lineRule="auto"/>
        <w:ind w:right="720" w:firstLine="465"/>
        <w:jc w:val="right"/>
        <w:rPr>
          <w:rFonts w:ascii="宋体" w:eastAsia="宋体" w:hAnsi="宋体" w:cs="宋体"/>
          <w:color w:val="000000"/>
          <w:kern w:val="0"/>
          <w:sz w:val="24"/>
          <w:szCs w:val="24"/>
        </w:rPr>
      </w:pPr>
      <w:r w:rsidRPr="00D706E8">
        <w:rPr>
          <w:rFonts w:ascii="宋体" w:eastAsia="宋体" w:hAnsi="宋体" w:cs="宋体"/>
          <w:color w:val="000000"/>
          <w:kern w:val="0"/>
          <w:sz w:val="24"/>
          <w:szCs w:val="24"/>
        </w:rPr>
        <w:t>202</w:t>
      </w:r>
      <w:r>
        <w:rPr>
          <w:rFonts w:ascii="宋体" w:eastAsia="宋体" w:hAnsi="宋体" w:cs="宋体"/>
          <w:color w:val="000000"/>
          <w:kern w:val="0"/>
          <w:sz w:val="24"/>
          <w:szCs w:val="24"/>
        </w:rPr>
        <w:t>1</w:t>
      </w:r>
      <w:r w:rsidRPr="00D706E8">
        <w:rPr>
          <w:rFonts w:ascii="宋体" w:eastAsia="宋体" w:hAnsi="宋体" w:cs="宋体" w:hint="eastAsia"/>
          <w:color w:val="000000"/>
          <w:kern w:val="0"/>
          <w:sz w:val="24"/>
          <w:szCs w:val="24"/>
        </w:rPr>
        <w:t>年</w:t>
      </w:r>
      <w:r>
        <w:rPr>
          <w:rFonts w:ascii="宋体" w:eastAsia="宋体" w:hAnsi="宋体" w:cs="宋体"/>
          <w:color w:val="000000"/>
          <w:kern w:val="0"/>
          <w:sz w:val="24"/>
          <w:szCs w:val="24"/>
        </w:rPr>
        <w:t>9</w:t>
      </w:r>
      <w:r w:rsidR="001E7589" w:rsidRPr="00D706E8">
        <w:rPr>
          <w:rFonts w:ascii="宋体" w:eastAsia="宋体" w:hAnsi="宋体" w:cs="宋体" w:hint="eastAsia"/>
          <w:color w:val="000000"/>
          <w:kern w:val="0"/>
          <w:sz w:val="24"/>
          <w:szCs w:val="24"/>
        </w:rPr>
        <w:t>月</w:t>
      </w:r>
      <w:r>
        <w:rPr>
          <w:rFonts w:ascii="宋体" w:eastAsia="宋体" w:hAnsi="宋体" w:cs="宋体"/>
          <w:color w:val="000000"/>
          <w:kern w:val="0"/>
          <w:sz w:val="24"/>
          <w:szCs w:val="24"/>
        </w:rPr>
        <w:t>18</w:t>
      </w:r>
      <w:r w:rsidR="001E7589" w:rsidRPr="00D706E8">
        <w:rPr>
          <w:rFonts w:ascii="宋体" w:eastAsia="宋体" w:hAnsi="宋体" w:cs="宋体" w:hint="eastAsia"/>
          <w:color w:val="000000"/>
          <w:kern w:val="0"/>
          <w:sz w:val="24"/>
          <w:szCs w:val="24"/>
        </w:rPr>
        <w:t>日</w:t>
      </w:r>
    </w:p>
    <w:sectPr w:rsidR="001E7589" w:rsidRPr="001E7589" w:rsidSect="000160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AFE" w:rsidRDefault="00FE7AFE" w:rsidP="009C1252">
      <w:r>
        <w:separator/>
      </w:r>
    </w:p>
  </w:endnote>
  <w:endnote w:type="continuationSeparator" w:id="0">
    <w:p w:rsidR="00FE7AFE" w:rsidRDefault="00FE7AFE" w:rsidP="009C1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A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AFE" w:rsidRDefault="00FE7AFE" w:rsidP="009C1252">
      <w:r>
        <w:separator/>
      </w:r>
    </w:p>
  </w:footnote>
  <w:footnote w:type="continuationSeparator" w:id="0">
    <w:p w:rsidR="00FE7AFE" w:rsidRDefault="00FE7AFE" w:rsidP="009C12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975BB"/>
    <w:multiLevelType w:val="hybridMultilevel"/>
    <w:tmpl w:val="4CACEDA0"/>
    <w:lvl w:ilvl="0" w:tplc="14C664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93E24BC"/>
    <w:multiLevelType w:val="hybridMultilevel"/>
    <w:tmpl w:val="1C02CB7A"/>
    <w:lvl w:ilvl="0" w:tplc="1200C828">
      <w:start w:val="1"/>
      <w:numFmt w:val="japaneseCounting"/>
      <w:lvlText w:val="%1、"/>
      <w:lvlJc w:val="left"/>
      <w:pPr>
        <w:ind w:left="945" w:hanging="48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6065"/>
    <w:rsid w:val="00000324"/>
    <w:rsid w:val="00016028"/>
    <w:rsid w:val="00024DC4"/>
    <w:rsid w:val="000534AE"/>
    <w:rsid w:val="0008599B"/>
    <w:rsid w:val="000C0CA1"/>
    <w:rsid w:val="000D0EFB"/>
    <w:rsid w:val="000F599C"/>
    <w:rsid w:val="000F7FDB"/>
    <w:rsid w:val="0011411C"/>
    <w:rsid w:val="001339F4"/>
    <w:rsid w:val="00172995"/>
    <w:rsid w:val="001B6C5B"/>
    <w:rsid w:val="001E6A48"/>
    <w:rsid w:val="001E7589"/>
    <w:rsid w:val="001F5595"/>
    <w:rsid w:val="001F78B9"/>
    <w:rsid w:val="00206065"/>
    <w:rsid w:val="00233A87"/>
    <w:rsid w:val="00245448"/>
    <w:rsid w:val="0024747F"/>
    <w:rsid w:val="00262B4D"/>
    <w:rsid w:val="00283370"/>
    <w:rsid w:val="00296D53"/>
    <w:rsid w:val="002B5E05"/>
    <w:rsid w:val="002D0226"/>
    <w:rsid w:val="002D42DB"/>
    <w:rsid w:val="002D45CD"/>
    <w:rsid w:val="002E296F"/>
    <w:rsid w:val="0030045C"/>
    <w:rsid w:val="00331CBE"/>
    <w:rsid w:val="00352FDC"/>
    <w:rsid w:val="00355FF1"/>
    <w:rsid w:val="00367874"/>
    <w:rsid w:val="00383816"/>
    <w:rsid w:val="00390F10"/>
    <w:rsid w:val="00396A3D"/>
    <w:rsid w:val="003B25BB"/>
    <w:rsid w:val="003B303E"/>
    <w:rsid w:val="003F43CA"/>
    <w:rsid w:val="003F7561"/>
    <w:rsid w:val="0040399F"/>
    <w:rsid w:val="0040436A"/>
    <w:rsid w:val="00434D8D"/>
    <w:rsid w:val="00443C2B"/>
    <w:rsid w:val="00445308"/>
    <w:rsid w:val="00445434"/>
    <w:rsid w:val="004609F2"/>
    <w:rsid w:val="004717CC"/>
    <w:rsid w:val="0047358B"/>
    <w:rsid w:val="00483CE1"/>
    <w:rsid w:val="004D03BE"/>
    <w:rsid w:val="004E6349"/>
    <w:rsid w:val="005001C3"/>
    <w:rsid w:val="00511174"/>
    <w:rsid w:val="00537AB5"/>
    <w:rsid w:val="00581A07"/>
    <w:rsid w:val="005950A2"/>
    <w:rsid w:val="005A08F6"/>
    <w:rsid w:val="00600101"/>
    <w:rsid w:val="00602DF1"/>
    <w:rsid w:val="00606906"/>
    <w:rsid w:val="006261E0"/>
    <w:rsid w:val="00634D02"/>
    <w:rsid w:val="0066331C"/>
    <w:rsid w:val="006955FB"/>
    <w:rsid w:val="006B56CC"/>
    <w:rsid w:val="006F10B2"/>
    <w:rsid w:val="006F5B68"/>
    <w:rsid w:val="00765BA3"/>
    <w:rsid w:val="00770C21"/>
    <w:rsid w:val="007843C3"/>
    <w:rsid w:val="007861E3"/>
    <w:rsid w:val="0078756E"/>
    <w:rsid w:val="007A4BB3"/>
    <w:rsid w:val="007B2024"/>
    <w:rsid w:val="008220E0"/>
    <w:rsid w:val="00845019"/>
    <w:rsid w:val="00851691"/>
    <w:rsid w:val="00861282"/>
    <w:rsid w:val="008A01CD"/>
    <w:rsid w:val="008E59E7"/>
    <w:rsid w:val="008F2784"/>
    <w:rsid w:val="00912917"/>
    <w:rsid w:val="0093514C"/>
    <w:rsid w:val="0093555A"/>
    <w:rsid w:val="00955272"/>
    <w:rsid w:val="00957AEB"/>
    <w:rsid w:val="009719E1"/>
    <w:rsid w:val="009B3026"/>
    <w:rsid w:val="009C1252"/>
    <w:rsid w:val="009D2ED0"/>
    <w:rsid w:val="009E3FDC"/>
    <w:rsid w:val="00A10847"/>
    <w:rsid w:val="00A15522"/>
    <w:rsid w:val="00A17493"/>
    <w:rsid w:val="00A431C7"/>
    <w:rsid w:val="00A50B19"/>
    <w:rsid w:val="00A527C2"/>
    <w:rsid w:val="00A54FDD"/>
    <w:rsid w:val="00A62ECC"/>
    <w:rsid w:val="00A82877"/>
    <w:rsid w:val="00AA123B"/>
    <w:rsid w:val="00AD0397"/>
    <w:rsid w:val="00B13604"/>
    <w:rsid w:val="00B17F63"/>
    <w:rsid w:val="00B34582"/>
    <w:rsid w:val="00B535A7"/>
    <w:rsid w:val="00B84BBF"/>
    <w:rsid w:val="00B94286"/>
    <w:rsid w:val="00BA46BC"/>
    <w:rsid w:val="00C22FB4"/>
    <w:rsid w:val="00C35A33"/>
    <w:rsid w:val="00C46CFB"/>
    <w:rsid w:val="00C63C23"/>
    <w:rsid w:val="00C70C8A"/>
    <w:rsid w:val="00C73B6A"/>
    <w:rsid w:val="00C966B7"/>
    <w:rsid w:val="00CA448E"/>
    <w:rsid w:val="00CC0D8B"/>
    <w:rsid w:val="00CC7252"/>
    <w:rsid w:val="00D06C8D"/>
    <w:rsid w:val="00D06E4C"/>
    <w:rsid w:val="00D40237"/>
    <w:rsid w:val="00D50BBB"/>
    <w:rsid w:val="00D63D53"/>
    <w:rsid w:val="00E113B5"/>
    <w:rsid w:val="00E22CDB"/>
    <w:rsid w:val="00E36FC1"/>
    <w:rsid w:val="00E5375D"/>
    <w:rsid w:val="00E72AE5"/>
    <w:rsid w:val="00E962D4"/>
    <w:rsid w:val="00E963F0"/>
    <w:rsid w:val="00E96BB6"/>
    <w:rsid w:val="00EA5576"/>
    <w:rsid w:val="00EB5E83"/>
    <w:rsid w:val="00F034C9"/>
    <w:rsid w:val="00F107A4"/>
    <w:rsid w:val="00F20BEB"/>
    <w:rsid w:val="00F27D41"/>
    <w:rsid w:val="00F4196C"/>
    <w:rsid w:val="00F42C84"/>
    <w:rsid w:val="00F67F52"/>
    <w:rsid w:val="00FA5114"/>
    <w:rsid w:val="00FA53B1"/>
    <w:rsid w:val="00FB0809"/>
    <w:rsid w:val="00FC5516"/>
    <w:rsid w:val="00FD0C3A"/>
    <w:rsid w:val="00FD241C"/>
    <w:rsid w:val="00FE42F3"/>
    <w:rsid w:val="00FE7AFE"/>
    <w:rsid w:val="00FF47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0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E7589"/>
    <w:pPr>
      <w:ind w:firstLineChars="200" w:firstLine="420"/>
    </w:pPr>
  </w:style>
  <w:style w:type="character" w:styleId="a5">
    <w:name w:val="Hyperlink"/>
    <w:basedOn w:val="a0"/>
    <w:uiPriority w:val="99"/>
    <w:unhideWhenUsed/>
    <w:rsid w:val="001E7589"/>
    <w:rPr>
      <w:color w:val="0563C1" w:themeColor="hyperlink"/>
      <w:u w:val="single"/>
    </w:rPr>
  </w:style>
  <w:style w:type="character" w:customStyle="1" w:styleId="1">
    <w:name w:val="未处理的提及1"/>
    <w:basedOn w:val="a0"/>
    <w:uiPriority w:val="99"/>
    <w:semiHidden/>
    <w:unhideWhenUsed/>
    <w:rsid w:val="001E7589"/>
    <w:rPr>
      <w:color w:val="605E5C"/>
      <w:shd w:val="clear" w:color="auto" w:fill="E1DFDD"/>
    </w:rPr>
  </w:style>
  <w:style w:type="paragraph" w:customStyle="1" w:styleId="Default">
    <w:name w:val="Default"/>
    <w:rsid w:val="001E7589"/>
    <w:pPr>
      <w:widowControl w:val="0"/>
      <w:autoSpaceDE w:val="0"/>
      <w:autoSpaceDN w:val="0"/>
      <w:adjustRightInd w:val="0"/>
    </w:pPr>
    <w:rPr>
      <w:rFonts w:ascii="微软雅黑" w:eastAsia="微软雅黑" w:cs="微软雅黑"/>
      <w:color w:val="000000"/>
      <w:kern w:val="0"/>
      <w:sz w:val="24"/>
      <w:szCs w:val="24"/>
    </w:rPr>
  </w:style>
  <w:style w:type="paragraph" w:styleId="a6">
    <w:name w:val="header"/>
    <w:basedOn w:val="a"/>
    <w:link w:val="Char"/>
    <w:uiPriority w:val="99"/>
    <w:unhideWhenUsed/>
    <w:rsid w:val="009C12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C1252"/>
    <w:rPr>
      <w:sz w:val="18"/>
      <w:szCs w:val="18"/>
    </w:rPr>
  </w:style>
  <w:style w:type="paragraph" w:styleId="a7">
    <w:name w:val="footer"/>
    <w:basedOn w:val="a"/>
    <w:link w:val="Char0"/>
    <w:uiPriority w:val="99"/>
    <w:unhideWhenUsed/>
    <w:rsid w:val="009C1252"/>
    <w:pPr>
      <w:tabs>
        <w:tab w:val="center" w:pos="4153"/>
        <w:tab w:val="right" w:pos="8306"/>
      </w:tabs>
      <w:snapToGrid w:val="0"/>
      <w:jc w:val="left"/>
    </w:pPr>
    <w:rPr>
      <w:sz w:val="18"/>
      <w:szCs w:val="18"/>
    </w:rPr>
  </w:style>
  <w:style w:type="character" w:customStyle="1" w:styleId="Char0">
    <w:name w:val="页脚 Char"/>
    <w:basedOn w:val="a0"/>
    <w:link w:val="a7"/>
    <w:uiPriority w:val="99"/>
    <w:rsid w:val="009C1252"/>
    <w:rPr>
      <w:sz w:val="18"/>
      <w:szCs w:val="18"/>
    </w:rPr>
  </w:style>
  <w:style w:type="paragraph" w:styleId="a8">
    <w:name w:val="Balloon Text"/>
    <w:basedOn w:val="a"/>
    <w:link w:val="Char1"/>
    <w:uiPriority w:val="99"/>
    <w:semiHidden/>
    <w:unhideWhenUsed/>
    <w:rsid w:val="00511174"/>
    <w:rPr>
      <w:sz w:val="18"/>
      <w:szCs w:val="18"/>
    </w:rPr>
  </w:style>
  <w:style w:type="character" w:customStyle="1" w:styleId="Char1">
    <w:name w:val="批注框文本 Char"/>
    <w:basedOn w:val="a0"/>
    <w:link w:val="a8"/>
    <w:uiPriority w:val="99"/>
    <w:semiHidden/>
    <w:rsid w:val="00511174"/>
    <w:rPr>
      <w:sz w:val="18"/>
      <w:szCs w:val="18"/>
    </w:rPr>
  </w:style>
  <w:style w:type="character" w:styleId="a9">
    <w:name w:val="annotation reference"/>
    <w:basedOn w:val="a0"/>
    <w:uiPriority w:val="99"/>
    <w:semiHidden/>
    <w:unhideWhenUsed/>
    <w:rsid w:val="002E296F"/>
    <w:rPr>
      <w:sz w:val="21"/>
      <w:szCs w:val="21"/>
    </w:rPr>
  </w:style>
  <w:style w:type="paragraph" w:styleId="aa">
    <w:name w:val="annotation text"/>
    <w:basedOn w:val="a"/>
    <w:link w:val="Char2"/>
    <w:uiPriority w:val="99"/>
    <w:semiHidden/>
    <w:unhideWhenUsed/>
    <w:rsid w:val="002E296F"/>
    <w:pPr>
      <w:jc w:val="left"/>
    </w:pPr>
  </w:style>
  <w:style w:type="character" w:customStyle="1" w:styleId="Char2">
    <w:name w:val="批注文字 Char"/>
    <w:basedOn w:val="a0"/>
    <w:link w:val="aa"/>
    <w:uiPriority w:val="99"/>
    <w:semiHidden/>
    <w:rsid w:val="002E296F"/>
  </w:style>
  <w:style w:type="paragraph" w:styleId="ab">
    <w:name w:val="annotation subject"/>
    <w:basedOn w:val="aa"/>
    <w:next w:val="aa"/>
    <w:link w:val="Char3"/>
    <w:uiPriority w:val="99"/>
    <w:semiHidden/>
    <w:unhideWhenUsed/>
    <w:rsid w:val="002E296F"/>
    <w:rPr>
      <w:b/>
      <w:bCs/>
    </w:rPr>
  </w:style>
  <w:style w:type="character" w:customStyle="1" w:styleId="Char3">
    <w:name w:val="批注主题 Char"/>
    <w:basedOn w:val="Char2"/>
    <w:link w:val="ab"/>
    <w:uiPriority w:val="99"/>
    <w:semiHidden/>
    <w:rsid w:val="002E296F"/>
    <w:rPr>
      <w:b/>
      <w:bCs/>
    </w:rPr>
  </w:style>
  <w:style w:type="paragraph" w:styleId="ac">
    <w:name w:val="Revision"/>
    <w:hidden/>
    <w:uiPriority w:val="99"/>
    <w:semiHidden/>
    <w:rsid w:val="002E296F"/>
  </w:style>
</w:styles>
</file>

<file path=word/webSettings.xml><?xml version="1.0" encoding="utf-8"?>
<w:webSettings xmlns:r="http://schemas.openxmlformats.org/officeDocument/2006/relationships" xmlns:w="http://schemas.openxmlformats.org/wordprocessingml/2006/main">
  <w:divs>
    <w:div w:id="137502162">
      <w:bodyDiv w:val="1"/>
      <w:marLeft w:val="0"/>
      <w:marRight w:val="0"/>
      <w:marTop w:val="0"/>
      <w:marBottom w:val="0"/>
      <w:divBdr>
        <w:top w:val="none" w:sz="0" w:space="0" w:color="auto"/>
        <w:left w:val="none" w:sz="0" w:space="0" w:color="auto"/>
        <w:bottom w:val="none" w:sz="0" w:space="0" w:color="auto"/>
        <w:right w:val="none" w:sz="0" w:space="0" w:color="auto"/>
      </w:divBdr>
    </w:div>
    <w:div w:id="285158954">
      <w:bodyDiv w:val="1"/>
      <w:marLeft w:val="0"/>
      <w:marRight w:val="0"/>
      <w:marTop w:val="0"/>
      <w:marBottom w:val="0"/>
      <w:divBdr>
        <w:top w:val="none" w:sz="0" w:space="0" w:color="auto"/>
        <w:left w:val="none" w:sz="0" w:space="0" w:color="auto"/>
        <w:bottom w:val="none" w:sz="0" w:space="0" w:color="auto"/>
        <w:right w:val="none" w:sz="0" w:space="0" w:color="auto"/>
      </w:divBdr>
    </w:div>
    <w:div w:id="469713346">
      <w:bodyDiv w:val="1"/>
      <w:marLeft w:val="0"/>
      <w:marRight w:val="0"/>
      <w:marTop w:val="0"/>
      <w:marBottom w:val="0"/>
      <w:divBdr>
        <w:top w:val="none" w:sz="0" w:space="0" w:color="auto"/>
        <w:left w:val="none" w:sz="0" w:space="0" w:color="auto"/>
        <w:bottom w:val="none" w:sz="0" w:space="0" w:color="auto"/>
        <w:right w:val="none" w:sz="0" w:space="0" w:color="auto"/>
      </w:divBdr>
    </w:div>
    <w:div w:id="899174728">
      <w:bodyDiv w:val="1"/>
      <w:marLeft w:val="0"/>
      <w:marRight w:val="0"/>
      <w:marTop w:val="0"/>
      <w:marBottom w:val="0"/>
      <w:divBdr>
        <w:top w:val="none" w:sz="0" w:space="0" w:color="auto"/>
        <w:left w:val="none" w:sz="0" w:space="0" w:color="auto"/>
        <w:bottom w:val="none" w:sz="0" w:space="0" w:color="auto"/>
        <w:right w:val="none" w:sz="0" w:space="0" w:color="auto"/>
      </w:divBdr>
    </w:div>
    <w:div w:id="964890277">
      <w:bodyDiv w:val="1"/>
      <w:marLeft w:val="0"/>
      <w:marRight w:val="0"/>
      <w:marTop w:val="0"/>
      <w:marBottom w:val="0"/>
      <w:divBdr>
        <w:top w:val="none" w:sz="0" w:space="0" w:color="auto"/>
        <w:left w:val="none" w:sz="0" w:space="0" w:color="auto"/>
        <w:bottom w:val="none" w:sz="0" w:space="0" w:color="auto"/>
        <w:right w:val="none" w:sz="0" w:space="0" w:color="auto"/>
      </w:divBdr>
    </w:div>
    <w:div w:id="995645105">
      <w:bodyDiv w:val="1"/>
      <w:marLeft w:val="0"/>
      <w:marRight w:val="0"/>
      <w:marTop w:val="0"/>
      <w:marBottom w:val="0"/>
      <w:divBdr>
        <w:top w:val="none" w:sz="0" w:space="0" w:color="auto"/>
        <w:left w:val="none" w:sz="0" w:space="0" w:color="auto"/>
        <w:bottom w:val="none" w:sz="0" w:space="0" w:color="auto"/>
        <w:right w:val="none" w:sz="0" w:space="0" w:color="auto"/>
      </w:divBdr>
    </w:div>
    <w:div w:id="1365868355">
      <w:bodyDiv w:val="1"/>
      <w:marLeft w:val="0"/>
      <w:marRight w:val="0"/>
      <w:marTop w:val="0"/>
      <w:marBottom w:val="0"/>
      <w:divBdr>
        <w:top w:val="none" w:sz="0" w:space="0" w:color="auto"/>
        <w:left w:val="none" w:sz="0" w:space="0" w:color="auto"/>
        <w:bottom w:val="none" w:sz="0" w:space="0" w:color="auto"/>
        <w:right w:val="none" w:sz="0" w:space="0" w:color="auto"/>
      </w:divBdr>
    </w:div>
    <w:div w:id="1544057269">
      <w:bodyDiv w:val="1"/>
      <w:marLeft w:val="0"/>
      <w:marRight w:val="0"/>
      <w:marTop w:val="0"/>
      <w:marBottom w:val="0"/>
      <w:divBdr>
        <w:top w:val="none" w:sz="0" w:space="0" w:color="auto"/>
        <w:left w:val="none" w:sz="0" w:space="0" w:color="auto"/>
        <w:bottom w:val="none" w:sz="0" w:space="0" w:color="auto"/>
        <w:right w:val="none" w:sz="0" w:space="0" w:color="auto"/>
      </w:divBdr>
    </w:div>
    <w:div w:id="1744522772">
      <w:bodyDiv w:val="1"/>
      <w:marLeft w:val="0"/>
      <w:marRight w:val="0"/>
      <w:marTop w:val="0"/>
      <w:marBottom w:val="0"/>
      <w:divBdr>
        <w:top w:val="none" w:sz="0" w:space="0" w:color="auto"/>
        <w:left w:val="none" w:sz="0" w:space="0" w:color="auto"/>
        <w:bottom w:val="none" w:sz="0" w:space="0" w:color="auto"/>
        <w:right w:val="none" w:sz="0" w:space="0" w:color="auto"/>
      </w:divBdr>
    </w:div>
    <w:div w:id="197678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1467</Characters>
  <Application>Microsoft Office Word</Application>
  <DocSecurity>4</DocSecurity>
  <Lines>12</Lines>
  <Paragraphs>3</Paragraphs>
  <ScaleCrop>false</ScaleCrop>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陈静红</dc:creator>
  <cp:lastModifiedBy>ZHONGM</cp:lastModifiedBy>
  <cp:revision>2</cp:revision>
  <dcterms:created xsi:type="dcterms:W3CDTF">2021-09-17T16:30:00Z</dcterms:created>
  <dcterms:modified xsi:type="dcterms:W3CDTF">2021-09-17T16:30:00Z</dcterms:modified>
</cp:coreProperties>
</file>