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CD" w:rsidRPr="003C78B5" w:rsidRDefault="00091C1B" w:rsidP="00061DCD">
      <w:pPr>
        <w:jc w:val="center"/>
        <w:rPr>
          <w:rFonts w:ascii="宋体" w:hAnsi="宋体"/>
          <w:b/>
          <w:szCs w:val="21"/>
        </w:rPr>
      </w:pPr>
      <w:r w:rsidRPr="003C78B5">
        <w:rPr>
          <w:rFonts w:ascii="宋体" w:hAnsi="宋体" w:hint="eastAsia"/>
          <w:b/>
          <w:sz w:val="28"/>
          <w:szCs w:val="28"/>
        </w:rPr>
        <w:t>易方达基金管理有限公司</w:t>
      </w:r>
      <w:r w:rsidR="00124746" w:rsidRPr="003C78B5">
        <w:rPr>
          <w:rFonts w:ascii="宋体" w:hAnsi="宋体" w:hint="eastAsia"/>
          <w:b/>
          <w:sz w:val="28"/>
          <w:szCs w:val="28"/>
        </w:rPr>
        <w:t>旗下部分ETF增加</w:t>
      </w:r>
      <w:r w:rsidR="00F2444C">
        <w:rPr>
          <w:rFonts w:ascii="宋体" w:hAnsi="宋体" w:hint="eastAsia"/>
          <w:b/>
          <w:sz w:val="28"/>
          <w:szCs w:val="28"/>
        </w:rPr>
        <w:t>东方财富证券</w:t>
      </w:r>
      <w:r w:rsidR="00124746" w:rsidRPr="003C78B5">
        <w:rPr>
          <w:rFonts w:ascii="宋体" w:hAnsi="宋体" w:hint="eastAsia"/>
          <w:b/>
          <w:sz w:val="28"/>
          <w:szCs w:val="28"/>
        </w:rPr>
        <w:t>为申购赎回代办证券公司的公告</w:t>
      </w:r>
    </w:p>
    <w:p w:rsidR="00061DCD" w:rsidRPr="001947D4" w:rsidRDefault="00061DCD" w:rsidP="00061DCD">
      <w:pPr>
        <w:spacing w:line="360" w:lineRule="auto"/>
        <w:ind w:firstLineChars="200" w:firstLine="420"/>
        <w:rPr>
          <w:rFonts w:ascii="宋体" w:hAnsi="宋体"/>
          <w:szCs w:val="21"/>
        </w:rPr>
      </w:pPr>
      <w:r w:rsidRPr="001947D4">
        <w:rPr>
          <w:rFonts w:ascii="宋体" w:hAnsi="宋体" w:hint="eastAsia"/>
          <w:szCs w:val="21"/>
        </w:rPr>
        <w:t>经</w:t>
      </w:r>
      <w:r w:rsidR="001B5E65" w:rsidRPr="001947D4">
        <w:rPr>
          <w:rFonts w:ascii="宋体" w:hAnsi="宋体"/>
          <w:szCs w:val="21"/>
        </w:rPr>
        <w:t>深圳</w:t>
      </w:r>
      <w:r w:rsidR="00A018DF" w:rsidRPr="001947D4">
        <w:rPr>
          <w:rFonts w:ascii="宋体" w:hAnsi="宋体" w:hint="eastAsia"/>
          <w:szCs w:val="21"/>
        </w:rPr>
        <w:t>证券</w:t>
      </w:r>
      <w:r w:rsidR="00DF64FD" w:rsidRPr="001947D4">
        <w:rPr>
          <w:rFonts w:ascii="宋体" w:hAnsi="宋体" w:hint="eastAsia"/>
          <w:szCs w:val="21"/>
        </w:rPr>
        <w:t>交易所</w:t>
      </w:r>
      <w:r w:rsidRPr="001947D4">
        <w:rPr>
          <w:rFonts w:ascii="宋体" w:hAnsi="宋体" w:hint="eastAsia"/>
          <w:szCs w:val="21"/>
        </w:rPr>
        <w:t>确认，根据易方达基金管理有限公司（以下简称“本公司”）与</w:t>
      </w:r>
      <w:r w:rsidR="00F2444C" w:rsidRPr="001947D4">
        <w:rPr>
          <w:rFonts w:ascii="宋体" w:hAnsi="宋体" w:hint="eastAsia"/>
          <w:szCs w:val="21"/>
        </w:rPr>
        <w:t>东方财富证券股份有限公司</w:t>
      </w:r>
      <w:r w:rsidR="00613937" w:rsidRPr="001947D4">
        <w:rPr>
          <w:rFonts w:ascii="宋体" w:hAnsi="宋体" w:hint="eastAsia"/>
          <w:szCs w:val="21"/>
        </w:rPr>
        <w:t>（以下简称</w:t>
      </w:r>
      <w:r w:rsidR="009E19D6" w:rsidRPr="001947D4">
        <w:rPr>
          <w:rFonts w:ascii="宋体" w:hAnsi="宋体" w:hint="eastAsia"/>
          <w:szCs w:val="21"/>
        </w:rPr>
        <w:t>“</w:t>
      </w:r>
      <w:r w:rsidR="00F2444C" w:rsidRPr="001947D4">
        <w:rPr>
          <w:rFonts w:ascii="宋体" w:hAnsi="宋体" w:hint="eastAsia"/>
          <w:szCs w:val="21"/>
        </w:rPr>
        <w:t>东方财富证券</w:t>
      </w:r>
      <w:r w:rsidR="009E19D6" w:rsidRPr="001947D4">
        <w:rPr>
          <w:rFonts w:ascii="宋体" w:hAnsi="宋体" w:hint="eastAsia"/>
          <w:szCs w:val="21"/>
        </w:rPr>
        <w:t>”</w:t>
      </w:r>
      <w:r w:rsidR="00613937" w:rsidRPr="001947D4">
        <w:rPr>
          <w:rFonts w:ascii="宋体" w:hAnsi="宋体" w:hint="eastAsia"/>
          <w:szCs w:val="21"/>
        </w:rPr>
        <w:t>）</w:t>
      </w:r>
      <w:r w:rsidRPr="001947D4">
        <w:rPr>
          <w:rFonts w:ascii="宋体" w:hAnsi="宋体" w:hint="eastAsia"/>
          <w:szCs w:val="21"/>
        </w:rPr>
        <w:t>签署的协议，自</w:t>
      </w:r>
      <w:r w:rsidR="00027FB9" w:rsidRPr="001947D4">
        <w:rPr>
          <w:rFonts w:ascii="宋体" w:hAnsi="宋体" w:hint="eastAsia"/>
          <w:szCs w:val="21"/>
        </w:rPr>
        <w:t>20</w:t>
      </w:r>
      <w:r w:rsidR="00F06C3D" w:rsidRPr="001947D4">
        <w:rPr>
          <w:rFonts w:ascii="宋体" w:hAnsi="宋体" w:hint="eastAsia"/>
          <w:szCs w:val="21"/>
        </w:rPr>
        <w:t>2</w:t>
      </w:r>
      <w:r w:rsidR="003C78B5" w:rsidRPr="001947D4">
        <w:rPr>
          <w:rFonts w:ascii="宋体" w:hAnsi="宋体" w:hint="eastAsia"/>
          <w:szCs w:val="21"/>
        </w:rPr>
        <w:t>1</w:t>
      </w:r>
      <w:r w:rsidR="001C006A" w:rsidRPr="001947D4">
        <w:rPr>
          <w:rFonts w:ascii="宋体" w:hAnsi="宋体" w:hint="eastAsia"/>
          <w:szCs w:val="21"/>
        </w:rPr>
        <w:t>年</w:t>
      </w:r>
      <w:r w:rsidR="008D01EC" w:rsidRPr="001947D4">
        <w:rPr>
          <w:rFonts w:ascii="宋体" w:hAnsi="宋体" w:hint="eastAsia"/>
          <w:szCs w:val="21"/>
        </w:rPr>
        <w:t>9</w:t>
      </w:r>
      <w:r w:rsidR="00F504F4" w:rsidRPr="001947D4">
        <w:rPr>
          <w:rFonts w:ascii="宋体" w:hAnsi="宋体" w:hint="eastAsia"/>
          <w:szCs w:val="21"/>
        </w:rPr>
        <w:t>月</w:t>
      </w:r>
      <w:r w:rsidR="00F2444C" w:rsidRPr="001947D4">
        <w:rPr>
          <w:rFonts w:ascii="宋体" w:hAnsi="宋体" w:hint="eastAsia"/>
          <w:szCs w:val="21"/>
        </w:rPr>
        <w:t>1</w:t>
      </w:r>
      <w:r w:rsidR="001B5E65" w:rsidRPr="001947D4">
        <w:rPr>
          <w:rFonts w:ascii="宋体" w:hAnsi="宋体" w:hint="eastAsia"/>
          <w:szCs w:val="21"/>
        </w:rPr>
        <w:t>7</w:t>
      </w:r>
      <w:r w:rsidR="00F504F4" w:rsidRPr="001947D4">
        <w:rPr>
          <w:rFonts w:ascii="宋体" w:hAnsi="宋体" w:hint="eastAsia"/>
          <w:szCs w:val="21"/>
        </w:rPr>
        <w:t>日</w:t>
      </w:r>
      <w:r w:rsidRPr="001947D4">
        <w:rPr>
          <w:rFonts w:ascii="宋体" w:hAnsi="宋体" w:hint="eastAsia"/>
          <w:szCs w:val="21"/>
        </w:rPr>
        <w:t>起，本公司</w:t>
      </w:r>
      <w:r w:rsidR="00027FB9" w:rsidRPr="001947D4">
        <w:rPr>
          <w:rFonts w:ascii="宋体" w:hAnsi="宋体" w:hint="eastAsia"/>
          <w:szCs w:val="21"/>
        </w:rPr>
        <w:t>增</w:t>
      </w:r>
      <w:r w:rsidR="00BC0161" w:rsidRPr="001947D4">
        <w:rPr>
          <w:rFonts w:ascii="宋体" w:hAnsi="宋体" w:hint="eastAsia"/>
          <w:szCs w:val="21"/>
        </w:rPr>
        <w:t>加</w:t>
      </w:r>
      <w:r w:rsidR="00F2444C" w:rsidRPr="001947D4">
        <w:rPr>
          <w:rFonts w:ascii="宋体" w:hAnsi="宋体" w:hint="eastAsia"/>
          <w:szCs w:val="21"/>
        </w:rPr>
        <w:t>东方财富证券</w:t>
      </w:r>
      <w:r w:rsidRPr="001947D4">
        <w:rPr>
          <w:rFonts w:ascii="宋体" w:hAnsi="宋体" w:hint="eastAsia"/>
          <w:szCs w:val="21"/>
        </w:rPr>
        <w:t>为</w:t>
      </w:r>
      <w:r w:rsidR="00124746" w:rsidRPr="001947D4">
        <w:rPr>
          <w:rFonts w:ascii="宋体" w:hAnsi="宋体" w:hint="eastAsia"/>
          <w:szCs w:val="21"/>
        </w:rPr>
        <w:t>旗下部分ETF</w:t>
      </w:r>
      <w:r w:rsidR="00091C1B" w:rsidRPr="001947D4">
        <w:rPr>
          <w:rFonts w:ascii="宋体" w:hAnsi="宋体" w:hint="eastAsia"/>
          <w:szCs w:val="21"/>
        </w:rPr>
        <w:t>申购赎回代办证券公司</w:t>
      </w:r>
      <w:r w:rsidR="00001968" w:rsidRPr="001947D4">
        <w:rPr>
          <w:rFonts w:ascii="宋体" w:hAnsi="宋体" w:hint="eastAsia"/>
          <w:szCs w:val="21"/>
        </w:rPr>
        <w:t>，</w:t>
      </w:r>
      <w:r w:rsidR="00001968" w:rsidRPr="001947D4">
        <w:rPr>
          <w:rStyle w:val="a9"/>
          <w:rFonts w:ascii="宋体" w:hAnsi="宋体" w:cs="Arial Unicode MS"/>
        </w:rPr>
        <w:t>具体的业务流程、办理时间和办理方式以</w:t>
      </w:r>
      <w:r w:rsidR="00F2444C" w:rsidRPr="001947D4">
        <w:rPr>
          <w:rFonts w:ascii="宋体" w:hAnsi="宋体" w:hint="eastAsia"/>
          <w:szCs w:val="21"/>
        </w:rPr>
        <w:t>东方财富证券</w:t>
      </w:r>
      <w:r w:rsidR="00001968" w:rsidRPr="001947D4">
        <w:rPr>
          <w:rStyle w:val="a9"/>
          <w:rFonts w:ascii="宋体" w:hAnsi="宋体" w:cs="Arial Unicode MS"/>
        </w:rPr>
        <w:t>的规定为准</w:t>
      </w:r>
      <w:r w:rsidR="00B35110" w:rsidRPr="001947D4">
        <w:rPr>
          <w:rFonts w:ascii="宋体" w:hAnsi="宋体" w:hint="eastAsia"/>
          <w:szCs w:val="21"/>
        </w:rPr>
        <w:t>。</w:t>
      </w:r>
    </w:p>
    <w:p w:rsidR="00124746" w:rsidRPr="001947D4" w:rsidRDefault="00124746" w:rsidP="00A812A2">
      <w:pPr>
        <w:spacing w:line="360" w:lineRule="auto"/>
        <w:ind w:firstLineChars="200" w:firstLine="420"/>
        <w:rPr>
          <w:rFonts w:ascii="宋体" w:hAnsi="宋体"/>
          <w:szCs w:val="21"/>
        </w:rPr>
      </w:pPr>
      <w:r w:rsidRPr="001947D4">
        <w:rPr>
          <w:rStyle w:val="HTML"/>
          <w:rFonts w:cs="Arial Unicode MS"/>
          <w:sz w:val="21"/>
          <w:szCs w:val="21"/>
        </w:rPr>
        <w:t>现将有关事项公告如下：</w:t>
      </w:r>
    </w:p>
    <w:p w:rsidR="00124746" w:rsidRPr="001947D4" w:rsidRDefault="00124746" w:rsidP="00124746">
      <w:pPr>
        <w:spacing w:line="360" w:lineRule="auto"/>
        <w:ind w:firstLineChars="200" w:firstLine="420"/>
        <w:rPr>
          <w:rStyle w:val="HTML"/>
          <w:rFonts w:cs="Arial Unicode MS"/>
          <w:sz w:val="21"/>
          <w:szCs w:val="21"/>
        </w:rPr>
      </w:pPr>
      <w:r w:rsidRPr="001947D4">
        <w:rPr>
          <w:rFonts w:ascii="宋体" w:hAnsi="宋体" w:hint="eastAsia"/>
          <w:szCs w:val="21"/>
        </w:rPr>
        <w:t>一、</w:t>
      </w:r>
      <w:r w:rsidRPr="001947D4">
        <w:rPr>
          <w:rStyle w:val="HTML"/>
          <w:rFonts w:cs="Arial Unicode MS" w:hint="eastAsia"/>
          <w:sz w:val="21"/>
          <w:szCs w:val="21"/>
        </w:rPr>
        <w:t>适用基金</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134"/>
        <w:gridCol w:w="1559"/>
        <w:gridCol w:w="3544"/>
        <w:gridCol w:w="1418"/>
      </w:tblGrid>
      <w:tr w:rsidR="001B5E65" w:rsidRPr="001947D4" w:rsidTr="001B5E65">
        <w:trPr>
          <w:trHeight w:val="540"/>
        </w:trPr>
        <w:tc>
          <w:tcPr>
            <w:tcW w:w="709" w:type="dxa"/>
            <w:shd w:val="clear" w:color="auto" w:fill="auto"/>
            <w:noWrap/>
            <w:vAlign w:val="center"/>
            <w:hideMark/>
          </w:tcPr>
          <w:p w:rsidR="001B5E65" w:rsidRPr="001947D4" w:rsidRDefault="001B5E65" w:rsidP="001B5E65">
            <w:pPr>
              <w:widowControl/>
              <w:jc w:val="center"/>
              <w:rPr>
                <w:rFonts w:ascii="宋体" w:hAnsi="宋体" w:cs="宋体"/>
                <w:bCs/>
                <w:kern w:val="0"/>
                <w:szCs w:val="21"/>
              </w:rPr>
            </w:pPr>
            <w:r w:rsidRPr="001947D4">
              <w:rPr>
                <w:rFonts w:ascii="宋体" w:hAnsi="宋体" w:cs="宋体" w:hint="eastAsia"/>
                <w:bCs/>
                <w:kern w:val="0"/>
                <w:szCs w:val="21"/>
              </w:rPr>
              <w:t>序号</w:t>
            </w:r>
          </w:p>
        </w:tc>
        <w:tc>
          <w:tcPr>
            <w:tcW w:w="1134" w:type="dxa"/>
            <w:shd w:val="clear" w:color="auto" w:fill="auto"/>
            <w:vAlign w:val="center"/>
            <w:hideMark/>
          </w:tcPr>
          <w:p w:rsidR="001B5E65" w:rsidRPr="001947D4" w:rsidRDefault="001B5E65" w:rsidP="001B5E65">
            <w:pPr>
              <w:widowControl/>
              <w:jc w:val="center"/>
              <w:rPr>
                <w:rFonts w:ascii="宋体" w:hAnsi="宋体" w:cs="宋体"/>
                <w:bCs/>
                <w:kern w:val="0"/>
                <w:szCs w:val="21"/>
              </w:rPr>
            </w:pPr>
            <w:r w:rsidRPr="001947D4">
              <w:rPr>
                <w:rFonts w:ascii="宋体" w:hAnsi="宋体" w:cs="宋体" w:hint="eastAsia"/>
                <w:bCs/>
                <w:kern w:val="0"/>
                <w:szCs w:val="21"/>
              </w:rPr>
              <w:t>二级市场交易代码</w:t>
            </w:r>
          </w:p>
        </w:tc>
        <w:tc>
          <w:tcPr>
            <w:tcW w:w="1559" w:type="dxa"/>
            <w:shd w:val="clear" w:color="auto" w:fill="auto"/>
            <w:vAlign w:val="center"/>
            <w:hideMark/>
          </w:tcPr>
          <w:p w:rsidR="001B5E65" w:rsidRPr="001947D4" w:rsidRDefault="001B5E65" w:rsidP="001B5E65">
            <w:pPr>
              <w:widowControl/>
              <w:jc w:val="center"/>
              <w:rPr>
                <w:rFonts w:ascii="宋体" w:hAnsi="宋体" w:cs="宋体"/>
                <w:bCs/>
                <w:kern w:val="0"/>
                <w:szCs w:val="21"/>
              </w:rPr>
            </w:pPr>
            <w:r w:rsidRPr="001947D4">
              <w:rPr>
                <w:rFonts w:ascii="宋体" w:hAnsi="宋体" w:cs="宋体" w:hint="eastAsia"/>
                <w:bCs/>
                <w:kern w:val="0"/>
                <w:szCs w:val="21"/>
              </w:rPr>
              <w:t>一级市场申购赎回代码</w:t>
            </w:r>
          </w:p>
        </w:tc>
        <w:tc>
          <w:tcPr>
            <w:tcW w:w="3544" w:type="dxa"/>
            <w:shd w:val="clear" w:color="auto" w:fill="auto"/>
            <w:noWrap/>
            <w:vAlign w:val="center"/>
            <w:hideMark/>
          </w:tcPr>
          <w:p w:rsidR="001B5E65" w:rsidRPr="001947D4" w:rsidRDefault="001B5E65" w:rsidP="001B5E65">
            <w:pPr>
              <w:widowControl/>
              <w:jc w:val="center"/>
              <w:rPr>
                <w:rFonts w:ascii="宋体" w:hAnsi="宋体" w:cs="宋体"/>
                <w:bCs/>
                <w:kern w:val="0"/>
                <w:szCs w:val="21"/>
              </w:rPr>
            </w:pPr>
            <w:r w:rsidRPr="001947D4">
              <w:rPr>
                <w:rFonts w:ascii="宋体" w:hAnsi="宋体" w:cs="宋体" w:hint="eastAsia"/>
                <w:bCs/>
                <w:kern w:val="0"/>
                <w:szCs w:val="21"/>
              </w:rPr>
              <w:t>基金名称</w:t>
            </w:r>
          </w:p>
        </w:tc>
        <w:tc>
          <w:tcPr>
            <w:tcW w:w="1418" w:type="dxa"/>
            <w:shd w:val="clear" w:color="auto" w:fill="auto"/>
            <w:noWrap/>
            <w:vAlign w:val="center"/>
            <w:hideMark/>
          </w:tcPr>
          <w:p w:rsidR="001B5E65" w:rsidRPr="001947D4" w:rsidRDefault="001B5E65" w:rsidP="001B5E65">
            <w:pPr>
              <w:widowControl/>
              <w:jc w:val="center"/>
              <w:rPr>
                <w:rFonts w:ascii="宋体" w:hAnsi="宋体" w:cs="宋体"/>
                <w:bCs/>
                <w:kern w:val="0"/>
                <w:szCs w:val="21"/>
              </w:rPr>
            </w:pPr>
            <w:r w:rsidRPr="001947D4">
              <w:rPr>
                <w:rFonts w:ascii="宋体" w:hAnsi="宋体" w:cs="宋体" w:hint="eastAsia"/>
                <w:bCs/>
                <w:kern w:val="0"/>
                <w:szCs w:val="21"/>
              </w:rPr>
              <w:t>场内简称</w:t>
            </w:r>
          </w:p>
        </w:tc>
      </w:tr>
      <w:tr w:rsidR="001B5E65" w:rsidRPr="001947D4" w:rsidTr="001B5E65">
        <w:trPr>
          <w:trHeight w:val="270"/>
        </w:trPr>
        <w:tc>
          <w:tcPr>
            <w:tcW w:w="709"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1</w:t>
            </w:r>
          </w:p>
        </w:tc>
        <w:tc>
          <w:tcPr>
            <w:tcW w:w="1134"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159781</w:t>
            </w:r>
          </w:p>
        </w:tc>
        <w:tc>
          <w:tcPr>
            <w:tcW w:w="1559"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159781</w:t>
            </w:r>
          </w:p>
        </w:tc>
        <w:tc>
          <w:tcPr>
            <w:tcW w:w="3544"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易方达中证科创创业50交易型开放式指数证券投资基金</w:t>
            </w:r>
          </w:p>
        </w:tc>
        <w:tc>
          <w:tcPr>
            <w:tcW w:w="1418"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双创50ETF</w:t>
            </w:r>
          </w:p>
        </w:tc>
      </w:tr>
      <w:tr w:rsidR="001B5E65" w:rsidRPr="001947D4" w:rsidTr="001B5E65">
        <w:trPr>
          <w:trHeight w:val="270"/>
        </w:trPr>
        <w:tc>
          <w:tcPr>
            <w:tcW w:w="709"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2</w:t>
            </w:r>
          </w:p>
        </w:tc>
        <w:tc>
          <w:tcPr>
            <w:tcW w:w="1134"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159807</w:t>
            </w:r>
          </w:p>
        </w:tc>
        <w:tc>
          <w:tcPr>
            <w:tcW w:w="1559"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159807</w:t>
            </w:r>
          </w:p>
        </w:tc>
        <w:tc>
          <w:tcPr>
            <w:tcW w:w="3544"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易方达中证科技50交易型开放式指数证券投资基金</w:t>
            </w:r>
          </w:p>
        </w:tc>
        <w:tc>
          <w:tcPr>
            <w:tcW w:w="1418"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科技ETF</w:t>
            </w:r>
          </w:p>
        </w:tc>
      </w:tr>
      <w:tr w:rsidR="001B5E65" w:rsidRPr="001947D4" w:rsidTr="001B5E65">
        <w:trPr>
          <w:trHeight w:val="270"/>
        </w:trPr>
        <w:tc>
          <w:tcPr>
            <w:tcW w:w="709"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3</w:t>
            </w:r>
          </w:p>
        </w:tc>
        <w:tc>
          <w:tcPr>
            <w:tcW w:w="1134"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159819</w:t>
            </w:r>
          </w:p>
        </w:tc>
        <w:tc>
          <w:tcPr>
            <w:tcW w:w="1559"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159819</w:t>
            </w:r>
          </w:p>
        </w:tc>
        <w:tc>
          <w:tcPr>
            <w:tcW w:w="3544"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易方达中证人工智能主题交易型开放式指数证券投资基金</w:t>
            </w:r>
          </w:p>
        </w:tc>
        <w:tc>
          <w:tcPr>
            <w:tcW w:w="1418"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人工智能ETF</w:t>
            </w:r>
          </w:p>
        </w:tc>
      </w:tr>
      <w:tr w:rsidR="001B5E65" w:rsidRPr="001947D4" w:rsidTr="001B5E65">
        <w:trPr>
          <w:trHeight w:val="270"/>
        </w:trPr>
        <w:tc>
          <w:tcPr>
            <w:tcW w:w="709"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4</w:t>
            </w:r>
          </w:p>
        </w:tc>
        <w:tc>
          <w:tcPr>
            <w:tcW w:w="1134"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159837</w:t>
            </w:r>
          </w:p>
        </w:tc>
        <w:tc>
          <w:tcPr>
            <w:tcW w:w="1559"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159837</w:t>
            </w:r>
          </w:p>
        </w:tc>
        <w:tc>
          <w:tcPr>
            <w:tcW w:w="3544"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易方达中证生物科技主题交易型开放式指数证券投资基金</w:t>
            </w:r>
          </w:p>
        </w:tc>
        <w:tc>
          <w:tcPr>
            <w:tcW w:w="1418"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生物科技ETF</w:t>
            </w:r>
          </w:p>
        </w:tc>
      </w:tr>
      <w:tr w:rsidR="001B5E65" w:rsidRPr="001947D4" w:rsidTr="001B5E65">
        <w:trPr>
          <w:trHeight w:val="270"/>
        </w:trPr>
        <w:tc>
          <w:tcPr>
            <w:tcW w:w="709"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5</w:t>
            </w:r>
          </w:p>
        </w:tc>
        <w:tc>
          <w:tcPr>
            <w:tcW w:w="1134"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159847</w:t>
            </w:r>
          </w:p>
        </w:tc>
        <w:tc>
          <w:tcPr>
            <w:tcW w:w="1559"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159847</w:t>
            </w:r>
          </w:p>
        </w:tc>
        <w:tc>
          <w:tcPr>
            <w:tcW w:w="3544"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易方达中证医疗交易型开放式指数证券投资基金</w:t>
            </w:r>
          </w:p>
        </w:tc>
        <w:tc>
          <w:tcPr>
            <w:tcW w:w="1418"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医疗50ETF</w:t>
            </w:r>
          </w:p>
        </w:tc>
      </w:tr>
      <w:tr w:rsidR="001B5E65" w:rsidRPr="001947D4" w:rsidTr="001B5E65">
        <w:trPr>
          <w:trHeight w:val="270"/>
        </w:trPr>
        <w:tc>
          <w:tcPr>
            <w:tcW w:w="709"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6</w:t>
            </w:r>
          </w:p>
        </w:tc>
        <w:tc>
          <w:tcPr>
            <w:tcW w:w="1134"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159901</w:t>
            </w:r>
          </w:p>
        </w:tc>
        <w:tc>
          <w:tcPr>
            <w:tcW w:w="1559"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159901</w:t>
            </w:r>
          </w:p>
        </w:tc>
        <w:tc>
          <w:tcPr>
            <w:tcW w:w="3544"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易方达深证100交易型开放式指数证券投资基金</w:t>
            </w:r>
          </w:p>
        </w:tc>
        <w:tc>
          <w:tcPr>
            <w:tcW w:w="1418"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深证100ETF易方达</w:t>
            </w:r>
          </w:p>
        </w:tc>
      </w:tr>
      <w:tr w:rsidR="001B5E65" w:rsidRPr="001947D4" w:rsidTr="001B5E65">
        <w:trPr>
          <w:trHeight w:val="270"/>
        </w:trPr>
        <w:tc>
          <w:tcPr>
            <w:tcW w:w="709"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7</w:t>
            </w:r>
          </w:p>
        </w:tc>
        <w:tc>
          <w:tcPr>
            <w:tcW w:w="1134"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159915</w:t>
            </w:r>
          </w:p>
        </w:tc>
        <w:tc>
          <w:tcPr>
            <w:tcW w:w="1559"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159915</w:t>
            </w:r>
          </w:p>
        </w:tc>
        <w:tc>
          <w:tcPr>
            <w:tcW w:w="3544"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易方达创业板交易型开放式指数证券投资基金</w:t>
            </w:r>
          </w:p>
        </w:tc>
        <w:tc>
          <w:tcPr>
            <w:tcW w:w="1418"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创业板ETF易方达</w:t>
            </w:r>
          </w:p>
        </w:tc>
      </w:tr>
      <w:tr w:rsidR="001B5E65" w:rsidRPr="001947D4" w:rsidTr="001B5E65">
        <w:trPr>
          <w:trHeight w:val="270"/>
        </w:trPr>
        <w:tc>
          <w:tcPr>
            <w:tcW w:w="709"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8</w:t>
            </w:r>
          </w:p>
        </w:tc>
        <w:tc>
          <w:tcPr>
            <w:tcW w:w="1134"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159934</w:t>
            </w:r>
          </w:p>
        </w:tc>
        <w:tc>
          <w:tcPr>
            <w:tcW w:w="1559"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159934</w:t>
            </w:r>
          </w:p>
        </w:tc>
        <w:tc>
          <w:tcPr>
            <w:tcW w:w="3544"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易方达黄金交易型开放式证券投资基金</w:t>
            </w:r>
          </w:p>
        </w:tc>
        <w:tc>
          <w:tcPr>
            <w:tcW w:w="1418" w:type="dxa"/>
            <w:shd w:val="clear" w:color="auto" w:fill="auto"/>
            <w:noWrap/>
            <w:vAlign w:val="center"/>
            <w:hideMark/>
          </w:tcPr>
          <w:p w:rsidR="001B5E65" w:rsidRPr="001947D4" w:rsidRDefault="001B5E65" w:rsidP="001B5E65">
            <w:pPr>
              <w:widowControl/>
              <w:jc w:val="center"/>
              <w:rPr>
                <w:rFonts w:ascii="宋体" w:hAnsi="宋体" w:cs="宋体"/>
                <w:kern w:val="0"/>
                <w:szCs w:val="21"/>
              </w:rPr>
            </w:pPr>
            <w:r w:rsidRPr="001947D4">
              <w:rPr>
                <w:rFonts w:ascii="宋体" w:hAnsi="宋体" w:cs="宋体" w:hint="eastAsia"/>
                <w:kern w:val="0"/>
                <w:szCs w:val="21"/>
              </w:rPr>
              <w:t>黄金ETF</w:t>
            </w:r>
          </w:p>
        </w:tc>
      </w:tr>
    </w:tbl>
    <w:p w:rsidR="001B5E65" w:rsidRPr="006F11F7" w:rsidRDefault="006F11F7" w:rsidP="00061DCD">
      <w:pPr>
        <w:spacing w:line="360" w:lineRule="auto"/>
        <w:ind w:firstLineChars="200" w:firstLine="420"/>
        <w:rPr>
          <w:rFonts w:ascii="宋体" w:hAnsi="宋体"/>
          <w:szCs w:val="21"/>
        </w:rPr>
      </w:pPr>
      <w:r w:rsidRPr="006F11F7">
        <w:rPr>
          <w:rFonts w:ascii="宋体" w:hAnsi="宋体" w:hint="eastAsia"/>
          <w:szCs w:val="21"/>
        </w:rPr>
        <w:t>注：易方达黄金交易型开放式证券投资基金仅新增东方财富证券为现金申购赎回代办证券公司。</w:t>
      </w:r>
      <w:bookmarkStart w:id="0" w:name="_GoBack"/>
      <w:bookmarkEnd w:id="0"/>
    </w:p>
    <w:p w:rsidR="00061DCD" w:rsidRPr="001947D4" w:rsidRDefault="00124746" w:rsidP="00061DCD">
      <w:pPr>
        <w:spacing w:line="360" w:lineRule="auto"/>
        <w:ind w:firstLineChars="200" w:firstLine="420"/>
        <w:rPr>
          <w:rFonts w:ascii="宋体" w:hAnsi="宋体"/>
          <w:szCs w:val="21"/>
        </w:rPr>
      </w:pPr>
      <w:r w:rsidRPr="001947D4">
        <w:rPr>
          <w:rFonts w:ascii="宋体" w:hAnsi="宋体" w:hint="eastAsia"/>
          <w:szCs w:val="21"/>
        </w:rPr>
        <w:t>二、</w:t>
      </w:r>
      <w:r w:rsidR="00061DCD" w:rsidRPr="001947D4">
        <w:rPr>
          <w:rFonts w:ascii="宋体" w:hAnsi="宋体" w:hint="eastAsia"/>
          <w:szCs w:val="21"/>
        </w:rPr>
        <w:t>投资者可通过以下途径咨询有关详情</w:t>
      </w:r>
    </w:p>
    <w:p w:rsidR="00613937" w:rsidRPr="001947D4" w:rsidRDefault="00B41C10" w:rsidP="00613937">
      <w:pPr>
        <w:spacing w:line="360" w:lineRule="auto"/>
        <w:ind w:firstLineChars="200" w:firstLine="420"/>
        <w:rPr>
          <w:rFonts w:ascii="宋体" w:hAnsi="宋体"/>
          <w:szCs w:val="21"/>
        </w:rPr>
      </w:pPr>
      <w:r w:rsidRPr="001947D4">
        <w:rPr>
          <w:rFonts w:ascii="宋体" w:hAnsi="宋体" w:hint="eastAsia"/>
          <w:szCs w:val="21"/>
        </w:rPr>
        <w:t>1</w:t>
      </w:r>
      <w:r w:rsidR="00CE0E45" w:rsidRPr="001947D4">
        <w:rPr>
          <w:rFonts w:ascii="宋体" w:hAnsi="宋体" w:hint="eastAsia"/>
          <w:szCs w:val="21"/>
        </w:rPr>
        <w:t>.</w:t>
      </w:r>
      <w:r w:rsidR="00F2444C" w:rsidRPr="001947D4">
        <w:rPr>
          <w:rFonts w:ascii="宋体" w:hAnsi="宋体" w:hint="eastAsia"/>
          <w:szCs w:val="21"/>
        </w:rPr>
        <w:t>东方财富证券</w:t>
      </w:r>
    </w:p>
    <w:p w:rsidR="00F2444C" w:rsidRPr="001947D4" w:rsidRDefault="00F2444C" w:rsidP="00F2444C">
      <w:pPr>
        <w:spacing w:line="360" w:lineRule="auto"/>
        <w:ind w:firstLineChars="200" w:firstLine="420"/>
        <w:rPr>
          <w:rFonts w:ascii="宋体" w:hAnsi="宋体"/>
          <w:szCs w:val="21"/>
        </w:rPr>
      </w:pPr>
      <w:r w:rsidRPr="001947D4">
        <w:rPr>
          <w:rFonts w:ascii="宋体" w:hAnsi="宋体" w:hint="eastAsia"/>
          <w:szCs w:val="21"/>
        </w:rPr>
        <w:t>注册地址：西藏自治区拉萨市柳梧新区国际总部城10栋楼</w:t>
      </w:r>
    </w:p>
    <w:p w:rsidR="00F2444C" w:rsidRPr="001947D4" w:rsidRDefault="00F2444C" w:rsidP="00F2444C">
      <w:pPr>
        <w:spacing w:line="360" w:lineRule="auto"/>
        <w:ind w:firstLineChars="200" w:firstLine="420"/>
        <w:rPr>
          <w:rFonts w:ascii="宋体" w:hAnsi="宋体"/>
          <w:szCs w:val="21"/>
        </w:rPr>
      </w:pPr>
      <w:r w:rsidRPr="001947D4">
        <w:rPr>
          <w:rFonts w:ascii="宋体" w:hAnsi="宋体" w:hint="eastAsia"/>
          <w:szCs w:val="21"/>
        </w:rPr>
        <w:t>办公地址：上海市徐汇区宛平南路88号金座东方财富大厦16楼</w:t>
      </w:r>
    </w:p>
    <w:p w:rsidR="00F2444C" w:rsidRPr="001947D4" w:rsidRDefault="00F2444C" w:rsidP="00F2444C">
      <w:pPr>
        <w:spacing w:line="360" w:lineRule="auto"/>
        <w:ind w:firstLineChars="200" w:firstLine="420"/>
        <w:rPr>
          <w:rFonts w:ascii="宋体" w:hAnsi="宋体"/>
          <w:szCs w:val="21"/>
        </w:rPr>
      </w:pPr>
      <w:r w:rsidRPr="001947D4">
        <w:rPr>
          <w:rFonts w:ascii="宋体" w:hAnsi="宋体" w:hint="eastAsia"/>
          <w:szCs w:val="21"/>
        </w:rPr>
        <w:t>法定代表人：戴彦</w:t>
      </w:r>
    </w:p>
    <w:p w:rsidR="00F2444C" w:rsidRPr="001947D4" w:rsidRDefault="00F2444C" w:rsidP="00F2444C">
      <w:pPr>
        <w:spacing w:line="360" w:lineRule="auto"/>
        <w:ind w:firstLineChars="200" w:firstLine="420"/>
        <w:rPr>
          <w:rFonts w:ascii="宋体" w:hAnsi="宋体"/>
          <w:szCs w:val="21"/>
        </w:rPr>
      </w:pPr>
      <w:r w:rsidRPr="001947D4">
        <w:rPr>
          <w:rFonts w:ascii="宋体" w:hAnsi="宋体" w:hint="eastAsia"/>
          <w:szCs w:val="21"/>
        </w:rPr>
        <w:t>联系人：</w:t>
      </w:r>
      <w:r w:rsidR="00231000" w:rsidRPr="001947D4">
        <w:rPr>
          <w:rFonts w:ascii="宋体" w:hAnsi="宋体" w:hint="eastAsia"/>
          <w:szCs w:val="21"/>
        </w:rPr>
        <w:t>陈亚男</w:t>
      </w:r>
    </w:p>
    <w:p w:rsidR="00F2444C" w:rsidRPr="001947D4" w:rsidRDefault="00F2444C" w:rsidP="00F2444C">
      <w:pPr>
        <w:spacing w:line="360" w:lineRule="auto"/>
        <w:ind w:firstLineChars="200" w:firstLine="420"/>
        <w:rPr>
          <w:rFonts w:ascii="宋体" w:hAnsi="宋体"/>
          <w:szCs w:val="21"/>
        </w:rPr>
      </w:pPr>
      <w:r w:rsidRPr="001947D4">
        <w:rPr>
          <w:rFonts w:ascii="宋体" w:hAnsi="宋体" w:hint="eastAsia"/>
          <w:szCs w:val="21"/>
        </w:rPr>
        <w:t>联系电话：</w:t>
      </w:r>
      <w:r w:rsidR="00231000" w:rsidRPr="001947D4">
        <w:rPr>
          <w:rFonts w:ascii="宋体" w:hAnsi="宋体" w:hint="eastAsia"/>
          <w:szCs w:val="21"/>
        </w:rPr>
        <w:t>021-23586583</w:t>
      </w:r>
    </w:p>
    <w:p w:rsidR="00F2444C" w:rsidRPr="001947D4" w:rsidRDefault="00F2444C" w:rsidP="00F2444C">
      <w:pPr>
        <w:spacing w:line="360" w:lineRule="auto"/>
        <w:ind w:firstLineChars="200" w:firstLine="420"/>
        <w:rPr>
          <w:rFonts w:ascii="宋体" w:hAnsi="宋体"/>
          <w:szCs w:val="21"/>
        </w:rPr>
      </w:pPr>
      <w:r w:rsidRPr="001947D4">
        <w:rPr>
          <w:rFonts w:ascii="宋体" w:hAnsi="宋体" w:hint="eastAsia"/>
          <w:szCs w:val="21"/>
        </w:rPr>
        <w:lastRenderedPageBreak/>
        <w:t>客户服务电话：95357</w:t>
      </w:r>
    </w:p>
    <w:p w:rsidR="008D0702" w:rsidRPr="001947D4" w:rsidRDefault="00F2444C" w:rsidP="00124746">
      <w:pPr>
        <w:spacing w:line="360" w:lineRule="auto"/>
        <w:ind w:firstLineChars="200" w:firstLine="420"/>
        <w:rPr>
          <w:rFonts w:ascii="宋体" w:hAnsi="宋体"/>
          <w:szCs w:val="21"/>
        </w:rPr>
      </w:pPr>
      <w:r w:rsidRPr="001947D4">
        <w:rPr>
          <w:rFonts w:ascii="宋体" w:hAnsi="宋体" w:hint="eastAsia"/>
          <w:szCs w:val="21"/>
        </w:rPr>
        <w:t>网址：http://www.18.cn</w:t>
      </w:r>
    </w:p>
    <w:p w:rsidR="00061DCD" w:rsidRPr="001947D4" w:rsidRDefault="009E19D6" w:rsidP="007557A1">
      <w:pPr>
        <w:spacing w:line="360" w:lineRule="auto"/>
        <w:ind w:firstLineChars="200" w:firstLine="420"/>
        <w:rPr>
          <w:rFonts w:ascii="宋体" w:hAnsi="宋体"/>
          <w:szCs w:val="21"/>
        </w:rPr>
      </w:pPr>
      <w:r w:rsidRPr="001947D4">
        <w:rPr>
          <w:rFonts w:ascii="宋体" w:hAnsi="宋体" w:hint="eastAsia"/>
          <w:szCs w:val="21"/>
        </w:rPr>
        <w:t>2</w:t>
      </w:r>
      <w:r w:rsidR="00263A0C" w:rsidRPr="001947D4">
        <w:rPr>
          <w:rFonts w:ascii="宋体" w:hAnsi="宋体" w:hint="eastAsia"/>
          <w:szCs w:val="21"/>
        </w:rPr>
        <w:t>.</w:t>
      </w:r>
      <w:r w:rsidR="00061DCD" w:rsidRPr="001947D4">
        <w:rPr>
          <w:rFonts w:ascii="宋体" w:hAnsi="宋体" w:hint="eastAsia"/>
          <w:szCs w:val="21"/>
        </w:rPr>
        <w:t>易方达基金管理有限公司</w:t>
      </w:r>
    </w:p>
    <w:p w:rsidR="00061DCD" w:rsidRPr="001947D4" w:rsidRDefault="00061DCD" w:rsidP="00061DCD">
      <w:pPr>
        <w:spacing w:line="360" w:lineRule="auto"/>
        <w:ind w:firstLineChars="200" w:firstLine="420"/>
        <w:rPr>
          <w:rFonts w:ascii="宋体" w:hAnsi="宋体"/>
          <w:szCs w:val="21"/>
        </w:rPr>
      </w:pPr>
      <w:r w:rsidRPr="001947D4">
        <w:rPr>
          <w:rFonts w:ascii="宋体" w:hAnsi="宋体" w:hint="eastAsia"/>
          <w:szCs w:val="21"/>
        </w:rPr>
        <w:t>客户服务电话：400-881-8088</w:t>
      </w:r>
    </w:p>
    <w:p w:rsidR="00061DCD" w:rsidRPr="001947D4" w:rsidRDefault="00061DCD" w:rsidP="00061DCD">
      <w:pPr>
        <w:spacing w:line="360" w:lineRule="auto"/>
        <w:ind w:firstLineChars="200" w:firstLine="420"/>
        <w:rPr>
          <w:rFonts w:ascii="宋体" w:hAnsi="宋体"/>
          <w:szCs w:val="21"/>
        </w:rPr>
      </w:pPr>
      <w:r w:rsidRPr="001947D4">
        <w:rPr>
          <w:rFonts w:ascii="宋体" w:hAnsi="宋体" w:hint="eastAsia"/>
          <w:szCs w:val="21"/>
        </w:rPr>
        <w:t>网址：www.efunds.com.cn</w:t>
      </w:r>
    </w:p>
    <w:p w:rsidR="00061DCD" w:rsidRPr="001947D4" w:rsidRDefault="00C41C99" w:rsidP="00061DCD">
      <w:pPr>
        <w:spacing w:line="360" w:lineRule="auto"/>
        <w:ind w:firstLineChars="200" w:firstLine="420"/>
        <w:rPr>
          <w:rFonts w:ascii="宋体" w:hAnsi="宋体"/>
          <w:szCs w:val="21"/>
        </w:rPr>
      </w:pPr>
      <w:r w:rsidRPr="001947D4">
        <w:rPr>
          <w:rFonts w:ascii="宋体" w:hAnsi="宋体" w:hint="eastAsia"/>
          <w:szCs w:val="21"/>
        </w:rPr>
        <w:t>风险提示：</w:t>
      </w:r>
      <w:r w:rsidRPr="001947D4">
        <w:rPr>
          <w:rFonts w:ascii="宋体" w:hAnsi="宋体" w:cs="Arial Unicode MS" w:hint="eastAsia"/>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061DCD" w:rsidRPr="001947D4" w:rsidRDefault="00061DCD" w:rsidP="00061DCD">
      <w:pPr>
        <w:spacing w:line="360" w:lineRule="auto"/>
        <w:ind w:firstLineChars="200" w:firstLine="420"/>
        <w:rPr>
          <w:rFonts w:ascii="宋体" w:hAnsi="宋体"/>
          <w:szCs w:val="21"/>
        </w:rPr>
      </w:pPr>
      <w:r w:rsidRPr="001947D4">
        <w:rPr>
          <w:rFonts w:ascii="宋体" w:hAnsi="宋体" w:hint="eastAsia"/>
          <w:szCs w:val="21"/>
        </w:rPr>
        <w:t>特此公告。</w:t>
      </w:r>
    </w:p>
    <w:p w:rsidR="00061DCD" w:rsidRPr="001947D4" w:rsidRDefault="00061DCD" w:rsidP="00061DCD">
      <w:pPr>
        <w:spacing w:line="360" w:lineRule="auto"/>
        <w:jc w:val="right"/>
        <w:rPr>
          <w:rFonts w:ascii="宋体" w:hAnsi="宋体"/>
          <w:szCs w:val="21"/>
        </w:rPr>
      </w:pPr>
      <w:r w:rsidRPr="001947D4">
        <w:rPr>
          <w:rFonts w:ascii="宋体" w:hAnsi="宋体" w:hint="eastAsia"/>
          <w:szCs w:val="21"/>
        </w:rPr>
        <w:t>易方达基金管理有限公司</w:t>
      </w:r>
    </w:p>
    <w:p w:rsidR="002D45D8" w:rsidRPr="001947D4" w:rsidRDefault="00027FB9" w:rsidP="007557A1">
      <w:pPr>
        <w:tabs>
          <w:tab w:val="left" w:pos="540"/>
        </w:tabs>
        <w:spacing w:line="360" w:lineRule="auto"/>
        <w:jc w:val="right"/>
        <w:rPr>
          <w:rFonts w:ascii="宋体" w:hAnsi="宋体"/>
          <w:szCs w:val="21"/>
        </w:rPr>
      </w:pPr>
      <w:r w:rsidRPr="001947D4">
        <w:rPr>
          <w:rFonts w:ascii="宋体" w:hAnsi="宋体" w:hint="eastAsia"/>
          <w:szCs w:val="21"/>
        </w:rPr>
        <w:t>20</w:t>
      </w:r>
      <w:r w:rsidR="00F06C3D" w:rsidRPr="001947D4">
        <w:rPr>
          <w:rFonts w:ascii="宋体" w:hAnsi="宋体" w:hint="eastAsia"/>
          <w:szCs w:val="21"/>
        </w:rPr>
        <w:t>2</w:t>
      </w:r>
      <w:r w:rsidR="003C78B5" w:rsidRPr="001947D4">
        <w:rPr>
          <w:rFonts w:ascii="宋体" w:hAnsi="宋体" w:hint="eastAsia"/>
          <w:szCs w:val="21"/>
        </w:rPr>
        <w:t>1</w:t>
      </w:r>
      <w:r w:rsidR="001C006A" w:rsidRPr="001947D4">
        <w:rPr>
          <w:rFonts w:ascii="宋体" w:hAnsi="宋体" w:hint="eastAsia"/>
          <w:szCs w:val="21"/>
        </w:rPr>
        <w:t>年</w:t>
      </w:r>
      <w:r w:rsidR="008D01EC" w:rsidRPr="001947D4">
        <w:rPr>
          <w:rFonts w:ascii="宋体" w:hAnsi="宋体" w:hint="eastAsia"/>
          <w:szCs w:val="21"/>
        </w:rPr>
        <w:t>9</w:t>
      </w:r>
      <w:r w:rsidR="00F504F4" w:rsidRPr="001947D4">
        <w:rPr>
          <w:rFonts w:ascii="宋体" w:hAnsi="宋体" w:hint="eastAsia"/>
          <w:szCs w:val="21"/>
        </w:rPr>
        <w:t>月</w:t>
      </w:r>
      <w:r w:rsidR="00F2444C" w:rsidRPr="001947D4">
        <w:rPr>
          <w:rFonts w:ascii="宋体" w:hAnsi="宋体" w:hint="eastAsia"/>
          <w:szCs w:val="21"/>
        </w:rPr>
        <w:t>1</w:t>
      </w:r>
      <w:r w:rsidR="001B5E65" w:rsidRPr="001947D4">
        <w:rPr>
          <w:rFonts w:ascii="宋体" w:hAnsi="宋体" w:hint="eastAsia"/>
          <w:szCs w:val="21"/>
        </w:rPr>
        <w:t>7</w:t>
      </w:r>
      <w:r w:rsidR="00F504F4" w:rsidRPr="001947D4">
        <w:rPr>
          <w:rFonts w:ascii="宋体" w:hAnsi="宋体" w:hint="eastAsia"/>
          <w:szCs w:val="21"/>
        </w:rPr>
        <w:t>日</w:t>
      </w:r>
    </w:p>
    <w:sectPr w:rsidR="002D45D8" w:rsidRPr="001947D4" w:rsidSect="00FE7324">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76" w:rsidRDefault="00FF3F76" w:rsidP="00C92938">
      <w:r>
        <w:separator/>
      </w:r>
    </w:p>
  </w:endnote>
  <w:endnote w:type="continuationSeparator" w:id="0">
    <w:p w:rsidR="00FF3F76" w:rsidRDefault="00FF3F76" w:rsidP="00C92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76" w:rsidRDefault="00FF3F76" w:rsidP="00C92938">
      <w:r>
        <w:separator/>
      </w:r>
    </w:p>
  </w:footnote>
  <w:footnote w:type="continuationSeparator" w:id="0">
    <w:p w:rsidR="00FF3F76" w:rsidRDefault="00FF3F76" w:rsidP="00C92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2D4B"/>
    <w:multiLevelType w:val="hybridMultilevel"/>
    <w:tmpl w:val="55003724"/>
    <w:lvl w:ilvl="0" w:tplc="2E32B36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2938"/>
    <w:rsid w:val="00001968"/>
    <w:rsid w:val="000049CB"/>
    <w:rsid w:val="0000510B"/>
    <w:rsid w:val="00007104"/>
    <w:rsid w:val="00025DAF"/>
    <w:rsid w:val="00027FB9"/>
    <w:rsid w:val="00061DCD"/>
    <w:rsid w:val="0008126B"/>
    <w:rsid w:val="00081C3F"/>
    <w:rsid w:val="00082A2B"/>
    <w:rsid w:val="00091C1B"/>
    <w:rsid w:val="000A7717"/>
    <w:rsid w:val="000B1E17"/>
    <w:rsid w:val="000B5C2C"/>
    <w:rsid w:val="000E0146"/>
    <w:rsid w:val="000E1CC5"/>
    <w:rsid w:val="000E5FCE"/>
    <w:rsid w:val="00106AF2"/>
    <w:rsid w:val="001074F6"/>
    <w:rsid w:val="00110A10"/>
    <w:rsid w:val="00124746"/>
    <w:rsid w:val="001321EB"/>
    <w:rsid w:val="001327C7"/>
    <w:rsid w:val="00143D9D"/>
    <w:rsid w:val="001471A6"/>
    <w:rsid w:val="00152B23"/>
    <w:rsid w:val="001541E8"/>
    <w:rsid w:val="001572EF"/>
    <w:rsid w:val="0016164E"/>
    <w:rsid w:val="00162E6D"/>
    <w:rsid w:val="00166987"/>
    <w:rsid w:val="001947D4"/>
    <w:rsid w:val="001969B3"/>
    <w:rsid w:val="00197E7C"/>
    <w:rsid w:val="001B5E65"/>
    <w:rsid w:val="001C006A"/>
    <w:rsid w:val="001C7B81"/>
    <w:rsid w:val="00201BCE"/>
    <w:rsid w:val="00217684"/>
    <w:rsid w:val="00220721"/>
    <w:rsid w:val="00220FE5"/>
    <w:rsid w:val="00222B39"/>
    <w:rsid w:val="00222C43"/>
    <w:rsid w:val="00231000"/>
    <w:rsid w:val="00233B35"/>
    <w:rsid w:val="00234149"/>
    <w:rsid w:val="00240C93"/>
    <w:rsid w:val="00247315"/>
    <w:rsid w:val="002529A1"/>
    <w:rsid w:val="00253DAD"/>
    <w:rsid w:val="00262F1E"/>
    <w:rsid w:val="00263A0C"/>
    <w:rsid w:val="00275321"/>
    <w:rsid w:val="00296A9D"/>
    <w:rsid w:val="002A0FE3"/>
    <w:rsid w:val="002A53B1"/>
    <w:rsid w:val="002A6245"/>
    <w:rsid w:val="002C1982"/>
    <w:rsid w:val="002D12E5"/>
    <w:rsid w:val="002D45D8"/>
    <w:rsid w:val="002E2F5D"/>
    <w:rsid w:val="002F2741"/>
    <w:rsid w:val="002F6CB5"/>
    <w:rsid w:val="003002FB"/>
    <w:rsid w:val="003056FD"/>
    <w:rsid w:val="00312EA8"/>
    <w:rsid w:val="00313E49"/>
    <w:rsid w:val="003317FB"/>
    <w:rsid w:val="00333835"/>
    <w:rsid w:val="00336F30"/>
    <w:rsid w:val="0034206D"/>
    <w:rsid w:val="00353D74"/>
    <w:rsid w:val="00353E88"/>
    <w:rsid w:val="00360D22"/>
    <w:rsid w:val="00363B2E"/>
    <w:rsid w:val="00363CCE"/>
    <w:rsid w:val="00374AD3"/>
    <w:rsid w:val="00387A24"/>
    <w:rsid w:val="00391B11"/>
    <w:rsid w:val="00396C93"/>
    <w:rsid w:val="003A230B"/>
    <w:rsid w:val="003A2F0C"/>
    <w:rsid w:val="003B3C60"/>
    <w:rsid w:val="003C2161"/>
    <w:rsid w:val="003C3AF8"/>
    <w:rsid w:val="003C78B5"/>
    <w:rsid w:val="003D1940"/>
    <w:rsid w:val="003D45AA"/>
    <w:rsid w:val="003F241D"/>
    <w:rsid w:val="003F755A"/>
    <w:rsid w:val="004050AA"/>
    <w:rsid w:val="00410224"/>
    <w:rsid w:val="0041298F"/>
    <w:rsid w:val="00414A48"/>
    <w:rsid w:val="00425ACC"/>
    <w:rsid w:val="00425BA4"/>
    <w:rsid w:val="00427916"/>
    <w:rsid w:val="0044121D"/>
    <w:rsid w:val="00442918"/>
    <w:rsid w:val="00444507"/>
    <w:rsid w:val="004559F2"/>
    <w:rsid w:val="00465889"/>
    <w:rsid w:val="00470960"/>
    <w:rsid w:val="00471114"/>
    <w:rsid w:val="0047196F"/>
    <w:rsid w:val="00474408"/>
    <w:rsid w:val="00475797"/>
    <w:rsid w:val="00480149"/>
    <w:rsid w:val="00481C8C"/>
    <w:rsid w:val="00483DA0"/>
    <w:rsid w:val="0048754B"/>
    <w:rsid w:val="0049326B"/>
    <w:rsid w:val="004B261C"/>
    <w:rsid w:val="004C3767"/>
    <w:rsid w:val="004C4D5B"/>
    <w:rsid w:val="004D4433"/>
    <w:rsid w:val="004D78A7"/>
    <w:rsid w:val="004E53B4"/>
    <w:rsid w:val="004F1285"/>
    <w:rsid w:val="0050376C"/>
    <w:rsid w:val="005105BE"/>
    <w:rsid w:val="00530C42"/>
    <w:rsid w:val="00552F64"/>
    <w:rsid w:val="005609DF"/>
    <w:rsid w:val="0056611E"/>
    <w:rsid w:val="005758C3"/>
    <w:rsid w:val="005919BA"/>
    <w:rsid w:val="00591E7B"/>
    <w:rsid w:val="00597848"/>
    <w:rsid w:val="005A0316"/>
    <w:rsid w:val="005A1389"/>
    <w:rsid w:val="005A320A"/>
    <w:rsid w:val="005A46E2"/>
    <w:rsid w:val="005A5AA0"/>
    <w:rsid w:val="005C0EC5"/>
    <w:rsid w:val="005C74C4"/>
    <w:rsid w:val="005D6AA2"/>
    <w:rsid w:val="005F786C"/>
    <w:rsid w:val="00604B1B"/>
    <w:rsid w:val="00606A6E"/>
    <w:rsid w:val="00612656"/>
    <w:rsid w:val="00613937"/>
    <w:rsid w:val="00617BF8"/>
    <w:rsid w:val="00626EF3"/>
    <w:rsid w:val="0064549B"/>
    <w:rsid w:val="0064780B"/>
    <w:rsid w:val="0065191A"/>
    <w:rsid w:val="006550F1"/>
    <w:rsid w:val="0066261E"/>
    <w:rsid w:val="00681165"/>
    <w:rsid w:val="006A6960"/>
    <w:rsid w:val="006B0C4C"/>
    <w:rsid w:val="006B12A6"/>
    <w:rsid w:val="006B6966"/>
    <w:rsid w:val="006D403A"/>
    <w:rsid w:val="006D7626"/>
    <w:rsid w:val="006E33D5"/>
    <w:rsid w:val="006F11F7"/>
    <w:rsid w:val="006F519C"/>
    <w:rsid w:val="00702026"/>
    <w:rsid w:val="00702B39"/>
    <w:rsid w:val="0071363F"/>
    <w:rsid w:val="00715233"/>
    <w:rsid w:val="0073019D"/>
    <w:rsid w:val="007557A1"/>
    <w:rsid w:val="00766A7F"/>
    <w:rsid w:val="00770605"/>
    <w:rsid w:val="00773709"/>
    <w:rsid w:val="00781098"/>
    <w:rsid w:val="00786248"/>
    <w:rsid w:val="007A146D"/>
    <w:rsid w:val="007A5476"/>
    <w:rsid w:val="007B1765"/>
    <w:rsid w:val="007B1A28"/>
    <w:rsid w:val="007D07F3"/>
    <w:rsid w:val="007D3004"/>
    <w:rsid w:val="007D44DE"/>
    <w:rsid w:val="007F67DD"/>
    <w:rsid w:val="007F7D44"/>
    <w:rsid w:val="00820328"/>
    <w:rsid w:val="0082116E"/>
    <w:rsid w:val="0082156C"/>
    <w:rsid w:val="00830864"/>
    <w:rsid w:val="00840260"/>
    <w:rsid w:val="008425F3"/>
    <w:rsid w:val="00852300"/>
    <w:rsid w:val="008645E6"/>
    <w:rsid w:val="00864FCB"/>
    <w:rsid w:val="00877422"/>
    <w:rsid w:val="0088711F"/>
    <w:rsid w:val="00894DFD"/>
    <w:rsid w:val="008A245E"/>
    <w:rsid w:val="008A42E9"/>
    <w:rsid w:val="008A706F"/>
    <w:rsid w:val="008B72AB"/>
    <w:rsid w:val="008B7972"/>
    <w:rsid w:val="008C5CCF"/>
    <w:rsid w:val="008D01EC"/>
    <w:rsid w:val="008D04FE"/>
    <w:rsid w:val="008D0702"/>
    <w:rsid w:val="008D566E"/>
    <w:rsid w:val="008E1456"/>
    <w:rsid w:val="008E4722"/>
    <w:rsid w:val="008F0746"/>
    <w:rsid w:val="008F0F97"/>
    <w:rsid w:val="008F3EBC"/>
    <w:rsid w:val="00902D4A"/>
    <w:rsid w:val="0090610C"/>
    <w:rsid w:val="00907AD4"/>
    <w:rsid w:val="00915BCD"/>
    <w:rsid w:val="0092253F"/>
    <w:rsid w:val="00934584"/>
    <w:rsid w:val="00934CFC"/>
    <w:rsid w:val="009423A0"/>
    <w:rsid w:val="0094430C"/>
    <w:rsid w:val="0095238E"/>
    <w:rsid w:val="009673B9"/>
    <w:rsid w:val="00976560"/>
    <w:rsid w:val="00984A63"/>
    <w:rsid w:val="009A6C09"/>
    <w:rsid w:val="009A7215"/>
    <w:rsid w:val="009A7792"/>
    <w:rsid w:val="009B270D"/>
    <w:rsid w:val="009C56C6"/>
    <w:rsid w:val="009C6629"/>
    <w:rsid w:val="009D2B18"/>
    <w:rsid w:val="009E19D6"/>
    <w:rsid w:val="009F7C50"/>
    <w:rsid w:val="00A009E0"/>
    <w:rsid w:val="00A018DF"/>
    <w:rsid w:val="00A3496E"/>
    <w:rsid w:val="00A40564"/>
    <w:rsid w:val="00A44671"/>
    <w:rsid w:val="00A52110"/>
    <w:rsid w:val="00A53B86"/>
    <w:rsid w:val="00A64F08"/>
    <w:rsid w:val="00A812A2"/>
    <w:rsid w:val="00A81D96"/>
    <w:rsid w:val="00A862FB"/>
    <w:rsid w:val="00A86773"/>
    <w:rsid w:val="00A96ABE"/>
    <w:rsid w:val="00AA2743"/>
    <w:rsid w:val="00AC0D38"/>
    <w:rsid w:val="00AC70EC"/>
    <w:rsid w:val="00AF2FB6"/>
    <w:rsid w:val="00B0186E"/>
    <w:rsid w:val="00B03340"/>
    <w:rsid w:val="00B0410A"/>
    <w:rsid w:val="00B12884"/>
    <w:rsid w:val="00B13E5D"/>
    <w:rsid w:val="00B23022"/>
    <w:rsid w:val="00B255CA"/>
    <w:rsid w:val="00B25928"/>
    <w:rsid w:val="00B30DB5"/>
    <w:rsid w:val="00B32BD4"/>
    <w:rsid w:val="00B348E8"/>
    <w:rsid w:val="00B35110"/>
    <w:rsid w:val="00B352BC"/>
    <w:rsid w:val="00B36C0B"/>
    <w:rsid w:val="00B41C10"/>
    <w:rsid w:val="00B42445"/>
    <w:rsid w:val="00B51560"/>
    <w:rsid w:val="00B579D5"/>
    <w:rsid w:val="00BA02B5"/>
    <w:rsid w:val="00BA37A9"/>
    <w:rsid w:val="00BC0161"/>
    <w:rsid w:val="00BC43D5"/>
    <w:rsid w:val="00BD075C"/>
    <w:rsid w:val="00BD5059"/>
    <w:rsid w:val="00BE7941"/>
    <w:rsid w:val="00C042BD"/>
    <w:rsid w:val="00C07118"/>
    <w:rsid w:val="00C14C96"/>
    <w:rsid w:val="00C204C3"/>
    <w:rsid w:val="00C257DD"/>
    <w:rsid w:val="00C400AB"/>
    <w:rsid w:val="00C41C99"/>
    <w:rsid w:val="00C437DA"/>
    <w:rsid w:val="00C45E71"/>
    <w:rsid w:val="00C571E6"/>
    <w:rsid w:val="00C7153E"/>
    <w:rsid w:val="00C81E96"/>
    <w:rsid w:val="00C92938"/>
    <w:rsid w:val="00C947BD"/>
    <w:rsid w:val="00CA1010"/>
    <w:rsid w:val="00CD6461"/>
    <w:rsid w:val="00CE0E45"/>
    <w:rsid w:val="00CE46D1"/>
    <w:rsid w:val="00D02F3A"/>
    <w:rsid w:val="00D22388"/>
    <w:rsid w:val="00D31EF9"/>
    <w:rsid w:val="00D32B20"/>
    <w:rsid w:val="00D56416"/>
    <w:rsid w:val="00D702F7"/>
    <w:rsid w:val="00D732D3"/>
    <w:rsid w:val="00D83878"/>
    <w:rsid w:val="00D842D0"/>
    <w:rsid w:val="00D93B03"/>
    <w:rsid w:val="00D95402"/>
    <w:rsid w:val="00D9641D"/>
    <w:rsid w:val="00DA2D05"/>
    <w:rsid w:val="00DA6D11"/>
    <w:rsid w:val="00DA7F6A"/>
    <w:rsid w:val="00DB41D4"/>
    <w:rsid w:val="00DD140D"/>
    <w:rsid w:val="00DE28DB"/>
    <w:rsid w:val="00DE3333"/>
    <w:rsid w:val="00DF64FD"/>
    <w:rsid w:val="00DF6C65"/>
    <w:rsid w:val="00DF7887"/>
    <w:rsid w:val="00E11BEE"/>
    <w:rsid w:val="00E141CF"/>
    <w:rsid w:val="00E255AB"/>
    <w:rsid w:val="00E274CC"/>
    <w:rsid w:val="00E33F88"/>
    <w:rsid w:val="00E360AF"/>
    <w:rsid w:val="00E475AF"/>
    <w:rsid w:val="00E70E60"/>
    <w:rsid w:val="00E9179C"/>
    <w:rsid w:val="00E925BE"/>
    <w:rsid w:val="00EA06DF"/>
    <w:rsid w:val="00EA5829"/>
    <w:rsid w:val="00EA6808"/>
    <w:rsid w:val="00EB3998"/>
    <w:rsid w:val="00EC0547"/>
    <w:rsid w:val="00ED356C"/>
    <w:rsid w:val="00ED3663"/>
    <w:rsid w:val="00ED5CA5"/>
    <w:rsid w:val="00EE14FE"/>
    <w:rsid w:val="00EE57DC"/>
    <w:rsid w:val="00EF3C13"/>
    <w:rsid w:val="00F006D3"/>
    <w:rsid w:val="00F01C81"/>
    <w:rsid w:val="00F03756"/>
    <w:rsid w:val="00F05943"/>
    <w:rsid w:val="00F06C3D"/>
    <w:rsid w:val="00F07E9B"/>
    <w:rsid w:val="00F2444C"/>
    <w:rsid w:val="00F2755A"/>
    <w:rsid w:val="00F36025"/>
    <w:rsid w:val="00F419F4"/>
    <w:rsid w:val="00F42B37"/>
    <w:rsid w:val="00F42EDF"/>
    <w:rsid w:val="00F4320E"/>
    <w:rsid w:val="00F44076"/>
    <w:rsid w:val="00F4500A"/>
    <w:rsid w:val="00F45AF5"/>
    <w:rsid w:val="00F504F4"/>
    <w:rsid w:val="00F5784C"/>
    <w:rsid w:val="00F86425"/>
    <w:rsid w:val="00F964DC"/>
    <w:rsid w:val="00FA2E98"/>
    <w:rsid w:val="00FA4F48"/>
    <w:rsid w:val="00FA62E7"/>
    <w:rsid w:val="00FA7698"/>
    <w:rsid w:val="00FC0DB1"/>
    <w:rsid w:val="00FC16AF"/>
    <w:rsid w:val="00FC2602"/>
    <w:rsid w:val="00FC5FB8"/>
    <w:rsid w:val="00FE4A11"/>
    <w:rsid w:val="00FE7324"/>
    <w:rsid w:val="00FF2140"/>
    <w:rsid w:val="00FF3F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Typewriter"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38"/>
    <w:pPr>
      <w:widowControl w:val="0"/>
      <w:jc w:val="both"/>
    </w:pPr>
    <w:rPr>
      <w:kern w:val="2"/>
      <w:sz w:val="21"/>
      <w:szCs w:val="24"/>
    </w:rPr>
  </w:style>
  <w:style w:type="paragraph" w:styleId="1">
    <w:name w:val="heading 1"/>
    <w:basedOn w:val="a"/>
    <w:next w:val="a"/>
    <w:link w:val="1Char"/>
    <w:uiPriority w:val="9"/>
    <w:qFormat/>
    <w:rsid w:val="001541E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41E8"/>
    <w:rPr>
      <w:b/>
      <w:bCs/>
      <w:kern w:val="44"/>
      <w:sz w:val="44"/>
      <w:szCs w:val="44"/>
    </w:rPr>
  </w:style>
  <w:style w:type="character" w:styleId="a3">
    <w:name w:val="Strong"/>
    <w:basedOn w:val="a0"/>
    <w:uiPriority w:val="22"/>
    <w:qFormat/>
    <w:rsid w:val="001541E8"/>
    <w:rPr>
      <w:b/>
      <w:bCs/>
    </w:rPr>
  </w:style>
  <w:style w:type="paragraph" w:styleId="a4">
    <w:name w:val="List Paragraph"/>
    <w:basedOn w:val="a"/>
    <w:uiPriority w:val="34"/>
    <w:qFormat/>
    <w:rsid w:val="001541E8"/>
    <w:pPr>
      <w:ind w:firstLine="420"/>
    </w:pPr>
  </w:style>
  <w:style w:type="paragraph" w:styleId="a5">
    <w:name w:val="header"/>
    <w:basedOn w:val="a"/>
    <w:link w:val="Char"/>
    <w:uiPriority w:val="99"/>
    <w:unhideWhenUsed/>
    <w:rsid w:val="00C929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92938"/>
    <w:rPr>
      <w:rFonts w:ascii="Calibri" w:hAnsi="Calibri" w:cs="宋体"/>
      <w:sz w:val="18"/>
      <w:szCs w:val="18"/>
    </w:rPr>
  </w:style>
  <w:style w:type="paragraph" w:styleId="a6">
    <w:name w:val="footer"/>
    <w:basedOn w:val="a"/>
    <w:link w:val="Char0"/>
    <w:uiPriority w:val="99"/>
    <w:unhideWhenUsed/>
    <w:rsid w:val="00C92938"/>
    <w:pPr>
      <w:tabs>
        <w:tab w:val="center" w:pos="4153"/>
        <w:tab w:val="right" w:pos="8306"/>
      </w:tabs>
      <w:snapToGrid w:val="0"/>
      <w:jc w:val="left"/>
    </w:pPr>
    <w:rPr>
      <w:sz w:val="18"/>
      <w:szCs w:val="18"/>
    </w:rPr>
  </w:style>
  <w:style w:type="character" w:customStyle="1" w:styleId="Char0">
    <w:name w:val="页脚 Char"/>
    <w:basedOn w:val="a0"/>
    <w:link w:val="a6"/>
    <w:uiPriority w:val="99"/>
    <w:rsid w:val="00C92938"/>
    <w:rPr>
      <w:rFonts w:ascii="Calibri" w:hAnsi="Calibri" w:cs="宋体"/>
      <w:sz w:val="18"/>
      <w:szCs w:val="18"/>
    </w:rPr>
  </w:style>
  <w:style w:type="character" w:styleId="a7">
    <w:name w:val="Hyperlink"/>
    <w:basedOn w:val="a0"/>
    <w:rsid w:val="00C92938"/>
    <w:rPr>
      <w:strike w:val="0"/>
      <w:dstrike w:val="0"/>
      <w:color w:val="000000"/>
      <w:u w:val="none"/>
      <w:effect w:val="none"/>
    </w:rPr>
  </w:style>
  <w:style w:type="character" w:styleId="HTML">
    <w:name w:val="HTML Typewriter"/>
    <w:basedOn w:val="a0"/>
    <w:uiPriority w:val="99"/>
    <w:qFormat/>
    <w:rsid w:val="00C92938"/>
    <w:rPr>
      <w:rFonts w:ascii="宋体" w:eastAsia="宋体" w:hAnsi="宋体" w:cs="宋体"/>
      <w:sz w:val="24"/>
      <w:szCs w:val="24"/>
    </w:rPr>
  </w:style>
  <w:style w:type="character" w:customStyle="1" w:styleId="big1">
    <w:name w:val="big1"/>
    <w:basedOn w:val="a0"/>
    <w:rsid w:val="00BD5059"/>
    <w:rPr>
      <w:spacing w:val="360"/>
      <w:sz w:val="22"/>
      <w:szCs w:val="22"/>
    </w:rPr>
  </w:style>
  <w:style w:type="paragraph" w:styleId="a8">
    <w:name w:val="Balloon Text"/>
    <w:basedOn w:val="a"/>
    <w:link w:val="Char1"/>
    <w:uiPriority w:val="99"/>
    <w:semiHidden/>
    <w:unhideWhenUsed/>
    <w:rsid w:val="00781098"/>
    <w:rPr>
      <w:sz w:val="18"/>
      <w:szCs w:val="18"/>
    </w:rPr>
  </w:style>
  <w:style w:type="character" w:customStyle="1" w:styleId="Char1">
    <w:name w:val="批注框文本 Char"/>
    <w:basedOn w:val="a0"/>
    <w:link w:val="a8"/>
    <w:uiPriority w:val="99"/>
    <w:semiHidden/>
    <w:rsid w:val="00781098"/>
    <w:rPr>
      <w:kern w:val="2"/>
      <w:sz w:val="18"/>
      <w:szCs w:val="18"/>
    </w:rPr>
  </w:style>
  <w:style w:type="character" w:styleId="a9">
    <w:name w:val="annotation reference"/>
    <w:basedOn w:val="a0"/>
    <w:uiPriority w:val="99"/>
    <w:unhideWhenUsed/>
    <w:qFormat/>
    <w:rsid w:val="00EA6808"/>
    <w:rPr>
      <w:sz w:val="21"/>
      <w:szCs w:val="21"/>
    </w:rPr>
  </w:style>
  <w:style w:type="paragraph" w:styleId="aa">
    <w:name w:val="annotation text"/>
    <w:basedOn w:val="a"/>
    <w:link w:val="Char2"/>
    <w:uiPriority w:val="99"/>
    <w:semiHidden/>
    <w:unhideWhenUsed/>
    <w:rsid w:val="00EA6808"/>
    <w:pPr>
      <w:jc w:val="left"/>
    </w:pPr>
  </w:style>
  <w:style w:type="character" w:customStyle="1" w:styleId="Char2">
    <w:name w:val="批注文字 Char"/>
    <w:basedOn w:val="a0"/>
    <w:link w:val="aa"/>
    <w:uiPriority w:val="99"/>
    <w:semiHidden/>
    <w:rsid w:val="00EA6808"/>
    <w:rPr>
      <w:kern w:val="2"/>
      <w:sz w:val="21"/>
      <w:szCs w:val="24"/>
    </w:rPr>
  </w:style>
  <w:style w:type="paragraph" w:styleId="ab">
    <w:name w:val="annotation subject"/>
    <w:basedOn w:val="aa"/>
    <w:next w:val="aa"/>
    <w:link w:val="Char3"/>
    <w:uiPriority w:val="99"/>
    <w:semiHidden/>
    <w:unhideWhenUsed/>
    <w:rsid w:val="00EA6808"/>
    <w:rPr>
      <w:b/>
      <w:bCs/>
    </w:rPr>
  </w:style>
  <w:style w:type="character" w:customStyle="1" w:styleId="Char3">
    <w:name w:val="批注主题 Char"/>
    <w:basedOn w:val="Char2"/>
    <w:link w:val="ab"/>
    <w:uiPriority w:val="99"/>
    <w:semiHidden/>
    <w:rsid w:val="00EA6808"/>
    <w:rPr>
      <w:b/>
      <w:bCs/>
      <w:kern w:val="2"/>
      <w:sz w:val="21"/>
      <w:szCs w:val="24"/>
    </w:rPr>
  </w:style>
  <w:style w:type="paragraph" w:styleId="ac">
    <w:name w:val="Revision"/>
    <w:hidden/>
    <w:uiPriority w:val="99"/>
    <w:semiHidden/>
    <w:rsid w:val="00D31EF9"/>
    <w:rPr>
      <w:kern w:val="2"/>
      <w:sz w:val="21"/>
      <w:szCs w:val="24"/>
    </w:rPr>
  </w:style>
  <w:style w:type="table" w:styleId="ad">
    <w:name w:val="Table Grid"/>
    <w:basedOn w:val="a1"/>
    <w:uiPriority w:val="59"/>
    <w:rsid w:val="00124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533575">
      <w:bodyDiv w:val="1"/>
      <w:marLeft w:val="0"/>
      <w:marRight w:val="0"/>
      <w:marTop w:val="0"/>
      <w:marBottom w:val="0"/>
      <w:divBdr>
        <w:top w:val="none" w:sz="0" w:space="0" w:color="auto"/>
        <w:left w:val="none" w:sz="0" w:space="0" w:color="auto"/>
        <w:bottom w:val="none" w:sz="0" w:space="0" w:color="auto"/>
        <w:right w:val="none" w:sz="0" w:space="0" w:color="auto"/>
      </w:divBdr>
    </w:div>
    <w:div w:id="213008421">
      <w:bodyDiv w:val="1"/>
      <w:marLeft w:val="0"/>
      <w:marRight w:val="0"/>
      <w:marTop w:val="0"/>
      <w:marBottom w:val="0"/>
      <w:divBdr>
        <w:top w:val="none" w:sz="0" w:space="0" w:color="auto"/>
        <w:left w:val="none" w:sz="0" w:space="0" w:color="auto"/>
        <w:bottom w:val="none" w:sz="0" w:space="0" w:color="auto"/>
        <w:right w:val="none" w:sz="0" w:space="0" w:color="auto"/>
      </w:divBdr>
    </w:div>
    <w:div w:id="289824358">
      <w:bodyDiv w:val="1"/>
      <w:marLeft w:val="0"/>
      <w:marRight w:val="0"/>
      <w:marTop w:val="0"/>
      <w:marBottom w:val="0"/>
      <w:divBdr>
        <w:top w:val="none" w:sz="0" w:space="0" w:color="auto"/>
        <w:left w:val="none" w:sz="0" w:space="0" w:color="auto"/>
        <w:bottom w:val="none" w:sz="0" w:space="0" w:color="auto"/>
        <w:right w:val="none" w:sz="0" w:space="0" w:color="auto"/>
      </w:divBdr>
    </w:div>
    <w:div w:id="391387810">
      <w:bodyDiv w:val="1"/>
      <w:marLeft w:val="0"/>
      <w:marRight w:val="0"/>
      <w:marTop w:val="0"/>
      <w:marBottom w:val="0"/>
      <w:divBdr>
        <w:top w:val="none" w:sz="0" w:space="0" w:color="auto"/>
        <w:left w:val="none" w:sz="0" w:space="0" w:color="auto"/>
        <w:bottom w:val="none" w:sz="0" w:space="0" w:color="auto"/>
        <w:right w:val="none" w:sz="0" w:space="0" w:color="auto"/>
      </w:divBdr>
    </w:div>
    <w:div w:id="414666015">
      <w:bodyDiv w:val="1"/>
      <w:marLeft w:val="0"/>
      <w:marRight w:val="0"/>
      <w:marTop w:val="0"/>
      <w:marBottom w:val="0"/>
      <w:divBdr>
        <w:top w:val="none" w:sz="0" w:space="0" w:color="auto"/>
        <w:left w:val="none" w:sz="0" w:space="0" w:color="auto"/>
        <w:bottom w:val="none" w:sz="0" w:space="0" w:color="auto"/>
        <w:right w:val="none" w:sz="0" w:space="0" w:color="auto"/>
      </w:divBdr>
    </w:div>
    <w:div w:id="424501930">
      <w:bodyDiv w:val="1"/>
      <w:marLeft w:val="0"/>
      <w:marRight w:val="0"/>
      <w:marTop w:val="0"/>
      <w:marBottom w:val="0"/>
      <w:divBdr>
        <w:top w:val="none" w:sz="0" w:space="0" w:color="auto"/>
        <w:left w:val="none" w:sz="0" w:space="0" w:color="auto"/>
        <w:bottom w:val="none" w:sz="0" w:space="0" w:color="auto"/>
        <w:right w:val="none" w:sz="0" w:space="0" w:color="auto"/>
      </w:divBdr>
    </w:div>
    <w:div w:id="445076098">
      <w:bodyDiv w:val="1"/>
      <w:marLeft w:val="0"/>
      <w:marRight w:val="0"/>
      <w:marTop w:val="0"/>
      <w:marBottom w:val="0"/>
      <w:divBdr>
        <w:top w:val="none" w:sz="0" w:space="0" w:color="auto"/>
        <w:left w:val="none" w:sz="0" w:space="0" w:color="auto"/>
        <w:bottom w:val="none" w:sz="0" w:space="0" w:color="auto"/>
        <w:right w:val="none" w:sz="0" w:space="0" w:color="auto"/>
      </w:divBdr>
    </w:div>
    <w:div w:id="488982880">
      <w:bodyDiv w:val="1"/>
      <w:marLeft w:val="0"/>
      <w:marRight w:val="0"/>
      <w:marTop w:val="0"/>
      <w:marBottom w:val="0"/>
      <w:divBdr>
        <w:top w:val="none" w:sz="0" w:space="0" w:color="auto"/>
        <w:left w:val="none" w:sz="0" w:space="0" w:color="auto"/>
        <w:bottom w:val="none" w:sz="0" w:space="0" w:color="auto"/>
        <w:right w:val="none" w:sz="0" w:space="0" w:color="auto"/>
      </w:divBdr>
    </w:div>
    <w:div w:id="638533723">
      <w:bodyDiv w:val="1"/>
      <w:marLeft w:val="0"/>
      <w:marRight w:val="0"/>
      <w:marTop w:val="0"/>
      <w:marBottom w:val="0"/>
      <w:divBdr>
        <w:top w:val="none" w:sz="0" w:space="0" w:color="auto"/>
        <w:left w:val="none" w:sz="0" w:space="0" w:color="auto"/>
        <w:bottom w:val="none" w:sz="0" w:space="0" w:color="auto"/>
        <w:right w:val="none" w:sz="0" w:space="0" w:color="auto"/>
      </w:divBdr>
    </w:div>
    <w:div w:id="709305166">
      <w:bodyDiv w:val="1"/>
      <w:marLeft w:val="0"/>
      <w:marRight w:val="0"/>
      <w:marTop w:val="0"/>
      <w:marBottom w:val="0"/>
      <w:divBdr>
        <w:top w:val="none" w:sz="0" w:space="0" w:color="auto"/>
        <w:left w:val="none" w:sz="0" w:space="0" w:color="auto"/>
        <w:bottom w:val="none" w:sz="0" w:space="0" w:color="auto"/>
        <w:right w:val="none" w:sz="0" w:space="0" w:color="auto"/>
      </w:divBdr>
    </w:div>
    <w:div w:id="845829390">
      <w:bodyDiv w:val="1"/>
      <w:marLeft w:val="0"/>
      <w:marRight w:val="0"/>
      <w:marTop w:val="0"/>
      <w:marBottom w:val="0"/>
      <w:divBdr>
        <w:top w:val="none" w:sz="0" w:space="0" w:color="auto"/>
        <w:left w:val="none" w:sz="0" w:space="0" w:color="auto"/>
        <w:bottom w:val="none" w:sz="0" w:space="0" w:color="auto"/>
        <w:right w:val="none" w:sz="0" w:space="0" w:color="auto"/>
      </w:divBdr>
    </w:div>
    <w:div w:id="902448513">
      <w:bodyDiv w:val="1"/>
      <w:marLeft w:val="0"/>
      <w:marRight w:val="0"/>
      <w:marTop w:val="0"/>
      <w:marBottom w:val="0"/>
      <w:divBdr>
        <w:top w:val="none" w:sz="0" w:space="0" w:color="auto"/>
        <w:left w:val="none" w:sz="0" w:space="0" w:color="auto"/>
        <w:bottom w:val="none" w:sz="0" w:space="0" w:color="auto"/>
        <w:right w:val="none" w:sz="0" w:space="0" w:color="auto"/>
      </w:divBdr>
    </w:div>
    <w:div w:id="943423452">
      <w:bodyDiv w:val="1"/>
      <w:marLeft w:val="0"/>
      <w:marRight w:val="0"/>
      <w:marTop w:val="0"/>
      <w:marBottom w:val="0"/>
      <w:divBdr>
        <w:top w:val="none" w:sz="0" w:space="0" w:color="auto"/>
        <w:left w:val="none" w:sz="0" w:space="0" w:color="auto"/>
        <w:bottom w:val="none" w:sz="0" w:space="0" w:color="auto"/>
        <w:right w:val="none" w:sz="0" w:space="0" w:color="auto"/>
      </w:divBdr>
    </w:div>
    <w:div w:id="1007369823">
      <w:bodyDiv w:val="1"/>
      <w:marLeft w:val="0"/>
      <w:marRight w:val="0"/>
      <w:marTop w:val="0"/>
      <w:marBottom w:val="0"/>
      <w:divBdr>
        <w:top w:val="none" w:sz="0" w:space="0" w:color="auto"/>
        <w:left w:val="none" w:sz="0" w:space="0" w:color="auto"/>
        <w:bottom w:val="none" w:sz="0" w:space="0" w:color="auto"/>
        <w:right w:val="none" w:sz="0" w:space="0" w:color="auto"/>
      </w:divBdr>
    </w:div>
    <w:div w:id="1066027007">
      <w:bodyDiv w:val="1"/>
      <w:marLeft w:val="0"/>
      <w:marRight w:val="0"/>
      <w:marTop w:val="0"/>
      <w:marBottom w:val="0"/>
      <w:divBdr>
        <w:top w:val="none" w:sz="0" w:space="0" w:color="auto"/>
        <w:left w:val="none" w:sz="0" w:space="0" w:color="auto"/>
        <w:bottom w:val="none" w:sz="0" w:space="0" w:color="auto"/>
        <w:right w:val="none" w:sz="0" w:space="0" w:color="auto"/>
      </w:divBdr>
    </w:div>
    <w:div w:id="1141846084">
      <w:bodyDiv w:val="1"/>
      <w:marLeft w:val="0"/>
      <w:marRight w:val="0"/>
      <w:marTop w:val="0"/>
      <w:marBottom w:val="0"/>
      <w:divBdr>
        <w:top w:val="none" w:sz="0" w:space="0" w:color="auto"/>
        <w:left w:val="none" w:sz="0" w:space="0" w:color="auto"/>
        <w:bottom w:val="none" w:sz="0" w:space="0" w:color="auto"/>
        <w:right w:val="none" w:sz="0" w:space="0" w:color="auto"/>
      </w:divBdr>
    </w:div>
    <w:div w:id="1175651132">
      <w:bodyDiv w:val="1"/>
      <w:marLeft w:val="0"/>
      <w:marRight w:val="0"/>
      <w:marTop w:val="0"/>
      <w:marBottom w:val="0"/>
      <w:divBdr>
        <w:top w:val="none" w:sz="0" w:space="0" w:color="auto"/>
        <w:left w:val="none" w:sz="0" w:space="0" w:color="auto"/>
        <w:bottom w:val="none" w:sz="0" w:space="0" w:color="auto"/>
        <w:right w:val="none" w:sz="0" w:space="0" w:color="auto"/>
      </w:divBdr>
    </w:div>
    <w:div w:id="1212421657">
      <w:bodyDiv w:val="1"/>
      <w:marLeft w:val="0"/>
      <w:marRight w:val="0"/>
      <w:marTop w:val="0"/>
      <w:marBottom w:val="0"/>
      <w:divBdr>
        <w:top w:val="none" w:sz="0" w:space="0" w:color="auto"/>
        <w:left w:val="none" w:sz="0" w:space="0" w:color="auto"/>
        <w:bottom w:val="none" w:sz="0" w:space="0" w:color="auto"/>
        <w:right w:val="none" w:sz="0" w:space="0" w:color="auto"/>
      </w:divBdr>
    </w:div>
    <w:div w:id="1383553060">
      <w:bodyDiv w:val="1"/>
      <w:marLeft w:val="0"/>
      <w:marRight w:val="0"/>
      <w:marTop w:val="0"/>
      <w:marBottom w:val="0"/>
      <w:divBdr>
        <w:top w:val="none" w:sz="0" w:space="0" w:color="auto"/>
        <w:left w:val="none" w:sz="0" w:space="0" w:color="auto"/>
        <w:bottom w:val="none" w:sz="0" w:space="0" w:color="auto"/>
        <w:right w:val="none" w:sz="0" w:space="0" w:color="auto"/>
      </w:divBdr>
    </w:div>
    <w:div w:id="1470780631">
      <w:bodyDiv w:val="1"/>
      <w:marLeft w:val="0"/>
      <w:marRight w:val="0"/>
      <w:marTop w:val="0"/>
      <w:marBottom w:val="0"/>
      <w:divBdr>
        <w:top w:val="none" w:sz="0" w:space="0" w:color="auto"/>
        <w:left w:val="none" w:sz="0" w:space="0" w:color="auto"/>
        <w:bottom w:val="none" w:sz="0" w:space="0" w:color="auto"/>
        <w:right w:val="none" w:sz="0" w:space="0" w:color="auto"/>
      </w:divBdr>
    </w:div>
    <w:div w:id="1592545654">
      <w:bodyDiv w:val="1"/>
      <w:marLeft w:val="0"/>
      <w:marRight w:val="0"/>
      <w:marTop w:val="0"/>
      <w:marBottom w:val="0"/>
      <w:divBdr>
        <w:top w:val="none" w:sz="0" w:space="0" w:color="auto"/>
        <w:left w:val="none" w:sz="0" w:space="0" w:color="auto"/>
        <w:bottom w:val="none" w:sz="0" w:space="0" w:color="auto"/>
        <w:right w:val="none" w:sz="0" w:space="0" w:color="auto"/>
      </w:divBdr>
    </w:div>
    <w:div w:id="1617054778">
      <w:bodyDiv w:val="1"/>
      <w:marLeft w:val="0"/>
      <w:marRight w:val="0"/>
      <w:marTop w:val="0"/>
      <w:marBottom w:val="0"/>
      <w:divBdr>
        <w:top w:val="none" w:sz="0" w:space="0" w:color="auto"/>
        <w:left w:val="none" w:sz="0" w:space="0" w:color="auto"/>
        <w:bottom w:val="none" w:sz="0" w:space="0" w:color="auto"/>
        <w:right w:val="none" w:sz="0" w:space="0" w:color="auto"/>
      </w:divBdr>
    </w:div>
    <w:div w:id="1801680559">
      <w:bodyDiv w:val="1"/>
      <w:marLeft w:val="0"/>
      <w:marRight w:val="0"/>
      <w:marTop w:val="0"/>
      <w:marBottom w:val="0"/>
      <w:divBdr>
        <w:top w:val="none" w:sz="0" w:space="0" w:color="auto"/>
        <w:left w:val="none" w:sz="0" w:space="0" w:color="auto"/>
        <w:bottom w:val="none" w:sz="0" w:space="0" w:color="auto"/>
        <w:right w:val="none" w:sz="0" w:space="0" w:color="auto"/>
      </w:divBdr>
    </w:div>
    <w:div w:id="1843082711">
      <w:bodyDiv w:val="1"/>
      <w:marLeft w:val="0"/>
      <w:marRight w:val="0"/>
      <w:marTop w:val="0"/>
      <w:marBottom w:val="0"/>
      <w:divBdr>
        <w:top w:val="none" w:sz="0" w:space="0" w:color="auto"/>
        <w:left w:val="none" w:sz="0" w:space="0" w:color="auto"/>
        <w:bottom w:val="none" w:sz="0" w:space="0" w:color="auto"/>
        <w:right w:val="none" w:sz="0" w:space="0" w:color="auto"/>
      </w:divBdr>
    </w:div>
    <w:div w:id="1843425497">
      <w:bodyDiv w:val="1"/>
      <w:marLeft w:val="0"/>
      <w:marRight w:val="0"/>
      <w:marTop w:val="0"/>
      <w:marBottom w:val="0"/>
      <w:divBdr>
        <w:top w:val="none" w:sz="0" w:space="0" w:color="auto"/>
        <w:left w:val="none" w:sz="0" w:space="0" w:color="auto"/>
        <w:bottom w:val="none" w:sz="0" w:space="0" w:color="auto"/>
        <w:right w:val="none" w:sz="0" w:space="0" w:color="auto"/>
      </w:divBdr>
    </w:div>
    <w:div w:id="1912497240">
      <w:bodyDiv w:val="1"/>
      <w:marLeft w:val="0"/>
      <w:marRight w:val="0"/>
      <w:marTop w:val="0"/>
      <w:marBottom w:val="0"/>
      <w:divBdr>
        <w:top w:val="none" w:sz="0" w:space="0" w:color="auto"/>
        <w:left w:val="none" w:sz="0" w:space="0" w:color="auto"/>
        <w:bottom w:val="none" w:sz="0" w:space="0" w:color="auto"/>
        <w:right w:val="none" w:sz="0" w:space="0" w:color="auto"/>
      </w:divBdr>
    </w:div>
    <w:div w:id="1959943130">
      <w:bodyDiv w:val="1"/>
      <w:marLeft w:val="0"/>
      <w:marRight w:val="0"/>
      <w:marTop w:val="0"/>
      <w:marBottom w:val="0"/>
      <w:divBdr>
        <w:top w:val="none" w:sz="0" w:space="0" w:color="auto"/>
        <w:left w:val="none" w:sz="0" w:space="0" w:color="auto"/>
        <w:bottom w:val="none" w:sz="0" w:space="0" w:color="auto"/>
        <w:right w:val="none" w:sz="0" w:space="0" w:color="auto"/>
      </w:divBdr>
    </w:div>
    <w:div w:id="1986203807">
      <w:bodyDiv w:val="1"/>
      <w:marLeft w:val="0"/>
      <w:marRight w:val="0"/>
      <w:marTop w:val="0"/>
      <w:marBottom w:val="0"/>
      <w:divBdr>
        <w:top w:val="none" w:sz="0" w:space="0" w:color="auto"/>
        <w:left w:val="none" w:sz="0" w:space="0" w:color="auto"/>
        <w:bottom w:val="none" w:sz="0" w:space="0" w:color="auto"/>
        <w:right w:val="none" w:sz="0" w:space="0" w:color="auto"/>
      </w:divBdr>
    </w:div>
    <w:div w:id="1991979566">
      <w:bodyDiv w:val="1"/>
      <w:marLeft w:val="0"/>
      <w:marRight w:val="0"/>
      <w:marTop w:val="0"/>
      <w:marBottom w:val="0"/>
      <w:divBdr>
        <w:top w:val="none" w:sz="0" w:space="0" w:color="auto"/>
        <w:left w:val="none" w:sz="0" w:space="0" w:color="auto"/>
        <w:bottom w:val="none" w:sz="0" w:space="0" w:color="auto"/>
        <w:right w:val="none" w:sz="0" w:space="0" w:color="auto"/>
      </w:divBdr>
    </w:div>
    <w:div w:id="2002463083">
      <w:bodyDiv w:val="1"/>
      <w:marLeft w:val="0"/>
      <w:marRight w:val="0"/>
      <w:marTop w:val="0"/>
      <w:marBottom w:val="0"/>
      <w:divBdr>
        <w:top w:val="none" w:sz="0" w:space="0" w:color="auto"/>
        <w:left w:val="none" w:sz="0" w:space="0" w:color="auto"/>
        <w:bottom w:val="none" w:sz="0" w:space="0" w:color="auto"/>
        <w:right w:val="none" w:sz="0" w:space="0" w:color="auto"/>
      </w:divBdr>
    </w:div>
    <w:div w:id="2030718514">
      <w:bodyDiv w:val="1"/>
      <w:marLeft w:val="0"/>
      <w:marRight w:val="0"/>
      <w:marTop w:val="0"/>
      <w:marBottom w:val="0"/>
      <w:divBdr>
        <w:top w:val="none" w:sz="0" w:space="0" w:color="auto"/>
        <w:left w:val="none" w:sz="0" w:space="0" w:color="auto"/>
        <w:bottom w:val="none" w:sz="0" w:space="0" w:color="auto"/>
        <w:right w:val="none" w:sz="0" w:space="0" w:color="auto"/>
      </w:divBdr>
    </w:div>
    <w:div w:id="2049604852">
      <w:bodyDiv w:val="1"/>
      <w:marLeft w:val="0"/>
      <w:marRight w:val="0"/>
      <w:marTop w:val="0"/>
      <w:marBottom w:val="0"/>
      <w:divBdr>
        <w:top w:val="none" w:sz="0" w:space="0" w:color="auto"/>
        <w:left w:val="none" w:sz="0" w:space="0" w:color="auto"/>
        <w:bottom w:val="none" w:sz="0" w:space="0" w:color="auto"/>
        <w:right w:val="none" w:sz="0" w:space="0" w:color="auto"/>
      </w:divBdr>
    </w:div>
    <w:div w:id="20605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3C4CF-F34D-46B3-9F65-F655499B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1025</Characters>
  <Application>Microsoft Office Word</Application>
  <DocSecurity>4</DocSecurity>
  <Lines>8</Lines>
  <Paragraphs>2</Paragraphs>
  <ScaleCrop>false</ScaleCrop>
  <Company>易方达基金管理有限公司</Company>
  <LinksUpToDate>false</LinksUpToDate>
  <CharactersWithSpaces>1202</CharactersWithSpaces>
  <SharedDoc>false</SharedDoc>
  <HLinks>
    <vt:vector size="6" baseType="variant">
      <vt:variant>
        <vt:i4>3145776</vt:i4>
      </vt:variant>
      <vt:variant>
        <vt:i4>0</vt:i4>
      </vt:variant>
      <vt:variant>
        <vt:i4>0</vt:i4>
      </vt:variant>
      <vt:variant>
        <vt:i4>5</vt:i4>
      </vt:variant>
      <vt:variant>
        <vt:lpwstr>http://www.hlzqgs.com/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孙奕萍</dc:creator>
  <cp:lastModifiedBy>ZHONGM</cp:lastModifiedBy>
  <cp:revision>2</cp:revision>
  <dcterms:created xsi:type="dcterms:W3CDTF">2021-09-16T16:25:00Z</dcterms:created>
  <dcterms:modified xsi:type="dcterms:W3CDTF">2021-09-16T16:25:00Z</dcterms:modified>
</cp:coreProperties>
</file>