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EF" w:rsidRPr="009B1827" w:rsidRDefault="00B2194C" w:rsidP="003773CF">
      <w:pPr>
        <w:snapToGrid w:val="0"/>
        <w:spacing w:after="240" w:line="360" w:lineRule="auto"/>
        <w:jc w:val="center"/>
        <w:rPr>
          <w:rFonts w:asciiTheme="minorEastAsia" w:hAnsiTheme="minorEastAsia"/>
          <w:b/>
          <w:sz w:val="28"/>
          <w:szCs w:val="21"/>
        </w:rPr>
      </w:pPr>
      <w:r w:rsidRPr="009B1827">
        <w:rPr>
          <w:rFonts w:asciiTheme="minorEastAsia" w:hAnsiTheme="minorEastAsia" w:hint="eastAsia"/>
          <w:b/>
          <w:sz w:val="28"/>
          <w:szCs w:val="21"/>
        </w:rPr>
        <w:t>关于</w:t>
      </w:r>
      <w:r w:rsidR="004F2196">
        <w:rPr>
          <w:rFonts w:asciiTheme="minorEastAsia" w:hAnsiTheme="minorEastAsia" w:hint="eastAsia"/>
          <w:b/>
          <w:sz w:val="28"/>
          <w:szCs w:val="21"/>
        </w:rPr>
        <w:t>泰康资产管理有限责任公司旗下部分基金</w:t>
      </w:r>
      <w:r w:rsidR="009B1827" w:rsidRPr="009B1827">
        <w:rPr>
          <w:rFonts w:asciiTheme="minorEastAsia" w:hAnsiTheme="minorEastAsia" w:hint="eastAsia"/>
          <w:b/>
          <w:sz w:val="28"/>
          <w:szCs w:val="21"/>
        </w:rPr>
        <w:t>2</w:t>
      </w:r>
      <w:r w:rsidR="009B1827" w:rsidRPr="009B1827">
        <w:rPr>
          <w:rFonts w:asciiTheme="minorEastAsia" w:hAnsiTheme="minorEastAsia"/>
          <w:b/>
          <w:sz w:val="28"/>
          <w:szCs w:val="21"/>
        </w:rPr>
        <w:t>0</w:t>
      </w:r>
      <w:r w:rsidR="006E2B18">
        <w:rPr>
          <w:rFonts w:asciiTheme="minorEastAsia" w:hAnsiTheme="minorEastAsia"/>
          <w:b/>
          <w:sz w:val="28"/>
          <w:szCs w:val="21"/>
        </w:rPr>
        <w:t>2</w:t>
      </w:r>
      <w:r w:rsidR="00602AB2">
        <w:rPr>
          <w:rFonts w:asciiTheme="minorEastAsia" w:hAnsiTheme="minorEastAsia"/>
          <w:b/>
          <w:sz w:val="28"/>
          <w:szCs w:val="21"/>
        </w:rPr>
        <w:t>1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年</w:t>
      </w:r>
      <w:r w:rsidR="00713994">
        <w:rPr>
          <w:rFonts w:asciiTheme="minorEastAsia" w:hAnsiTheme="minorEastAsia" w:hint="eastAsia"/>
          <w:b/>
          <w:sz w:val="28"/>
          <w:szCs w:val="21"/>
        </w:rPr>
        <w:t>“</w:t>
      </w:r>
      <w:r w:rsidR="00F718FD">
        <w:rPr>
          <w:rFonts w:asciiTheme="minorEastAsia" w:hAnsiTheme="minorEastAsia" w:hint="eastAsia"/>
          <w:b/>
          <w:sz w:val="28"/>
          <w:szCs w:val="21"/>
        </w:rPr>
        <w:t>中秋节、国庆节</w:t>
      </w:r>
      <w:r w:rsidR="00713994">
        <w:rPr>
          <w:rFonts w:asciiTheme="minorEastAsia" w:hAnsiTheme="minorEastAsia" w:hint="eastAsia"/>
          <w:b/>
          <w:sz w:val="28"/>
          <w:szCs w:val="21"/>
        </w:rPr>
        <w:t>”</w:t>
      </w:r>
      <w:r w:rsidR="00713994" w:rsidRPr="00713994">
        <w:rPr>
          <w:rFonts w:asciiTheme="minorEastAsia" w:hAnsiTheme="minorEastAsia" w:hint="eastAsia"/>
          <w:b/>
          <w:sz w:val="28"/>
          <w:szCs w:val="21"/>
        </w:rPr>
        <w:t>期间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不开放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申购赎回等交易类业务</w:t>
      </w:r>
      <w:r w:rsidRPr="009B1827">
        <w:rPr>
          <w:rFonts w:asciiTheme="minorEastAsia" w:hAnsiTheme="minorEastAsia" w:hint="eastAsia"/>
          <w:b/>
          <w:sz w:val="28"/>
          <w:szCs w:val="21"/>
        </w:rPr>
        <w:t>的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提示性</w:t>
      </w:r>
      <w:r w:rsidRPr="009B1827">
        <w:rPr>
          <w:rFonts w:asciiTheme="minorEastAsia" w:hAnsiTheme="minorEastAsia" w:hint="eastAsia"/>
          <w:b/>
          <w:sz w:val="28"/>
          <w:szCs w:val="21"/>
        </w:rPr>
        <w:t>公告</w:t>
      </w:r>
    </w:p>
    <w:p w:rsidR="00A25DD1" w:rsidRPr="00705C0A" w:rsidRDefault="00A25DD1" w:rsidP="008E43DD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根据上海证券交易所《</w:t>
      </w:r>
      <w:r w:rsidR="00602AB2" w:rsidRPr="00602AB2">
        <w:rPr>
          <w:rFonts w:asciiTheme="minorEastAsia" w:hAnsiTheme="minorEastAsia" w:hint="eastAsia"/>
          <w:szCs w:val="21"/>
        </w:rPr>
        <w:t>关于2020年岁末及2021年沪港通下港股通交易日安排的通知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》、深圳证券交易所《</w:t>
      </w:r>
      <w:r w:rsidR="00602AB2" w:rsidRPr="00602AB2">
        <w:rPr>
          <w:rFonts w:asciiTheme="minorEastAsia" w:hAnsiTheme="minorEastAsia" w:hint="eastAsia"/>
          <w:szCs w:val="21"/>
        </w:rPr>
        <w:t>关于2020年底及2021年深港通下的港股通交易日安排的通知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》，</w:t>
      </w:r>
      <w:r w:rsidR="00111AA4">
        <w:rPr>
          <w:rFonts w:asciiTheme="minorEastAsia" w:hAnsiTheme="minorEastAsia" w:cs="Arial" w:hint="eastAsia"/>
          <w:kern w:val="0"/>
          <w:szCs w:val="21"/>
        </w:rPr>
        <w:t>2</w:t>
      </w:r>
      <w:r w:rsidR="00111AA4">
        <w:rPr>
          <w:rFonts w:asciiTheme="minorEastAsia" w:hAnsiTheme="minorEastAsia" w:cs="Arial"/>
          <w:kern w:val="0"/>
          <w:szCs w:val="21"/>
        </w:rPr>
        <w:t>021年</w:t>
      </w:r>
      <w:r w:rsidR="00F718FD" w:rsidRPr="00F718FD">
        <w:rPr>
          <w:rFonts w:asciiTheme="minorEastAsia" w:hAnsiTheme="minorEastAsia" w:cs="Arial" w:hint="eastAsia"/>
          <w:kern w:val="0"/>
          <w:szCs w:val="21"/>
        </w:rPr>
        <w:t>9月16日（星期四）至9月22日（星期三）</w:t>
      </w:r>
      <w:r w:rsidR="00F718FD">
        <w:rPr>
          <w:rFonts w:asciiTheme="minorEastAsia" w:hAnsiTheme="minorEastAsia" w:cs="Arial" w:hint="eastAsia"/>
          <w:kern w:val="0"/>
          <w:szCs w:val="21"/>
        </w:rPr>
        <w:t>、</w:t>
      </w:r>
      <w:r w:rsidR="00F718FD" w:rsidRPr="00F718FD">
        <w:rPr>
          <w:rFonts w:asciiTheme="minorEastAsia" w:hAnsiTheme="minorEastAsia" w:cs="Arial" w:hint="eastAsia"/>
          <w:kern w:val="0"/>
          <w:szCs w:val="21"/>
        </w:rPr>
        <w:t>9月29日（星期三）至10月7日（星期四）</w:t>
      </w:r>
      <w:r w:rsidR="00895A23" w:rsidRPr="00895A23">
        <w:rPr>
          <w:rFonts w:hint="eastAsia"/>
          <w:color w:val="333333"/>
          <w:shd w:val="clear" w:color="auto" w:fill="FFFFFF"/>
        </w:rPr>
        <w:t>为非港股通交易日</w:t>
      </w:r>
      <w:r>
        <w:rPr>
          <w:rFonts w:hint="eastAsia"/>
          <w:color w:val="333333"/>
          <w:shd w:val="clear" w:color="auto" w:fill="FFFFFF"/>
        </w:rPr>
        <w:t>。</w:t>
      </w:r>
    </w:p>
    <w:p w:rsidR="00705C0A" w:rsidRPr="00705C0A" w:rsidRDefault="00E42167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为了保障基金平稳运作，维护基金份额持有人利益，</w:t>
      </w:r>
      <w:r w:rsidR="00011CA4">
        <w:rPr>
          <w:rFonts w:asciiTheme="minorEastAsia" w:hAnsiTheme="minorEastAsia" w:cs="Arial" w:hint="eastAsia"/>
          <w:kern w:val="0"/>
          <w:szCs w:val="21"/>
        </w:rPr>
        <w:t>根据</w:t>
      </w:r>
      <w:r w:rsidR="00011CA4" w:rsidRPr="009B1827">
        <w:rPr>
          <w:rFonts w:asciiTheme="minorEastAsia" w:hAnsiTheme="minorEastAsia" w:hint="eastAsia"/>
          <w:szCs w:val="21"/>
        </w:rPr>
        <w:t>基金合同和招募说明书的相关规定</w:t>
      </w:r>
      <w:r w:rsidR="00011CA4">
        <w:rPr>
          <w:rFonts w:asciiTheme="minorEastAsia" w:hAnsiTheme="minorEastAsia" w:hint="eastAsia"/>
          <w:szCs w:val="21"/>
        </w:rPr>
        <w:t>，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泰康资产管理有限责任公司决定于</w:t>
      </w:r>
      <w:r w:rsidR="00895A23" w:rsidRPr="00895A23">
        <w:rPr>
          <w:rFonts w:asciiTheme="minorEastAsia" w:hAnsiTheme="minorEastAsia" w:cs="Arial" w:hint="eastAsia"/>
          <w:kern w:val="0"/>
          <w:szCs w:val="21"/>
        </w:rPr>
        <w:t>上述非港股通交易日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，不开放旗下部分基金份额的申购、赎回、转换及定期定额投资等交易类业务。</w:t>
      </w:r>
    </w:p>
    <w:p w:rsidR="00CF41E4" w:rsidRDefault="00CF41E4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/>
          <w:kern w:val="0"/>
          <w:szCs w:val="21"/>
        </w:rPr>
        <w:t>适用基金范围</w:t>
      </w:r>
      <w:r w:rsidRPr="00705C0A">
        <w:rPr>
          <w:rFonts w:asciiTheme="minorEastAsia" w:hAnsiTheme="minorEastAsia" w:cs="Arial" w:hint="eastAsia"/>
          <w:kern w:val="0"/>
          <w:szCs w:val="21"/>
        </w:rPr>
        <w:t>：</w:t>
      </w:r>
    </w:p>
    <w:tbl>
      <w:tblPr>
        <w:tblStyle w:val="a9"/>
        <w:tblW w:w="8296" w:type="dxa"/>
        <w:jc w:val="center"/>
        <w:tblLook w:val="04A0"/>
      </w:tblPr>
      <w:tblGrid>
        <w:gridCol w:w="704"/>
        <w:gridCol w:w="5827"/>
        <w:gridCol w:w="1765"/>
      </w:tblGrid>
      <w:tr w:rsidR="00061190" w:rsidRPr="008E68B8" w:rsidTr="00765E5F">
        <w:trPr>
          <w:trHeight w:val="555"/>
          <w:jc w:val="center"/>
        </w:trPr>
        <w:tc>
          <w:tcPr>
            <w:tcW w:w="704" w:type="dxa"/>
            <w:shd w:val="clear" w:color="auto" w:fill="808080" w:themeFill="background1" w:themeFillShade="80"/>
            <w:vAlign w:val="center"/>
          </w:tcPr>
          <w:p w:rsidR="00061190" w:rsidRPr="008E68B8" w:rsidRDefault="00061190" w:rsidP="00550B7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序号</w:t>
            </w:r>
          </w:p>
        </w:tc>
        <w:tc>
          <w:tcPr>
            <w:tcW w:w="5827" w:type="dxa"/>
            <w:shd w:val="clear" w:color="auto" w:fill="808080" w:themeFill="background1" w:themeFillShade="80"/>
            <w:vAlign w:val="center"/>
          </w:tcPr>
          <w:p w:rsidR="00061190" w:rsidRPr="008E68B8" w:rsidRDefault="00061190" w:rsidP="00550B7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基金名称</w:t>
            </w:r>
          </w:p>
        </w:tc>
        <w:tc>
          <w:tcPr>
            <w:tcW w:w="1765" w:type="dxa"/>
            <w:shd w:val="clear" w:color="auto" w:fill="808080" w:themeFill="background1" w:themeFillShade="80"/>
            <w:vAlign w:val="center"/>
          </w:tcPr>
          <w:p w:rsidR="00061190" w:rsidRPr="008E68B8" w:rsidRDefault="00061190" w:rsidP="00550B7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基金代码</w:t>
            </w:r>
          </w:p>
        </w:tc>
      </w:tr>
      <w:tr w:rsidR="00061190" w:rsidTr="00765E5F">
        <w:trPr>
          <w:trHeight w:val="199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550B7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550B7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泰康新机遇灵活配置混合型证券投资基金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550B7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001910</w:t>
            </w:r>
          </w:p>
        </w:tc>
      </w:tr>
      <w:tr w:rsidR="00061190" w:rsidTr="00765E5F">
        <w:trPr>
          <w:trHeight w:val="240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550B7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550B7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泰康沪港深精选灵活配置混合型证券投资基金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550B7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002653</w:t>
            </w:r>
          </w:p>
        </w:tc>
      </w:tr>
      <w:tr w:rsidR="00061190" w:rsidTr="00765E5F">
        <w:trPr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550B7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550B7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泰康策略优选灵活配置混合型证券投资基金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550B7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003378</w:t>
            </w:r>
          </w:p>
        </w:tc>
      </w:tr>
      <w:tr w:rsidR="00061190" w:rsidTr="00765E5F">
        <w:trPr>
          <w:trHeight w:val="341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550B7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4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550B7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泰康沪港深价值优选灵活配置混合型证券投资基金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550B7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003580</w:t>
            </w:r>
          </w:p>
        </w:tc>
      </w:tr>
      <w:tr w:rsidR="00061190" w:rsidTr="00765E5F">
        <w:trPr>
          <w:trHeight w:val="195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550B7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550B7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泰康兴泰回报沪港深混合型证券投资基金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550B7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004340</w:t>
            </w:r>
          </w:p>
        </w:tc>
      </w:tr>
      <w:tr w:rsidR="00061190" w:rsidTr="00765E5F">
        <w:trPr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550B7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6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550B70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泰康均衡优选混合型证券投资基金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550B70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A类：005474</w:t>
            </w:r>
          </w:p>
          <w:p w:rsidR="00061190" w:rsidRPr="008E68B8" w:rsidRDefault="00061190" w:rsidP="00550B70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C类：005475</w:t>
            </w:r>
          </w:p>
        </w:tc>
      </w:tr>
      <w:tr w:rsidR="00061190" w:rsidTr="00765E5F">
        <w:trPr>
          <w:trHeight w:val="615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550B7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7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550B70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泰康颐年混合型证券投资基金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550B70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A类：005523</w:t>
            </w:r>
          </w:p>
          <w:p w:rsidR="00061190" w:rsidRPr="008E68B8" w:rsidRDefault="00061190" w:rsidP="00550B70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C类：005524</w:t>
            </w:r>
          </w:p>
        </w:tc>
      </w:tr>
      <w:tr w:rsidR="00061190" w:rsidTr="00765E5F">
        <w:trPr>
          <w:trHeight w:val="150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550B7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8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550B70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泰康颐享混合型证券投资基金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550B70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A类：005823</w:t>
            </w:r>
          </w:p>
          <w:p w:rsidR="00061190" w:rsidRPr="008E68B8" w:rsidRDefault="00061190" w:rsidP="00550B70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C类：005824</w:t>
            </w:r>
          </w:p>
        </w:tc>
      </w:tr>
      <w:tr w:rsidR="00061190" w:rsidRPr="00621E3F" w:rsidTr="00765E5F">
        <w:trPr>
          <w:trHeight w:val="150"/>
          <w:jc w:val="center"/>
        </w:trPr>
        <w:tc>
          <w:tcPr>
            <w:tcW w:w="704" w:type="dxa"/>
            <w:vAlign w:val="center"/>
          </w:tcPr>
          <w:p w:rsidR="00061190" w:rsidRDefault="00061190" w:rsidP="00550B7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9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550B7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21E3F">
              <w:rPr>
                <w:rFonts w:asciiTheme="minorEastAsia" w:hAnsiTheme="minorEastAsia" w:cs="Arial" w:hint="eastAsia"/>
                <w:kern w:val="0"/>
                <w:szCs w:val="21"/>
              </w:rPr>
              <w:t>泰康弘实3个月定期开放混合型发起式证券投资基金</w:t>
            </w:r>
          </w:p>
        </w:tc>
        <w:tc>
          <w:tcPr>
            <w:tcW w:w="1765" w:type="dxa"/>
            <w:vAlign w:val="center"/>
          </w:tcPr>
          <w:p w:rsidR="00061190" w:rsidRPr="002942D4" w:rsidRDefault="00061190" w:rsidP="00550B7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21E3F">
              <w:rPr>
                <w:rFonts w:asciiTheme="minorEastAsia" w:hAnsiTheme="minorEastAsia" w:cs="Arial"/>
                <w:kern w:val="0"/>
                <w:szCs w:val="21"/>
              </w:rPr>
              <w:t>006111</w:t>
            </w:r>
          </w:p>
        </w:tc>
      </w:tr>
      <w:tr w:rsidR="00061190" w:rsidTr="00765E5F">
        <w:trPr>
          <w:trHeight w:val="630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550B70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550B70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泰康中证港股通非银行金融主题指数型发起式证券投资基金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550B70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A类：006578</w:t>
            </w:r>
          </w:p>
          <w:p w:rsidR="00061190" w:rsidRPr="008E68B8" w:rsidRDefault="00061190" w:rsidP="00550B70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C类：006579</w:t>
            </w:r>
          </w:p>
        </w:tc>
      </w:tr>
      <w:tr w:rsidR="00061190" w:rsidTr="00765E5F">
        <w:trPr>
          <w:trHeight w:val="615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550B70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:rsidR="00061190" w:rsidRPr="006704FF" w:rsidRDefault="00061190" w:rsidP="00550B7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泰康中证港股通地产指数型发起式证券投资基金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550B7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A类：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006816</w:t>
            </w:r>
          </w:p>
          <w:p w:rsidR="00061190" w:rsidRPr="002942D4" w:rsidRDefault="00061190" w:rsidP="00550B7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C类：006817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Pr="006704FF" w:rsidRDefault="00061190" w:rsidP="00550B70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:rsidR="00061190" w:rsidRPr="006704FF" w:rsidRDefault="00061190" w:rsidP="00550B7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泰康中证港股通TMT主题指数型发起式证券投资基金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550B7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A类</w:t>
            </w: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：006930</w:t>
            </w:r>
          </w:p>
          <w:p w:rsidR="00061190" w:rsidRPr="006704FF" w:rsidRDefault="00061190" w:rsidP="00550B7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C类</w:t>
            </w: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：006931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Pr="00B92AFE" w:rsidRDefault="00061190" w:rsidP="00550B70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lastRenderedPageBreak/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:rsidR="00061190" w:rsidRPr="004C16AF" w:rsidRDefault="00061190" w:rsidP="00550B7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泰康中证港股通大消费主题指数型发起式证券投资基金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550B7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：006786</w:t>
            </w:r>
          </w:p>
          <w:p w:rsidR="00061190" w:rsidRPr="006704FF" w:rsidRDefault="00061190" w:rsidP="00550B7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：006787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Pr="00B92AFE" w:rsidRDefault="00061190" w:rsidP="00550B70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5827" w:type="dxa"/>
            <w:vAlign w:val="center"/>
          </w:tcPr>
          <w:p w:rsidR="00061190" w:rsidRPr="004C16AF" w:rsidRDefault="00061190" w:rsidP="00550B7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泰康港股通中证香港银行投资指数型发起式证券投资基金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550B7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：006809</w:t>
            </w:r>
          </w:p>
          <w:p w:rsidR="00061190" w:rsidRPr="006704FF" w:rsidRDefault="00061190" w:rsidP="00550B7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：006810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Pr="004C16AF" w:rsidRDefault="00061190" w:rsidP="00550B70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5827" w:type="dxa"/>
            <w:vAlign w:val="center"/>
          </w:tcPr>
          <w:p w:rsidR="00061190" w:rsidRPr="004C16AF" w:rsidRDefault="00061190" w:rsidP="00550B7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C3C84">
              <w:rPr>
                <w:rFonts w:hint="eastAsia"/>
              </w:rPr>
              <w:t>泰康裕泰债券型证券投资基金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550B7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006207</w:t>
            </w:r>
          </w:p>
          <w:p w:rsidR="00061190" w:rsidRPr="004C16AF" w:rsidRDefault="00061190" w:rsidP="00550B7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006208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Pr="005C3C84" w:rsidRDefault="00061190" w:rsidP="00550B70">
            <w:pPr>
              <w:snapToGrid w:val="0"/>
              <w:spacing w:beforeLines="50" w:line="360" w:lineRule="auto"/>
              <w:jc w:val="center"/>
            </w:pPr>
            <w:r>
              <w:t>16</w:t>
            </w:r>
          </w:p>
        </w:tc>
        <w:tc>
          <w:tcPr>
            <w:tcW w:w="5827" w:type="dxa"/>
            <w:vAlign w:val="center"/>
          </w:tcPr>
          <w:p w:rsidR="00061190" w:rsidRPr="004C16AF" w:rsidRDefault="00061190" w:rsidP="00550B7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90036">
              <w:rPr>
                <w:rFonts w:hint="eastAsia"/>
              </w:rPr>
              <w:t>泰康产业升级混合型证券投资基金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550B7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006904</w:t>
            </w:r>
          </w:p>
          <w:p w:rsidR="00061190" w:rsidRPr="004C16AF" w:rsidRDefault="00061190" w:rsidP="00550B7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590036">
              <w:rPr>
                <w:rFonts w:asciiTheme="minorEastAsia" w:hAnsiTheme="minorEastAsia" w:cs="Arial"/>
                <w:kern w:val="0"/>
                <w:szCs w:val="21"/>
              </w:rPr>
              <w:t>006905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Default="00061190" w:rsidP="00550B70">
            <w:pPr>
              <w:snapToGrid w:val="0"/>
              <w:spacing w:beforeLines="50" w:line="360" w:lineRule="auto"/>
              <w:jc w:val="center"/>
            </w:pPr>
            <w:r>
              <w:t>17</w:t>
            </w:r>
          </w:p>
        </w:tc>
        <w:tc>
          <w:tcPr>
            <w:tcW w:w="5827" w:type="dxa"/>
            <w:vAlign w:val="center"/>
          </w:tcPr>
          <w:p w:rsidR="00061190" w:rsidRPr="00590036" w:rsidRDefault="00061190" w:rsidP="00550B70">
            <w:pPr>
              <w:snapToGrid w:val="0"/>
              <w:spacing w:beforeLines="50"/>
              <w:jc w:val="center"/>
            </w:pPr>
            <w:r w:rsidRPr="009C3BED">
              <w:rPr>
                <w:rFonts w:hint="eastAsia"/>
              </w:rPr>
              <w:t>泰康睿福优选配置</w:t>
            </w:r>
            <w:r w:rsidRPr="009C3BED">
              <w:rPr>
                <w:rFonts w:hint="eastAsia"/>
              </w:rPr>
              <w:t>3</w:t>
            </w:r>
            <w:r w:rsidRPr="009C3BED">
              <w:rPr>
                <w:rFonts w:hint="eastAsia"/>
              </w:rPr>
              <w:t>个月持有期混合型基金中基金（</w:t>
            </w:r>
            <w:r w:rsidRPr="009C3BED">
              <w:rPr>
                <w:rFonts w:hint="eastAsia"/>
              </w:rPr>
              <w:t>FOF</w:t>
            </w:r>
            <w:r w:rsidRPr="009C3BED">
              <w:rPr>
                <w:rFonts w:hint="eastAsia"/>
              </w:rPr>
              <w:t>）</w:t>
            </w:r>
          </w:p>
        </w:tc>
        <w:tc>
          <w:tcPr>
            <w:tcW w:w="1765" w:type="dxa"/>
            <w:vAlign w:val="center"/>
          </w:tcPr>
          <w:p w:rsidR="00061190" w:rsidRDefault="00061190" w:rsidP="00550B7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9C3BED">
              <w:rPr>
                <w:rFonts w:asciiTheme="minorEastAsia" w:hAnsiTheme="minorEastAsia" w:cs="Arial"/>
                <w:kern w:val="0"/>
                <w:szCs w:val="21"/>
              </w:rPr>
              <w:t>008754</w:t>
            </w:r>
          </w:p>
          <w:p w:rsidR="00061190" w:rsidRPr="004C16AF" w:rsidRDefault="00061190" w:rsidP="00550B70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C类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9C3BED">
              <w:rPr>
                <w:rFonts w:asciiTheme="minorEastAsia" w:hAnsiTheme="minorEastAsia" w:cs="Arial"/>
                <w:kern w:val="0"/>
                <w:szCs w:val="21"/>
              </w:rPr>
              <w:t>008755</w:t>
            </w:r>
          </w:p>
        </w:tc>
      </w:tr>
    </w:tbl>
    <w:p w:rsidR="0097066F" w:rsidRDefault="00111AA4" w:rsidP="008D7131">
      <w:pPr>
        <w:snapToGrid w:val="0"/>
        <w:spacing w:before="240"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/>
          <w:kern w:val="0"/>
          <w:szCs w:val="21"/>
        </w:rPr>
        <w:t>2021年</w:t>
      </w:r>
      <w:r w:rsidR="00F718FD">
        <w:rPr>
          <w:rFonts w:asciiTheme="minorEastAsia" w:hAnsiTheme="minorEastAsia" w:cs="Arial"/>
          <w:kern w:val="0"/>
          <w:szCs w:val="21"/>
        </w:rPr>
        <w:t>9</w:t>
      </w:r>
      <w:r w:rsidR="0097066F">
        <w:rPr>
          <w:rFonts w:asciiTheme="minorEastAsia" w:hAnsiTheme="minorEastAsia" w:cs="Arial" w:hint="eastAsia"/>
          <w:kern w:val="0"/>
          <w:szCs w:val="21"/>
        </w:rPr>
        <w:t>月</w:t>
      </w:r>
      <w:r w:rsidR="00EB4E1F">
        <w:rPr>
          <w:rFonts w:asciiTheme="minorEastAsia" w:hAnsiTheme="minorEastAsia" w:cs="Arial"/>
          <w:kern w:val="0"/>
          <w:szCs w:val="21"/>
        </w:rPr>
        <w:t>2</w:t>
      </w:r>
      <w:r w:rsidR="00F718FD">
        <w:rPr>
          <w:rFonts w:asciiTheme="minorEastAsia" w:hAnsiTheme="minorEastAsia" w:cs="Arial"/>
          <w:kern w:val="0"/>
          <w:szCs w:val="21"/>
        </w:rPr>
        <w:t>3</w:t>
      </w:r>
      <w:r w:rsidR="0097066F">
        <w:rPr>
          <w:rFonts w:asciiTheme="minorEastAsia" w:hAnsiTheme="minorEastAsia" w:cs="Arial" w:hint="eastAsia"/>
          <w:kern w:val="0"/>
          <w:szCs w:val="21"/>
        </w:rPr>
        <w:t>日</w:t>
      </w:r>
      <w:r w:rsidR="00F718FD">
        <w:rPr>
          <w:rFonts w:asciiTheme="minorEastAsia" w:hAnsiTheme="minorEastAsia" w:cs="Arial" w:hint="eastAsia"/>
          <w:kern w:val="0"/>
          <w:szCs w:val="21"/>
        </w:rPr>
        <w:t>（星期四）至9月2</w:t>
      </w:r>
      <w:r w:rsidR="00F718FD">
        <w:rPr>
          <w:rFonts w:asciiTheme="minorEastAsia" w:hAnsiTheme="minorEastAsia" w:cs="Arial"/>
          <w:kern w:val="0"/>
          <w:szCs w:val="21"/>
        </w:rPr>
        <w:t>8日</w:t>
      </w:r>
      <w:r w:rsidR="00F718FD">
        <w:rPr>
          <w:rFonts w:asciiTheme="minorEastAsia" w:hAnsiTheme="minorEastAsia" w:cs="Arial" w:hint="eastAsia"/>
          <w:kern w:val="0"/>
          <w:szCs w:val="21"/>
        </w:rPr>
        <w:t>（星期二）</w:t>
      </w:r>
      <w:r w:rsidR="00F718FD">
        <w:rPr>
          <w:rFonts w:asciiTheme="minorEastAsia" w:hAnsiTheme="minorEastAsia" w:cs="Arial"/>
          <w:kern w:val="0"/>
          <w:szCs w:val="21"/>
        </w:rPr>
        <w:t>期间</w:t>
      </w:r>
      <w:r w:rsidR="00F718FD">
        <w:rPr>
          <w:rFonts w:asciiTheme="minorEastAsia" w:hAnsiTheme="minorEastAsia" w:cs="Arial" w:hint="eastAsia"/>
          <w:kern w:val="0"/>
          <w:szCs w:val="21"/>
        </w:rPr>
        <w:t>，</w:t>
      </w:r>
      <w:r w:rsidR="00F718FD">
        <w:rPr>
          <w:rFonts w:asciiTheme="minorEastAsia" w:hAnsiTheme="minorEastAsia" w:cs="Arial"/>
          <w:kern w:val="0"/>
          <w:szCs w:val="21"/>
        </w:rPr>
        <w:t>以及</w:t>
      </w:r>
      <w:r w:rsidR="004D0CE1">
        <w:rPr>
          <w:rFonts w:asciiTheme="minorEastAsia" w:hAnsiTheme="minorEastAsia" w:cs="Arial"/>
          <w:kern w:val="0"/>
          <w:szCs w:val="21"/>
        </w:rPr>
        <w:t>自</w:t>
      </w:r>
      <w:bookmarkStart w:id="0" w:name="_GoBack"/>
      <w:bookmarkEnd w:id="0"/>
      <w:r w:rsidR="00F718FD">
        <w:rPr>
          <w:rFonts w:asciiTheme="minorEastAsia" w:hAnsiTheme="minorEastAsia" w:cs="Arial" w:hint="eastAsia"/>
          <w:kern w:val="0"/>
          <w:szCs w:val="21"/>
        </w:rPr>
        <w:t>1</w:t>
      </w:r>
      <w:r w:rsidR="00F718FD">
        <w:rPr>
          <w:rFonts w:asciiTheme="minorEastAsia" w:hAnsiTheme="minorEastAsia" w:cs="Arial"/>
          <w:kern w:val="0"/>
          <w:szCs w:val="21"/>
        </w:rPr>
        <w:t>0月8</w:t>
      </w:r>
      <w:r w:rsidR="00F718FD">
        <w:rPr>
          <w:rFonts w:asciiTheme="minorEastAsia" w:hAnsiTheme="minorEastAsia" w:cs="Arial" w:hint="eastAsia"/>
          <w:kern w:val="0"/>
          <w:szCs w:val="21"/>
        </w:rPr>
        <w:t>日（星期五）</w:t>
      </w:r>
      <w:r w:rsidR="004D0CE1">
        <w:rPr>
          <w:rFonts w:asciiTheme="minorEastAsia" w:hAnsiTheme="minorEastAsia" w:cs="Arial" w:hint="eastAsia"/>
          <w:kern w:val="0"/>
          <w:szCs w:val="21"/>
        </w:rPr>
        <w:t>起</w:t>
      </w:r>
      <w:r w:rsidR="0097066F">
        <w:rPr>
          <w:rFonts w:asciiTheme="minorEastAsia" w:hAnsiTheme="minorEastAsia" w:cs="Arial" w:hint="eastAsia"/>
          <w:kern w:val="0"/>
          <w:szCs w:val="21"/>
        </w:rPr>
        <w:t>，</w:t>
      </w:r>
      <w:r w:rsidR="0097066F" w:rsidRPr="0097066F">
        <w:rPr>
          <w:rFonts w:asciiTheme="minorEastAsia" w:hAnsiTheme="minorEastAsia" w:cs="Arial" w:hint="eastAsia"/>
          <w:kern w:val="0"/>
          <w:szCs w:val="21"/>
        </w:rPr>
        <w:t>上述基金将恢复办理正常申购、赎回、转换及定期定额投资等交易类业务，届时将不再另行公告。</w:t>
      </w:r>
      <w:r w:rsidR="008D7131" w:rsidRPr="00E50631">
        <w:rPr>
          <w:rFonts w:asciiTheme="minorEastAsia" w:hAnsiTheme="minorEastAsia" w:cs="Arial" w:hint="eastAsia"/>
          <w:kern w:val="0"/>
          <w:szCs w:val="21"/>
        </w:rPr>
        <w:t>如遇</w:t>
      </w:r>
      <w:r w:rsidR="008D7131">
        <w:rPr>
          <w:rFonts w:asciiTheme="minorEastAsia" w:hAnsiTheme="minorEastAsia" w:cs="Arial" w:hint="eastAsia"/>
          <w:kern w:val="0"/>
          <w:szCs w:val="21"/>
        </w:rPr>
        <w:t>该</w:t>
      </w:r>
      <w:r w:rsidR="008D7131" w:rsidRPr="00E50631">
        <w:rPr>
          <w:rFonts w:asciiTheme="minorEastAsia" w:hAnsiTheme="minorEastAsia" w:cs="Arial" w:hint="eastAsia"/>
          <w:kern w:val="0"/>
          <w:szCs w:val="21"/>
        </w:rPr>
        <w:t>基金因其他原因暂停申购、赎回等业务</w:t>
      </w:r>
      <w:r w:rsidR="008D7131">
        <w:rPr>
          <w:rFonts w:asciiTheme="minorEastAsia" w:hAnsiTheme="minorEastAsia" w:cs="Arial" w:hint="eastAsia"/>
          <w:kern w:val="0"/>
          <w:szCs w:val="21"/>
        </w:rPr>
        <w:t>或处于封闭期</w:t>
      </w:r>
      <w:r w:rsidR="008D7131" w:rsidRPr="00E50631">
        <w:rPr>
          <w:rFonts w:asciiTheme="minorEastAsia" w:hAnsiTheme="minorEastAsia" w:cs="Arial" w:hint="eastAsia"/>
          <w:kern w:val="0"/>
          <w:szCs w:val="21"/>
        </w:rPr>
        <w:t>的，具体业务办理以相关公告为准。</w:t>
      </w:r>
      <w:r w:rsidR="00F718FD">
        <w:rPr>
          <w:rFonts w:asciiTheme="minorEastAsia" w:hAnsiTheme="minorEastAsia" w:cs="Arial" w:hint="eastAsia"/>
          <w:kern w:val="0"/>
          <w:szCs w:val="21"/>
        </w:rPr>
        <w:t>另，9月2</w:t>
      </w:r>
      <w:r w:rsidR="00F718FD">
        <w:rPr>
          <w:rFonts w:asciiTheme="minorEastAsia" w:hAnsiTheme="minorEastAsia" w:cs="Arial"/>
          <w:kern w:val="0"/>
          <w:szCs w:val="21"/>
        </w:rPr>
        <w:t>5日</w:t>
      </w:r>
      <w:r w:rsidR="00F718FD">
        <w:rPr>
          <w:rFonts w:asciiTheme="minorEastAsia" w:hAnsiTheme="minorEastAsia" w:cs="Arial" w:hint="eastAsia"/>
          <w:kern w:val="0"/>
          <w:szCs w:val="21"/>
        </w:rPr>
        <w:t>（星期六）、9月2</w:t>
      </w:r>
      <w:r w:rsidR="00F718FD">
        <w:rPr>
          <w:rFonts w:asciiTheme="minorEastAsia" w:hAnsiTheme="minorEastAsia" w:cs="Arial"/>
          <w:kern w:val="0"/>
          <w:szCs w:val="21"/>
        </w:rPr>
        <w:t>6日</w:t>
      </w:r>
      <w:r w:rsidR="00F718FD">
        <w:rPr>
          <w:rFonts w:asciiTheme="minorEastAsia" w:hAnsiTheme="minorEastAsia" w:cs="Arial" w:hint="eastAsia"/>
          <w:kern w:val="0"/>
          <w:szCs w:val="21"/>
        </w:rPr>
        <w:t>（星期日）</w:t>
      </w:r>
      <w:r w:rsidR="004D0CE1" w:rsidRPr="004D0CE1">
        <w:rPr>
          <w:rFonts w:asciiTheme="minorEastAsia" w:hAnsiTheme="minorEastAsia" w:cs="Arial" w:hint="eastAsia"/>
          <w:kern w:val="0"/>
          <w:szCs w:val="21"/>
        </w:rPr>
        <w:t>为周末休市</w:t>
      </w:r>
      <w:r w:rsidR="004D0CE1">
        <w:rPr>
          <w:rFonts w:asciiTheme="minorEastAsia" w:hAnsiTheme="minorEastAsia" w:cs="Arial" w:hint="eastAsia"/>
          <w:kern w:val="0"/>
          <w:szCs w:val="21"/>
        </w:rPr>
        <w:t>。</w:t>
      </w:r>
    </w:p>
    <w:p w:rsidR="00895A23" w:rsidRPr="00895A23" w:rsidRDefault="00D54CE8" w:rsidP="00895A23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cs="Arial"/>
          <w:kern w:val="0"/>
          <w:szCs w:val="21"/>
        </w:rPr>
        <w:t>敬请投资者及早做好交易安排。</w:t>
      </w:r>
      <w:r w:rsidR="00895A23" w:rsidRPr="00895A23">
        <w:rPr>
          <w:rFonts w:asciiTheme="minorEastAsia" w:hAnsiTheme="minorEastAsia" w:hint="eastAsia"/>
          <w:szCs w:val="21"/>
        </w:rPr>
        <w:t>投资者可以登录本公司网站（www.tkfunds.com.cn）查询或者拨打本公司的客户服务电话(4001895522)垂询相关事宜。</w:t>
      </w:r>
    </w:p>
    <w:p w:rsidR="00B70E14" w:rsidRPr="009B1827" w:rsidRDefault="00895A23" w:rsidP="00895A23">
      <w:pPr>
        <w:snapToGrid w:val="0"/>
        <w:spacing w:before="240" w:line="360" w:lineRule="auto"/>
        <w:ind w:firstLineChars="200" w:firstLine="420"/>
        <w:rPr>
          <w:rFonts w:asciiTheme="minorEastAsia" w:hAnsiTheme="minorEastAsia"/>
          <w:szCs w:val="21"/>
        </w:rPr>
      </w:pPr>
      <w:r w:rsidRPr="00895A23">
        <w:rPr>
          <w:rFonts w:asciiTheme="minorEastAsia" w:hAnsiTheme="minorEastAsia" w:hint="eastAsia"/>
          <w:szCs w:val="21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B70E14" w:rsidRPr="009B1827" w:rsidRDefault="00B70E14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特此公告。</w:t>
      </w:r>
    </w:p>
    <w:p w:rsidR="00225C75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Pr="009B1827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泰康资产管理有限责任公司</w:t>
      </w:r>
    </w:p>
    <w:p w:rsidR="00225C75" w:rsidRPr="009B1827" w:rsidRDefault="009B1827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2</w:t>
      </w:r>
      <w:r w:rsidRPr="009B1827">
        <w:rPr>
          <w:rFonts w:asciiTheme="minorEastAsia" w:hAnsiTheme="minorEastAsia"/>
          <w:szCs w:val="21"/>
        </w:rPr>
        <w:t>0</w:t>
      </w:r>
      <w:r w:rsidR="00895A23">
        <w:rPr>
          <w:rFonts w:asciiTheme="minorEastAsia" w:hAnsiTheme="minorEastAsia"/>
          <w:szCs w:val="21"/>
        </w:rPr>
        <w:t>2</w:t>
      </w:r>
      <w:r w:rsidR="0016266A">
        <w:rPr>
          <w:rFonts w:asciiTheme="minorEastAsia" w:hAnsiTheme="minorEastAsia"/>
          <w:szCs w:val="21"/>
        </w:rPr>
        <w:t>1</w:t>
      </w:r>
      <w:r w:rsidR="00225C75" w:rsidRPr="009B1827">
        <w:rPr>
          <w:rFonts w:asciiTheme="minorEastAsia" w:hAnsiTheme="minorEastAsia" w:hint="eastAsia"/>
          <w:szCs w:val="21"/>
        </w:rPr>
        <w:t>年</w:t>
      </w:r>
      <w:r w:rsidR="004D0CE1">
        <w:rPr>
          <w:rFonts w:asciiTheme="minorEastAsia" w:hAnsiTheme="minorEastAsia"/>
          <w:szCs w:val="21"/>
        </w:rPr>
        <w:t>9</w:t>
      </w:r>
      <w:r w:rsidR="00225C75" w:rsidRPr="009B1827">
        <w:rPr>
          <w:rFonts w:asciiTheme="minorEastAsia" w:hAnsiTheme="minorEastAsia" w:hint="eastAsia"/>
          <w:szCs w:val="21"/>
        </w:rPr>
        <w:t>月</w:t>
      </w:r>
      <w:r w:rsidR="00F978F4">
        <w:rPr>
          <w:rFonts w:asciiTheme="minorEastAsia" w:hAnsiTheme="minorEastAsia"/>
          <w:szCs w:val="21"/>
        </w:rPr>
        <w:t>13</w:t>
      </w:r>
      <w:r w:rsidR="00225C75" w:rsidRPr="009B1827">
        <w:rPr>
          <w:rFonts w:asciiTheme="minorEastAsia" w:hAnsiTheme="minorEastAsia" w:hint="eastAsia"/>
          <w:szCs w:val="21"/>
        </w:rPr>
        <w:t>日</w:t>
      </w:r>
    </w:p>
    <w:sectPr w:rsidR="00225C75" w:rsidRPr="009B1827" w:rsidSect="009B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73A" w:rsidRDefault="00E6473A" w:rsidP="00DA2D94">
      <w:r>
        <w:separator/>
      </w:r>
    </w:p>
  </w:endnote>
  <w:endnote w:type="continuationSeparator" w:id="0">
    <w:p w:rsidR="00E6473A" w:rsidRDefault="00E6473A" w:rsidP="00DA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73A" w:rsidRDefault="00E6473A" w:rsidP="00DA2D94">
      <w:r>
        <w:separator/>
      </w:r>
    </w:p>
  </w:footnote>
  <w:footnote w:type="continuationSeparator" w:id="0">
    <w:p w:rsidR="00E6473A" w:rsidRDefault="00E6473A" w:rsidP="00DA2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057"/>
    <w:multiLevelType w:val="hybridMultilevel"/>
    <w:tmpl w:val="D916E016"/>
    <w:lvl w:ilvl="0" w:tplc="4C2CCC6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9EE4C9A"/>
    <w:multiLevelType w:val="hybridMultilevel"/>
    <w:tmpl w:val="940ADC6E"/>
    <w:lvl w:ilvl="0" w:tplc="1602C6A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6AC"/>
    <w:rsid w:val="00003E6B"/>
    <w:rsid w:val="000101CD"/>
    <w:rsid w:val="00011CA4"/>
    <w:rsid w:val="000160EC"/>
    <w:rsid w:val="00021832"/>
    <w:rsid w:val="00042EBC"/>
    <w:rsid w:val="00057A97"/>
    <w:rsid w:val="00061190"/>
    <w:rsid w:val="000837F3"/>
    <w:rsid w:val="000A33FF"/>
    <w:rsid w:val="000B2354"/>
    <w:rsid w:val="000C6908"/>
    <w:rsid w:val="000F5210"/>
    <w:rsid w:val="00111AA4"/>
    <w:rsid w:val="00114439"/>
    <w:rsid w:val="00124F71"/>
    <w:rsid w:val="001613DA"/>
    <w:rsid w:val="0016266A"/>
    <w:rsid w:val="001A2A99"/>
    <w:rsid w:val="001B66A3"/>
    <w:rsid w:val="001E147D"/>
    <w:rsid w:val="00200B9C"/>
    <w:rsid w:val="00203242"/>
    <w:rsid w:val="002072A7"/>
    <w:rsid w:val="002219FE"/>
    <w:rsid w:val="00225C75"/>
    <w:rsid w:val="00227A1D"/>
    <w:rsid w:val="00284F45"/>
    <w:rsid w:val="00292020"/>
    <w:rsid w:val="002942D4"/>
    <w:rsid w:val="002D2DBC"/>
    <w:rsid w:val="002E1F5C"/>
    <w:rsid w:val="0031043C"/>
    <w:rsid w:val="00343333"/>
    <w:rsid w:val="0035034F"/>
    <w:rsid w:val="003538C8"/>
    <w:rsid w:val="00374E79"/>
    <w:rsid w:val="00376DC9"/>
    <w:rsid w:val="00377250"/>
    <w:rsid w:val="003773CF"/>
    <w:rsid w:val="00380371"/>
    <w:rsid w:val="003A553D"/>
    <w:rsid w:val="003A69BC"/>
    <w:rsid w:val="003B13CE"/>
    <w:rsid w:val="003B51B7"/>
    <w:rsid w:val="003D4B70"/>
    <w:rsid w:val="0041296E"/>
    <w:rsid w:val="00460800"/>
    <w:rsid w:val="00464CCF"/>
    <w:rsid w:val="004A0106"/>
    <w:rsid w:val="004A2AF5"/>
    <w:rsid w:val="004C16AF"/>
    <w:rsid w:val="004C2DDE"/>
    <w:rsid w:val="004C49C1"/>
    <w:rsid w:val="004C7DA5"/>
    <w:rsid w:val="004D0CE1"/>
    <w:rsid w:val="004D62CF"/>
    <w:rsid w:val="004E0B67"/>
    <w:rsid w:val="004F2196"/>
    <w:rsid w:val="005508FA"/>
    <w:rsid w:val="00550B70"/>
    <w:rsid w:val="0055141E"/>
    <w:rsid w:val="00551931"/>
    <w:rsid w:val="005607EF"/>
    <w:rsid w:val="00563730"/>
    <w:rsid w:val="00571B41"/>
    <w:rsid w:val="00590036"/>
    <w:rsid w:val="005E4553"/>
    <w:rsid w:val="00602AB2"/>
    <w:rsid w:val="00620646"/>
    <w:rsid w:val="00621E3F"/>
    <w:rsid w:val="006704FF"/>
    <w:rsid w:val="006722DA"/>
    <w:rsid w:val="00683417"/>
    <w:rsid w:val="00686E04"/>
    <w:rsid w:val="006A5F30"/>
    <w:rsid w:val="006D1251"/>
    <w:rsid w:val="006E2B18"/>
    <w:rsid w:val="00700CAD"/>
    <w:rsid w:val="00705C0A"/>
    <w:rsid w:val="00713994"/>
    <w:rsid w:val="00737630"/>
    <w:rsid w:val="00742E74"/>
    <w:rsid w:val="00743E57"/>
    <w:rsid w:val="00780435"/>
    <w:rsid w:val="00797EF6"/>
    <w:rsid w:val="007A0404"/>
    <w:rsid w:val="007A7E93"/>
    <w:rsid w:val="007B56EF"/>
    <w:rsid w:val="007D7774"/>
    <w:rsid w:val="00814501"/>
    <w:rsid w:val="00850B75"/>
    <w:rsid w:val="00895A23"/>
    <w:rsid w:val="008C0C60"/>
    <w:rsid w:val="008D7131"/>
    <w:rsid w:val="008E43DD"/>
    <w:rsid w:val="008E68B8"/>
    <w:rsid w:val="008F7EAC"/>
    <w:rsid w:val="008F7F5B"/>
    <w:rsid w:val="009400DD"/>
    <w:rsid w:val="009434B2"/>
    <w:rsid w:val="00954D79"/>
    <w:rsid w:val="0097066F"/>
    <w:rsid w:val="009738E1"/>
    <w:rsid w:val="00977203"/>
    <w:rsid w:val="0097797D"/>
    <w:rsid w:val="009B1827"/>
    <w:rsid w:val="009C2A31"/>
    <w:rsid w:val="009C3BED"/>
    <w:rsid w:val="009C5FDA"/>
    <w:rsid w:val="009F6F8D"/>
    <w:rsid w:val="00A048F3"/>
    <w:rsid w:val="00A25DD1"/>
    <w:rsid w:val="00A86214"/>
    <w:rsid w:val="00AD649D"/>
    <w:rsid w:val="00AE267C"/>
    <w:rsid w:val="00AE6C97"/>
    <w:rsid w:val="00AF47A1"/>
    <w:rsid w:val="00B05BA0"/>
    <w:rsid w:val="00B2194C"/>
    <w:rsid w:val="00B63FE4"/>
    <w:rsid w:val="00B70E14"/>
    <w:rsid w:val="00B86ADF"/>
    <w:rsid w:val="00B87D0D"/>
    <w:rsid w:val="00B92AFE"/>
    <w:rsid w:val="00B93EDD"/>
    <w:rsid w:val="00BA3E3A"/>
    <w:rsid w:val="00BE6877"/>
    <w:rsid w:val="00BF021A"/>
    <w:rsid w:val="00C2106D"/>
    <w:rsid w:val="00C25B87"/>
    <w:rsid w:val="00C26D1C"/>
    <w:rsid w:val="00C325D6"/>
    <w:rsid w:val="00C33DA4"/>
    <w:rsid w:val="00C8420C"/>
    <w:rsid w:val="00CF41E4"/>
    <w:rsid w:val="00CF5B27"/>
    <w:rsid w:val="00D00EC1"/>
    <w:rsid w:val="00D01994"/>
    <w:rsid w:val="00D178B8"/>
    <w:rsid w:val="00D37230"/>
    <w:rsid w:val="00D42A7C"/>
    <w:rsid w:val="00D54CE8"/>
    <w:rsid w:val="00D56E10"/>
    <w:rsid w:val="00D97BC6"/>
    <w:rsid w:val="00DA2D94"/>
    <w:rsid w:val="00DA43A0"/>
    <w:rsid w:val="00DD4D66"/>
    <w:rsid w:val="00E31128"/>
    <w:rsid w:val="00E336AC"/>
    <w:rsid w:val="00E41387"/>
    <w:rsid w:val="00E42167"/>
    <w:rsid w:val="00E50631"/>
    <w:rsid w:val="00E6473A"/>
    <w:rsid w:val="00E8082D"/>
    <w:rsid w:val="00E8088F"/>
    <w:rsid w:val="00E812D5"/>
    <w:rsid w:val="00E83DD9"/>
    <w:rsid w:val="00E85957"/>
    <w:rsid w:val="00E87DC5"/>
    <w:rsid w:val="00E92B67"/>
    <w:rsid w:val="00EB4E1F"/>
    <w:rsid w:val="00ED52A6"/>
    <w:rsid w:val="00F03330"/>
    <w:rsid w:val="00F052BD"/>
    <w:rsid w:val="00F1211B"/>
    <w:rsid w:val="00F3689B"/>
    <w:rsid w:val="00F4437B"/>
    <w:rsid w:val="00F64A4D"/>
    <w:rsid w:val="00F64F77"/>
    <w:rsid w:val="00F718FD"/>
    <w:rsid w:val="00F966F4"/>
    <w:rsid w:val="00F978F4"/>
    <w:rsid w:val="00FA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D9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8621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8621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86214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8621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86214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A8621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86214"/>
    <w:rPr>
      <w:sz w:val="18"/>
      <w:szCs w:val="18"/>
    </w:rPr>
  </w:style>
  <w:style w:type="table" w:styleId="a9">
    <w:name w:val="Table Grid"/>
    <w:basedOn w:val="a1"/>
    <w:uiPriority w:val="59"/>
    <w:rsid w:val="0074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41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4</DocSecurity>
  <Lines>10</Lines>
  <Paragraphs>2</Paragraphs>
  <ScaleCrop>false</ScaleCrop>
  <Company>Tkamc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吕青芝</dc:creator>
  <cp:keywords/>
  <dc:description/>
  <cp:lastModifiedBy>ZHONGM</cp:lastModifiedBy>
  <cp:revision>2</cp:revision>
  <dcterms:created xsi:type="dcterms:W3CDTF">2021-09-12T16:04:00Z</dcterms:created>
  <dcterms:modified xsi:type="dcterms:W3CDTF">2021-09-12T16:04:00Z</dcterms:modified>
</cp:coreProperties>
</file>