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B64" w:rsidRDefault="00D54B64">
      <w:pPr>
        <w:pStyle w:val="XBRL2"/>
        <w:spacing w:before="156"/>
        <w:rPr>
          <w:lang w:eastAsia="zh-CN"/>
        </w:rPr>
      </w:pPr>
      <w:bookmarkStart w:id="0" w:name="_Toc510201001"/>
      <w:bookmarkEnd w:id="0"/>
      <w:r>
        <w:rPr>
          <w:lang w:eastAsia="zh-CN"/>
        </w:rPr>
        <w:t xml:space="preserve">　</w:t>
      </w:r>
      <w:r>
        <w:rPr>
          <w:lang w:eastAsia="zh-CN"/>
        </w:rPr>
        <w:t xml:space="preserve"> </w:t>
      </w:r>
    </w:p>
    <w:p w:rsidR="00D54B64" w:rsidRDefault="00D54B64">
      <w:pPr>
        <w:jc w:val="center"/>
      </w:pPr>
      <w:r>
        <w:rPr>
          <w:rFonts w:cs="Times New Roman" w:hint="eastAsia"/>
          <w:b/>
          <w:sz w:val="48"/>
          <w:szCs w:val="48"/>
        </w:rPr>
        <w:t>泰达宏利创盈灵活配置混合型证券投资基金基金经理变更公告</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560" w:lineRule="exact"/>
        <w:jc w:val="center"/>
        <w:rPr>
          <w:rFonts w:hint="eastAsia"/>
          <w:color w:val="000000"/>
          <w:kern w:val="0"/>
          <w:sz w:val="18"/>
        </w:rPr>
      </w:pPr>
      <w:r>
        <w:rPr>
          <w:rFonts w:hint="eastAsia"/>
          <w:color w:val="000000"/>
          <w:kern w:val="0"/>
          <w:sz w:val="18"/>
        </w:rPr>
        <w:t xml:space="preserve">　 </w:t>
      </w:r>
    </w:p>
    <w:p w:rsidR="00D54B64" w:rsidRDefault="00D54B64">
      <w:pPr>
        <w:spacing w:line="360" w:lineRule="auto"/>
        <w:jc w:val="center"/>
        <w:rPr>
          <w:rFonts w:hint="eastAsia"/>
        </w:rPr>
      </w:pPr>
      <w:r>
        <w:rPr>
          <w:rFonts w:hint="eastAsia"/>
          <w:b/>
          <w:bCs/>
          <w:sz w:val="24"/>
          <w:szCs w:val="30"/>
        </w:rPr>
        <w:t>公告送出日期：2021年9月11日</w:t>
      </w:r>
    </w:p>
    <w:p w:rsidR="00D54B64" w:rsidRDefault="00D54B64">
      <w:pPr>
        <w:pStyle w:val="XBRLTitle1"/>
        <w:spacing w:before="156"/>
        <w:ind w:left="425"/>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泰达宏利创盈灵活配置混合型证券投资基金</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泰达宏利创盈混合</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001141</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泰达宏利基金管理有限公司</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Pr>
                <w:rFonts w:hint="eastAsia"/>
                <w:szCs w:val="21"/>
              </w:rPr>
              <w:t>《公开募集证券投资基金信息披露管理办法》、《证券投资基金行业高级管理人员任职管理办法》等</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解聘基金经理</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宋加旺、李宇璐</w:t>
            </w:r>
          </w:p>
        </w:tc>
      </w:tr>
      <w:tr w:rsidR="00D54B64">
        <w:trPr>
          <w:divId w:val="136267975"/>
        </w:trPr>
        <w:tc>
          <w:tcPr>
            <w:tcW w:w="2518" w:type="dxa"/>
            <w:tcBorders>
              <w:top w:val="single" w:sz="4" w:space="0" w:color="000000"/>
              <w:left w:val="single" w:sz="4" w:space="0" w:color="000000"/>
              <w:bottom w:val="single" w:sz="4" w:space="0" w:color="000000"/>
              <w:right w:val="single" w:sz="4" w:space="0" w:color="000000"/>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54B64" w:rsidRDefault="00D54B64">
            <w:pPr>
              <w:spacing w:line="312" w:lineRule="exact"/>
              <w:rPr>
                <w:rFonts w:hint="eastAsia"/>
              </w:rPr>
            </w:pPr>
            <w:r w:rsidRPr="00D85914">
              <w:rPr>
                <w:rFonts w:hint="eastAsia"/>
                <w:color w:val="000000"/>
                <w:kern w:val="0"/>
                <w:szCs w:val="21"/>
              </w:rPr>
              <w:t>傅浩</w:t>
            </w:r>
          </w:p>
        </w:tc>
      </w:tr>
    </w:tbl>
    <w:p w:rsidR="00D54B64" w:rsidRDefault="00D54B64">
      <w:pPr>
        <w:pStyle w:val="XBRLTitle1"/>
        <w:spacing w:before="156" w:line="360" w:lineRule="auto"/>
        <w:ind w:left="425"/>
        <w:jc w:val="left"/>
        <w:rPr>
          <w:rFonts w:hAnsi="宋体" w:hint="eastAsia"/>
          <w:szCs w:val="24"/>
        </w:rPr>
      </w:pPr>
      <w:bookmarkStart w:id="13" w:name="_Toc34322062"/>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bookmarkStart w:id="22" w:name="m201_01"/>
      <w:r>
        <w:rPr>
          <w:rFonts w:hAnsi="宋体" w:hint="eastAsia"/>
          <w:szCs w:val="24"/>
        </w:rPr>
        <w:t>离任基金经理的相关信息</w:t>
      </w:r>
      <w:bookmarkEnd w:id="13"/>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D54B64">
        <w:trPr>
          <w:divId w:val="1886090714"/>
        </w:trPr>
        <w:tc>
          <w:tcPr>
            <w:tcW w:w="2518" w:type="dxa"/>
            <w:tcBorders>
              <w:top w:val="single" w:sz="4" w:space="0" w:color="auto"/>
              <w:left w:val="single" w:sz="4" w:space="0" w:color="auto"/>
              <w:bottom w:val="single" w:sz="4" w:space="0" w:color="auto"/>
              <w:right w:val="single" w:sz="4" w:space="0" w:color="auto"/>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D54B64" w:rsidRDefault="00D54B64">
            <w:pPr>
              <w:spacing w:line="312" w:lineRule="exact"/>
              <w:rPr>
                <w:rFonts w:hint="eastAsia"/>
              </w:rPr>
            </w:pPr>
            <w:r w:rsidRPr="00D85914">
              <w:rPr>
                <w:rFonts w:hint="eastAsia"/>
                <w:color w:val="000000"/>
                <w:kern w:val="0"/>
                <w:szCs w:val="21"/>
              </w:rPr>
              <w:t>傅浩</w:t>
            </w:r>
          </w:p>
        </w:tc>
      </w:tr>
      <w:tr w:rsidR="00D54B64">
        <w:trPr>
          <w:divId w:val="1886090714"/>
        </w:trPr>
        <w:tc>
          <w:tcPr>
            <w:tcW w:w="2518" w:type="dxa"/>
            <w:tcBorders>
              <w:top w:val="single" w:sz="4" w:space="0" w:color="auto"/>
              <w:left w:val="single" w:sz="4" w:space="0" w:color="auto"/>
              <w:bottom w:val="single" w:sz="4" w:space="0" w:color="auto"/>
              <w:right w:val="single" w:sz="4" w:space="0" w:color="auto"/>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D54B64" w:rsidRDefault="00D54B64">
            <w:pPr>
              <w:spacing w:line="312" w:lineRule="exact"/>
              <w:rPr>
                <w:rFonts w:hint="eastAsia"/>
              </w:rPr>
            </w:pPr>
            <w:r w:rsidRPr="00D85914">
              <w:rPr>
                <w:rFonts w:hint="eastAsia"/>
                <w:color w:val="000000"/>
                <w:kern w:val="0"/>
                <w:szCs w:val="21"/>
              </w:rPr>
              <w:t>离职</w:t>
            </w:r>
          </w:p>
        </w:tc>
      </w:tr>
      <w:tr w:rsidR="00D54B64">
        <w:trPr>
          <w:divId w:val="1886090714"/>
        </w:trPr>
        <w:tc>
          <w:tcPr>
            <w:tcW w:w="2518" w:type="dxa"/>
            <w:tcBorders>
              <w:top w:val="single" w:sz="4" w:space="0" w:color="auto"/>
              <w:left w:val="single" w:sz="4" w:space="0" w:color="auto"/>
              <w:bottom w:val="single" w:sz="4" w:space="0" w:color="auto"/>
              <w:right w:val="single" w:sz="4" w:space="0" w:color="auto"/>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D54B64" w:rsidRDefault="00D54B64">
            <w:pPr>
              <w:spacing w:line="312" w:lineRule="exact"/>
              <w:rPr>
                <w:rFonts w:hint="eastAsia"/>
              </w:rPr>
            </w:pPr>
            <w:r w:rsidRPr="00D85914">
              <w:rPr>
                <w:rFonts w:hint="eastAsia"/>
                <w:color w:val="000000"/>
                <w:kern w:val="0"/>
                <w:szCs w:val="21"/>
              </w:rPr>
              <w:t>2021年09月09日</w:t>
            </w:r>
          </w:p>
        </w:tc>
      </w:tr>
      <w:tr w:rsidR="00D54B64">
        <w:trPr>
          <w:divId w:val="1886090714"/>
        </w:trPr>
        <w:tc>
          <w:tcPr>
            <w:tcW w:w="2518" w:type="dxa"/>
            <w:tcBorders>
              <w:top w:val="single" w:sz="4" w:space="0" w:color="auto"/>
              <w:left w:val="single" w:sz="4" w:space="0" w:color="auto"/>
              <w:bottom w:val="single" w:sz="4" w:space="0" w:color="auto"/>
              <w:right w:val="single" w:sz="4" w:space="0" w:color="auto"/>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D54B64" w:rsidRDefault="00D54B64">
            <w:pPr>
              <w:spacing w:line="312" w:lineRule="exact"/>
              <w:rPr>
                <w:rFonts w:hint="eastAsia"/>
              </w:rPr>
            </w:pPr>
            <w:r w:rsidRPr="00D85914">
              <w:rPr>
                <w:rFonts w:hint="eastAsia"/>
                <w:color w:val="000000"/>
                <w:kern w:val="0"/>
                <w:szCs w:val="21"/>
              </w:rPr>
              <w:t>否</w:t>
            </w:r>
          </w:p>
        </w:tc>
      </w:tr>
      <w:tr w:rsidR="00D54B64">
        <w:trPr>
          <w:divId w:val="1886090714"/>
        </w:trPr>
        <w:tc>
          <w:tcPr>
            <w:tcW w:w="2518" w:type="dxa"/>
            <w:tcBorders>
              <w:top w:val="single" w:sz="4" w:space="0" w:color="auto"/>
              <w:left w:val="single" w:sz="4" w:space="0" w:color="auto"/>
              <w:bottom w:val="single" w:sz="4" w:space="0" w:color="auto"/>
              <w:right w:val="single" w:sz="4" w:space="0" w:color="auto"/>
            </w:tcBorders>
            <w:hideMark/>
          </w:tcPr>
          <w:p w:rsidR="00D54B64" w:rsidRPr="00D85914" w:rsidRDefault="00D54B64">
            <w:pPr>
              <w:spacing w:line="312" w:lineRule="exact"/>
              <w:rPr>
                <w:rFonts w:hint="eastAsia"/>
                <w:color w:val="000000"/>
                <w:kern w:val="0"/>
                <w:szCs w:val="21"/>
              </w:rPr>
            </w:pPr>
            <w:r w:rsidRPr="00D85914">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D54B64" w:rsidRDefault="00D54B64">
            <w:pPr>
              <w:spacing w:line="312" w:lineRule="exact"/>
              <w:rPr>
                <w:rFonts w:hint="eastAsia"/>
              </w:rPr>
            </w:pPr>
            <w:r w:rsidRPr="00D85914">
              <w:rPr>
                <w:rFonts w:hint="eastAsia"/>
                <w:color w:val="000000"/>
                <w:kern w:val="0"/>
                <w:szCs w:val="21"/>
              </w:rPr>
              <w:t>是</w:t>
            </w:r>
          </w:p>
        </w:tc>
      </w:tr>
    </w:tbl>
    <w:p w:rsidR="00D54B64" w:rsidRDefault="00D54B64">
      <w:pPr>
        <w:spacing w:line="360" w:lineRule="auto"/>
        <w:jc w:val="center"/>
        <w:divId w:val="1886090714"/>
        <w:rPr>
          <w:rFonts w:hint="eastAsia"/>
          <w:sz w:val="28"/>
          <w:szCs w:val="30"/>
        </w:rPr>
      </w:pPr>
      <w:r>
        <w:rPr>
          <w:rFonts w:hint="eastAsia"/>
          <w:sz w:val="28"/>
          <w:szCs w:val="30"/>
        </w:rPr>
        <w:t xml:space="preserve">　 </w:t>
      </w:r>
    </w:p>
    <w:p w:rsidR="00D54B64" w:rsidRDefault="00D54B64">
      <w:pPr>
        <w:pStyle w:val="XBRLTitle1"/>
        <w:spacing w:before="156" w:line="360" w:lineRule="auto"/>
        <w:ind w:left="425"/>
        <w:jc w:val="left"/>
        <w:rPr>
          <w:rFonts w:hAnsi="宋体" w:hint="eastAsia"/>
          <w:szCs w:val="24"/>
        </w:rPr>
      </w:pPr>
      <w:bookmarkStart w:id="23" w:name="_Toc34322063"/>
      <w:r>
        <w:rPr>
          <w:rFonts w:hAnsi="宋体" w:hint="eastAsia"/>
          <w:szCs w:val="24"/>
        </w:rPr>
        <w:t>其他需要提示的事项</w:t>
      </w:r>
      <w:bookmarkEnd w:id="14"/>
      <w:bookmarkEnd w:id="15"/>
      <w:bookmarkEnd w:id="16"/>
      <w:bookmarkEnd w:id="17"/>
      <w:bookmarkEnd w:id="18"/>
      <w:bookmarkEnd w:id="19"/>
      <w:bookmarkEnd w:id="20"/>
      <w:bookmarkEnd w:id="21"/>
      <w:bookmarkEnd w:id="23"/>
      <w:r>
        <w:rPr>
          <w:rFonts w:hAnsi="宋体" w:hint="eastAsia"/>
          <w:szCs w:val="24"/>
        </w:rPr>
        <w:t xml:space="preserve"> </w:t>
      </w:r>
    </w:p>
    <w:p w:rsidR="00D54B64" w:rsidRDefault="00D54B64">
      <w:pPr>
        <w:spacing w:line="360" w:lineRule="auto"/>
        <w:ind w:firstLineChars="200" w:firstLine="420"/>
        <w:jc w:val="left"/>
        <w:rPr>
          <w:rFonts w:hint="eastAsia"/>
        </w:rPr>
      </w:pPr>
      <w:r>
        <w:rPr>
          <w:rFonts w:hint="eastAsia"/>
          <w:szCs w:val="21"/>
        </w:rPr>
        <w:t>上述基金经理变更事项已按规定向中国证券投资基金业协会办理变更手续，并报中国证券监督管理委员会北京监管局备案。</w:t>
      </w:r>
    </w:p>
    <w:p w:rsidR="00D54B64" w:rsidRDefault="00D54B64">
      <w:pPr>
        <w:spacing w:line="360" w:lineRule="auto"/>
        <w:ind w:firstLineChars="600" w:firstLine="1446"/>
        <w:jc w:val="right"/>
        <w:rPr>
          <w:rFonts w:hint="eastAsia"/>
          <w:b/>
          <w:bCs/>
          <w:sz w:val="24"/>
          <w:szCs w:val="30"/>
        </w:rPr>
      </w:pPr>
      <w:r>
        <w:rPr>
          <w:rFonts w:hint="eastAsia"/>
          <w:b/>
          <w:bCs/>
          <w:sz w:val="24"/>
          <w:szCs w:val="30"/>
        </w:rPr>
        <w:t xml:space="preserve">　 </w:t>
      </w:r>
    </w:p>
    <w:p w:rsidR="00D54B64" w:rsidRDefault="00D54B64">
      <w:pPr>
        <w:spacing w:line="360" w:lineRule="auto"/>
        <w:ind w:firstLineChars="600" w:firstLine="1446"/>
        <w:jc w:val="right"/>
        <w:rPr>
          <w:rFonts w:hint="eastAsia"/>
          <w:b/>
          <w:bCs/>
          <w:sz w:val="24"/>
          <w:szCs w:val="30"/>
        </w:rPr>
      </w:pPr>
      <w:r>
        <w:rPr>
          <w:rFonts w:hint="eastAsia"/>
          <w:b/>
          <w:bCs/>
          <w:sz w:val="24"/>
          <w:szCs w:val="30"/>
        </w:rPr>
        <w:t xml:space="preserve">　 </w:t>
      </w:r>
    </w:p>
    <w:p w:rsidR="00D54B64" w:rsidRDefault="00D54B64">
      <w:pPr>
        <w:spacing w:line="360" w:lineRule="auto"/>
        <w:ind w:firstLineChars="600" w:firstLine="1446"/>
        <w:jc w:val="right"/>
        <w:rPr>
          <w:rFonts w:hint="eastAsia"/>
        </w:rPr>
      </w:pPr>
      <w:r>
        <w:rPr>
          <w:rFonts w:hint="eastAsia"/>
          <w:b/>
          <w:bCs/>
          <w:sz w:val="24"/>
          <w:szCs w:val="24"/>
        </w:rPr>
        <w:t>泰达宏利基金管理有限公司</w:t>
      </w:r>
    </w:p>
    <w:p w:rsidR="00D54B64" w:rsidRDefault="00D54B64">
      <w:pPr>
        <w:spacing w:line="360" w:lineRule="auto"/>
        <w:ind w:firstLineChars="600" w:firstLine="1446"/>
        <w:jc w:val="right"/>
        <w:rPr>
          <w:rFonts w:hint="eastAsia"/>
        </w:rPr>
      </w:pPr>
      <w:r>
        <w:rPr>
          <w:rFonts w:hint="eastAsia"/>
          <w:b/>
          <w:bCs/>
          <w:sz w:val="24"/>
          <w:szCs w:val="24"/>
        </w:rPr>
        <w:t>2021年9月11日</w:t>
      </w:r>
      <w:bookmarkEnd w:id="22"/>
    </w:p>
    <w:sectPr w:rsidR="00D54B64">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64" w:rsidRDefault="00D54B64">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D54B64" w:rsidRDefault="00D54B6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64" w:rsidRDefault="00D54B64">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64" w:rsidRDefault="00D54B64">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D54B64" w:rsidRDefault="00D54B6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64" w:rsidRDefault="00D54B64">
    <w:pPr>
      <w:pStyle w:val="a8"/>
      <w:jc w:val="right"/>
      <w:rPr>
        <w:rFonts w:hint="eastAsia"/>
      </w:rPr>
    </w:pPr>
    <w:r>
      <w:rPr>
        <w:rFonts w:hint="eastAsia"/>
      </w:rPr>
      <w:t>泰达宏利创盈灵活配置混合型证券投资基金基金经理变更公告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914"/>
    <w:rsid w:val="002878B7"/>
    <w:rsid w:val="00D54B64"/>
    <w:rsid w:val="00D859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36267975">
      <w:marLeft w:val="0"/>
      <w:marRight w:val="0"/>
      <w:marTop w:val="0"/>
      <w:marBottom w:val="0"/>
      <w:divBdr>
        <w:top w:val="none" w:sz="0" w:space="0" w:color="auto"/>
        <w:left w:val="none" w:sz="0" w:space="0" w:color="auto"/>
        <w:bottom w:val="none" w:sz="0" w:space="0" w:color="auto"/>
        <w:right w:val="none" w:sz="0" w:space="0" w:color="auto"/>
      </w:divBdr>
    </w:div>
    <w:div w:id="1372149695">
      <w:marLeft w:val="0"/>
      <w:marRight w:val="0"/>
      <w:marTop w:val="0"/>
      <w:marBottom w:val="0"/>
      <w:divBdr>
        <w:top w:val="none" w:sz="0" w:space="0" w:color="auto"/>
        <w:left w:val="none" w:sz="0" w:space="0" w:color="auto"/>
        <w:bottom w:val="none" w:sz="0" w:space="0" w:color="auto"/>
        <w:right w:val="none" w:sz="0" w:space="0" w:color="auto"/>
      </w:divBdr>
      <w:divsChild>
        <w:div w:id="18860907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581E-CF34-4300-B7F1-1C95A2F2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4</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2021-09-10T16:20:00Z</dcterms:created>
  <dcterms:modified xsi:type="dcterms:W3CDTF">2021-09-10T16:20:00Z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